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bCs/>
          <w:snapToGrid w:val="0"/>
          <w:color w:val="auto"/>
          <w:kern w:val="0"/>
          <w:sz w:val="28"/>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bCs w:val="0"/>
          <w:color w:val="auto"/>
          <w:spacing w:val="-12"/>
          <w:sz w:val="44"/>
          <w:szCs w:val="36"/>
          <w:lang w:eastAsia="zh-CN"/>
        </w:rPr>
      </w:pPr>
      <w:r>
        <w:rPr>
          <w:rFonts w:hint="eastAsia" w:asciiTheme="minorEastAsia" w:hAnsiTheme="minorEastAsia" w:eastAsiaTheme="minorEastAsia" w:cstheme="minorEastAsia"/>
          <w:b/>
          <w:bCs w:val="0"/>
          <w:color w:val="auto"/>
          <w:spacing w:val="-12"/>
          <w:sz w:val="52"/>
          <w:szCs w:val="36"/>
          <w:u w:val="none"/>
          <w:lang w:eastAsia="zh-CN"/>
        </w:rPr>
        <w:t>彩色多普勒超声诊断仪</w:t>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bookmarkStart w:id="357" w:name="_GoBack"/>
      <w:bookmarkEnd w:id="357"/>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bCs/>
          <w:snapToGrid w:val="0"/>
          <w:color w:val="auto"/>
          <w:kern w:val="0"/>
          <w:sz w:val="72"/>
          <w:szCs w:val="80"/>
        </w:rPr>
      </w:pPr>
      <w:r>
        <w:rPr>
          <w:rFonts w:hint="eastAsia" w:asciiTheme="minorEastAsia" w:hAnsiTheme="minorEastAsia" w:eastAsiaTheme="minorEastAsia" w:cstheme="minorEastAsia"/>
          <w:b/>
          <w:bCs/>
          <w:snapToGrid w:val="0"/>
          <w:color w:val="auto"/>
          <w:kern w:val="0"/>
          <w:sz w:val="72"/>
          <w:szCs w:val="80"/>
        </w:rPr>
        <w:t>招 标 文 件</w:t>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Cs/>
          <w:snapToGrid w:val="0"/>
          <w:color w:val="auto"/>
          <w:kern w:val="0"/>
          <w:sz w:val="28"/>
          <w:szCs w:val="32"/>
          <w:u w:val="none"/>
          <w:lang w:eastAsia="zh-CN"/>
        </w:rPr>
      </w:pPr>
      <w:r>
        <w:rPr>
          <w:rFonts w:hint="eastAsia" w:asciiTheme="minorEastAsia" w:hAnsiTheme="minorEastAsia" w:eastAsiaTheme="minorEastAsia" w:cstheme="minorEastAsia"/>
          <w:bCs/>
          <w:snapToGrid w:val="0"/>
          <w:color w:val="auto"/>
          <w:kern w:val="0"/>
          <w:sz w:val="28"/>
          <w:szCs w:val="32"/>
          <w:u w:val="none"/>
          <w:lang w:eastAsia="zh-CN"/>
        </w:rPr>
        <w:t>项目编号</w:t>
      </w:r>
      <w:r>
        <w:rPr>
          <w:rFonts w:hint="eastAsia" w:asciiTheme="minorEastAsia" w:hAnsiTheme="minorEastAsia" w:eastAsiaTheme="minorEastAsia" w:cstheme="minorEastAsia"/>
          <w:bCs/>
          <w:snapToGrid w:val="0"/>
          <w:color w:val="auto"/>
          <w:kern w:val="0"/>
          <w:sz w:val="28"/>
          <w:szCs w:val="32"/>
          <w:u w:val="none"/>
        </w:rPr>
        <w:t>：0613-</w:t>
      </w:r>
      <w:r>
        <w:rPr>
          <w:rFonts w:hint="eastAsia" w:asciiTheme="minorEastAsia" w:hAnsiTheme="minorEastAsia" w:eastAsiaTheme="minorEastAsia" w:cstheme="minorEastAsia"/>
          <w:bCs/>
          <w:snapToGrid w:val="0"/>
          <w:color w:val="auto"/>
          <w:kern w:val="0"/>
          <w:sz w:val="28"/>
          <w:szCs w:val="32"/>
          <w:u w:val="none"/>
          <w:lang w:eastAsia="zh-CN"/>
        </w:rPr>
        <w:t>247123065821</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keepNext w:val="0"/>
        <w:keepLines w:val="0"/>
        <w:pageBreakBefore w:val="0"/>
        <w:kinsoku/>
        <w:overflowPunct/>
        <w:bidi w:val="0"/>
        <w:spacing w:beforeAutospacing="0" w:afterAutospacing="0" w:line="300" w:lineRule="auto"/>
        <w:jc w:val="center"/>
        <w:rPr>
          <w:rFonts w:hint="eastAsia" w:asciiTheme="minorEastAsia" w:hAnsiTheme="minorEastAsia" w:eastAsiaTheme="minorEastAsia" w:cstheme="minorEastAsia"/>
          <w:b/>
          <w:bCs/>
          <w:color w:val="auto"/>
          <w:sz w:val="32"/>
          <w:szCs w:val="36"/>
          <w:u w:val="none"/>
        </w:rPr>
      </w:pPr>
      <w:r>
        <w:rPr>
          <w:rFonts w:hint="eastAsia" w:asciiTheme="minorEastAsia" w:hAnsiTheme="minorEastAsia" w:eastAsiaTheme="minorEastAsia" w:cstheme="minorEastAsia"/>
          <w:b/>
          <w:bCs/>
          <w:color w:val="auto"/>
          <w:sz w:val="32"/>
          <w:szCs w:val="36"/>
          <w:u w:val="none"/>
        </w:rPr>
        <w:t>招 标 人：</w:t>
      </w:r>
      <w:r>
        <w:rPr>
          <w:rFonts w:hint="eastAsia" w:asciiTheme="minorEastAsia" w:hAnsiTheme="minorEastAsia" w:eastAsiaTheme="minorEastAsia" w:cstheme="minorEastAsia"/>
          <w:b/>
          <w:bCs/>
          <w:color w:val="auto"/>
          <w:sz w:val="32"/>
          <w:szCs w:val="36"/>
          <w:u w:val="none"/>
          <w:lang w:eastAsia="zh-CN"/>
        </w:rPr>
        <w:t>复旦大学附属中山医院</w:t>
      </w:r>
    </w:p>
    <w:p>
      <w:pPr>
        <w:keepNext w:val="0"/>
        <w:keepLines w:val="0"/>
        <w:pageBreakBefore w:val="0"/>
        <w:kinsoku/>
        <w:overflowPunct/>
        <w:bidi w:val="0"/>
        <w:spacing w:beforeAutospacing="0" w:afterAutospacing="0" w:line="300" w:lineRule="auto"/>
        <w:jc w:val="center"/>
        <w:rPr>
          <w:rFonts w:hint="eastAsia" w:asciiTheme="minorEastAsia" w:hAnsiTheme="minorEastAsia" w:eastAsiaTheme="minorEastAsia" w:cstheme="minorEastAsia"/>
          <w:b/>
          <w:bCs/>
          <w:color w:val="auto"/>
          <w:sz w:val="32"/>
          <w:szCs w:val="36"/>
          <w:u w:val="none"/>
        </w:rPr>
      </w:pPr>
      <w:r>
        <w:rPr>
          <w:rFonts w:hint="eastAsia" w:asciiTheme="minorEastAsia" w:hAnsiTheme="minorEastAsia" w:eastAsiaTheme="minorEastAsia" w:cstheme="minorEastAsia"/>
          <w:b/>
          <w:bCs/>
          <w:color w:val="auto"/>
          <w:sz w:val="32"/>
          <w:szCs w:val="36"/>
          <w:u w:val="none"/>
        </w:rPr>
        <w:t>招标代理机构：上海机电设备招标有限公司</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color w:val="auto"/>
          <w:sz w:val="28"/>
          <w:szCs w:val="32"/>
          <w:u w:val="none"/>
        </w:rPr>
      </w:pPr>
      <w:r>
        <w:rPr>
          <w:rFonts w:hint="eastAsia" w:asciiTheme="minorEastAsia" w:hAnsiTheme="minorEastAsia" w:eastAsiaTheme="minorEastAsia" w:cstheme="minorEastAsia"/>
          <w:b/>
          <w:bCs/>
          <w:color w:val="auto"/>
          <w:sz w:val="32"/>
          <w:szCs w:val="36"/>
          <w:u w:val="none"/>
          <w:lang w:val="en-US" w:eastAsia="zh-CN"/>
        </w:rPr>
        <w:t>2024</w:t>
      </w:r>
      <w:r>
        <w:rPr>
          <w:rFonts w:hint="eastAsia" w:asciiTheme="minorEastAsia" w:hAnsiTheme="minorEastAsia" w:eastAsiaTheme="minorEastAsia" w:cstheme="minorEastAsia"/>
          <w:b/>
          <w:bCs/>
          <w:color w:val="auto"/>
          <w:sz w:val="32"/>
          <w:szCs w:val="36"/>
          <w:u w:val="none"/>
        </w:rPr>
        <w:t>年</w:t>
      </w:r>
      <w:r>
        <w:rPr>
          <w:rFonts w:hint="eastAsia" w:asciiTheme="minorEastAsia" w:hAnsiTheme="minorEastAsia" w:eastAsiaTheme="minorEastAsia" w:cstheme="minorEastAsia"/>
          <w:b/>
          <w:bCs/>
          <w:color w:val="auto"/>
          <w:sz w:val="32"/>
          <w:szCs w:val="36"/>
          <w:u w:val="none"/>
          <w:lang w:val="en-US" w:eastAsia="zh-CN"/>
        </w:rPr>
        <w:t>11</w:t>
      </w:r>
      <w:r>
        <w:rPr>
          <w:rFonts w:hint="eastAsia" w:asciiTheme="minorEastAsia" w:hAnsiTheme="minorEastAsia" w:eastAsiaTheme="minorEastAsia" w:cstheme="minorEastAsia"/>
          <w:b/>
          <w:bCs/>
          <w:color w:val="auto"/>
          <w:sz w:val="32"/>
          <w:szCs w:val="36"/>
          <w:u w:val="none"/>
        </w:rPr>
        <w:t>月</w:t>
      </w:r>
    </w:p>
    <w:p>
      <w:pPr>
        <w:keepNext w:val="0"/>
        <w:keepLines w:val="0"/>
        <w:pageBreakBefore w:val="0"/>
        <w:kinsoku/>
        <w:overflowPunct/>
        <w:bidi w:val="0"/>
        <w:spacing w:beforeAutospacing="0" w:afterAutospacing="0" w:line="360" w:lineRule="auto"/>
        <w:ind w:firstLine="640"/>
        <w:jc w:val="center"/>
        <w:rPr>
          <w:rFonts w:hint="eastAsia" w:asciiTheme="minorEastAsia" w:hAnsiTheme="minorEastAsia" w:eastAsiaTheme="minorEastAsia" w:cstheme="minorEastAsia"/>
          <w:color w:val="auto"/>
          <w:sz w:val="32"/>
          <w:szCs w:val="36"/>
        </w:rPr>
        <w:sectPr>
          <w:type w:val="continuous"/>
          <w:pgSz w:w="11907" w:h="16839"/>
          <w:pgMar w:top="1440" w:right="1803" w:bottom="1440" w:left="1803" w:header="720" w:footer="720" w:gutter="0"/>
          <w:pgBorders>
            <w:top w:val="none" w:sz="0" w:space="0"/>
            <w:left w:val="none" w:sz="0" w:space="0"/>
            <w:bottom w:val="none" w:sz="0" w:space="0"/>
            <w:right w:val="none" w:sz="0" w:space="0"/>
          </w:pgBorders>
          <w:pgNumType w:fmt="upperRoman"/>
          <w:cols w:space="720" w:num="1"/>
          <w:rtlGutter w:val="0"/>
          <w:docGrid w:linePitch="286" w:charSpace="0"/>
        </w:sectPr>
      </w:pP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上海机电设备招标有限公司</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廉洁自律公约</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（2016年修订）</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24"/>
          <w:szCs w:val="24"/>
        </w:rPr>
      </w:pP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贯彻落实中央八项规定的精神，不断增强招投标人员廉洁自律意识，牢筑防腐思想防线，提高拒腐防变能力，根据中央有关廉洁自律准则规定，上海机电设备招标有限公司（以下称，甲方）结合工作实际，特制定本公约。参加本招标项目的投标人（以下称，乙方）也应遵守本公约。</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甲乙双方应当共同遵守法律法规，自觉树立良好的职业道德，强化服务意识、诚实守信、秉公办事，自觉践行本公约。</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二、甲方人员不得暗示、索要或接受乙方的礼金、礼券、消费卡，以及各种有价证券和支付凭证；不得向乙方报销个人费用；不得利用职权或者职务谋取私利。</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三、甲方人员不得以任何方式和理由向乙方推荐其配偶、子女及其配偶等亲属和其他特定关系人参与本招标项目以及相关经营活动。</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四、甲方人员不得接受可能影响其公正执行公务的乙方宴请或者旅游、健身、娱乐等活动安排。</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五、乙方人员不准以任何形式向甲方人员馈赠礼金、礼券、消费卡，以及各种有价证券和支付凭证；不得接受甲方报销个人费用的要求。</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六、乙方人员不准以任何方式和理由接受甲方人员推荐其配偶、子女及其配偶等亲属和其他特定关系人参与本招标项目以及相关经营活动。</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七、乙方人员不准邀请甲方人员参加有可能影响其公正执行公务的宴请或者旅游、健身、娱乐等活动。</w:t>
      </w:r>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八、甲乙任一方人员存在违反本公约行为的，应当依法作出相应的处分；或者甲乙任一方人员存在违反法律法规情形的，应当追究法律责任；乙方人员存在前述情形之一的，将被取消本项目的投标资格。</w:t>
      </w:r>
    </w:p>
    <w:p>
      <w:pPr>
        <w:pStyle w:val="3"/>
        <w:keepNext w:val="0"/>
        <w:keepLines w:val="0"/>
        <w:pageBreakBefore w:val="0"/>
        <w:kinsoku/>
        <w:overflowPunct/>
        <w:bidi w:val="0"/>
        <w:spacing w:before="0" w:beforeLines="0" w:beforeAutospacing="0" w:after="0" w:afterLines="0" w:afterAutospacing="0" w:line="360" w:lineRule="auto"/>
        <w:jc w:val="center"/>
        <w:outlineLvl w:val="0"/>
        <w:rPr>
          <w:rFonts w:hint="eastAsia" w:asciiTheme="minorEastAsia" w:hAnsiTheme="minorEastAsia" w:eastAsiaTheme="minorEastAsia" w:cstheme="minorEastAsia"/>
          <w:color w:val="auto"/>
          <w:szCs w:val="44"/>
        </w:rPr>
      </w:pPr>
      <w:r>
        <w:rPr>
          <w:rFonts w:hint="eastAsia" w:asciiTheme="minorEastAsia" w:hAnsiTheme="minorEastAsia" w:eastAsiaTheme="minorEastAsia" w:cstheme="minorEastAsia"/>
          <w:color w:val="auto"/>
          <w:sz w:val="24"/>
          <w:szCs w:val="24"/>
        </w:rPr>
        <w:br w:type="page"/>
      </w:r>
      <w:bookmarkStart w:id="0" w:name="_Toc457747910"/>
      <w:bookmarkStart w:id="1" w:name="_Toc392227728"/>
      <w:bookmarkStart w:id="2" w:name="_Toc3655"/>
      <w:bookmarkStart w:id="3" w:name="_Toc10675"/>
      <w:bookmarkStart w:id="4" w:name="_Toc24389"/>
      <w:bookmarkStart w:id="5" w:name="_Toc152042287"/>
      <w:bookmarkStart w:id="6" w:name="_Toc144974479"/>
      <w:bookmarkStart w:id="7" w:name="_Toc152045511"/>
      <w:r>
        <w:rPr>
          <w:rFonts w:hint="eastAsia" w:asciiTheme="minorEastAsia" w:hAnsiTheme="minorEastAsia" w:eastAsiaTheme="minorEastAsia" w:cstheme="minorEastAsia"/>
          <w:color w:val="auto"/>
          <w:sz w:val="32"/>
          <w:szCs w:val="32"/>
        </w:rPr>
        <w:t xml:space="preserve">第一章 </w:t>
      </w:r>
      <w:bookmarkEnd w:id="0"/>
      <w:bookmarkEnd w:id="1"/>
      <w:bookmarkStart w:id="8" w:name="_Toc392227729"/>
      <w:r>
        <w:rPr>
          <w:rFonts w:hint="eastAsia" w:asciiTheme="minorEastAsia" w:hAnsiTheme="minorEastAsia" w:eastAsiaTheme="minorEastAsia" w:cstheme="minorEastAsia"/>
          <w:color w:val="auto"/>
          <w:sz w:val="32"/>
          <w:szCs w:val="32"/>
          <w:lang w:eastAsia="zh-CN"/>
        </w:rPr>
        <w:t>招标公告</w:t>
      </w:r>
      <w:bookmarkEnd w:id="2"/>
      <w:bookmarkEnd w:id="3"/>
      <w:bookmarkEnd w:id="4"/>
    </w:p>
    <w:bookmarkEnd w:id="8"/>
    <w:p>
      <w:pPr>
        <w:pageBreakBefore w:val="0"/>
        <w:kinsoku/>
        <w:wordWrap/>
        <w:overflowPunct/>
        <w:topLinePunct w:val="0"/>
        <w:bidi w:val="0"/>
        <w:snapToGrid/>
        <w:spacing w:line="360" w:lineRule="auto"/>
        <w:ind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项目概况</w:t>
      </w:r>
    </w:p>
    <w:p>
      <w:pPr>
        <w:pageBreakBefore w:val="0"/>
        <w:kinsoku/>
        <w:wordWrap/>
        <w:overflowPunct/>
        <w:topLinePunct w:val="0"/>
        <w:bidi w:val="0"/>
        <w:snapToGrid/>
        <w:spacing w:line="360" w:lineRule="auto"/>
        <w:ind w:right="0" w:rightChars="0"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彩色多普勒超声诊断仪招标项目的潜在投标人应在</w:t>
      </w:r>
      <w:r>
        <w:rPr>
          <w:rFonts w:hint="eastAsia" w:asciiTheme="minorEastAsia" w:hAnsiTheme="minorEastAsia" w:eastAsiaTheme="minorEastAsia" w:cstheme="minorEastAsia"/>
          <w:color w:val="auto"/>
          <w:sz w:val="24"/>
          <w:szCs w:val="24"/>
          <w:highlight w:val="none"/>
        </w:rPr>
        <w:t>“中招联合招标采购平台”（网址：http://www.365trade.com.cn）</w:t>
      </w:r>
      <w:r>
        <w:rPr>
          <w:rFonts w:hint="eastAsia" w:ascii="宋体" w:hAnsi="宋体" w:cs="宋体"/>
          <w:color w:val="auto"/>
          <w:sz w:val="24"/>
          <w:szCs w:val="24"/>
          <w:lang w:eastAsia="zh-CN"/>
        </w:rPr>
        <w:t>获取招标文件，并于</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点30分</w:t>
      </w:r>
      <w:r>
        <w:rPr>
          <w:rFonts w:hint="eastAsia" w:ascii="宋体" w:hAnsi="宋体" w:cs="宋体"/>
          <w:color w:val="auto"/>
          <w:sz w:val="24"/>
          <w:szCs w:val="24"/>
          <w:lang w:eastAsia="zh-CN"/>
        </w:rPr>
        <w:t>（北京时间）前递交投标文件。</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9" w:name="_Toc28359079"/>
      <w:bookmarkStart w:id="10" w:name="_Toc7212"/>
      <w:bookmarkStart w:id="11" w:name="_Toc35393621"/>
      <w:bookmarkStart w:id="12" w:name="_Toc14037"/>
      <w:bookmarkStart w:id="13" w:name="_Toc35393790"/>
      <w:bookmarkStart w:id="14" w:name="_Toc28359002"/>
      <w:bookmarkStart w:id="15" w:name="_Hlk24379207"/>
      <w:r>
        <w:rPr>
          <w:rFonts w:hint="eastAsia" w:asciiTheme="minorEastAsia" w:hAnsiTheme="minorEastAsia" w:eastAsiaTheme="minorEastAsia" w:cstheme="minorEastAsia"/>
          <w:b/>
          <w:bCs/>
          <w:color w:val="auto"/>
          <w:sz w:val="24"/>
          <w:szCs w:val="24"/>
        </w:rPr>
        <w:t>项目基本情况</w:t>
      </w:r>
      <w:bookmarkEnd w:id="9"/>
      <w:bookmarkEnd w:id="10"/>
      <w:bookmarkEnd w:id="11"/>
      <w:bookmarkEnd w:id="12"/>
      <w:bookmarkEnd w:id="13"/>
      <w:bookmarkEnd w:id="14"/>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项目编号：0613-</w:t>
      </w:r>
      <w:r>
        <w:rPr>
          <w:rFonts w:hint="eastAsia" w:asciiTheme="minorEastAsia" w:hAnsiTheme="minorEastAsia" w:eastAsiaTheme="minorEastAsia" w:cstheme="minorEastAsia"/>
          <w:color w:val="auto"/>
          <w:sz w:val="24"/>
          <w:szCs w:val="24"/>
          <w:lang w:eastAsia="zh-CN"/>
        </w:rPr>
        <w:t>247123065821</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彩色多普勒超声诊断仪</w:t>
      </w:r>
    </w:p>
    <w:bookmarkEnd w:id="15"/>
    <w:p>
      <w:pPr>
        <w:pageBreakBefore w:val="0"/>
        <w:kinsoku/>
        <w:wordWrap/>
        <w:overflowPunct/>
        <w:topLinePunct w:val="0"/>
        <w:bidi w:val="0"/>
        <w:snapToGrid/>
        <w:spacing w:line="360" w:lineRule="auto"/>
        <w:ind w:right="0" w:rightChars="0"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预算金额：人民币</w:t>
      </w:r>
      <w:r>
        <w:rPr>
          <w:rFonts w:hint="eastAsia" w:asciiTheme="minorEastAsia" w:hAnsiTheme="minorEastAsia" w:eastAsiaTheme="minorEastAsia" w:cstheme="minorEastAsia"/>
          <w:color w:val="auto"/>
          <w:sz w:val="24"/>
          <w:szCs w:val="24"/>
          <w:lang w:val="en-US" w:eastAsia="zh-CN"/>
        </w:rPr>
        <w:t>190万</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含税）</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最高限价（如有）：</w:t>
      </w:r>
      <w:r>
        <w:rPr>
          <w:rFonts w:hint="eastAsia" w:asciiTheme="minorEastAsia" w:hAnsiTheme="minorEastAsia" w:eastAsiaTheme="minorEastAsia" w:cstheme="minorEastAsia"/>
          <w:color w:val="auto"/>
          <w:sz w:val="24"/>
          <w:szCs w:val="24"/>
          <w:lang w:val="en-US" w:eastAsia="zh-CN"/>
        </w:rPr>
        <w:t>/</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p>
      <w:pPr>
        <w:pageBreakBefore w:val="0"/>
        <w:kinsoku/>
        <w:wordWrap/>
        <w:overflowPunct/>
        <w:topLinePunct w:val="0"/>
        <w:bidi w:val="0"/>
        <w:snapToGrid/>
        <w:spacing w:line="360" w:lineRule="auto"/>
        <w:ind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标的的名称：</w:t>
      </w:r>
      <w:r>
        <w:rPr>
          <w:rFonts w:hint="eastAsia" w:asciiTheme="minorEastAsia" w:hAnsiTheme="minorEastAsia" w:eastAsiaTheme="minorEastAsia" w:cstheme="minorEastAsia"/>
          <w:color w:val="auto"/>
          <w:sz w:val="24"/>
          <w:szCs w:val="24"/>
          <w:lang w:eastAsia="zh-CN"/>
        </w:rPr>
        <w:t>彩色多普勒超声诊断仪</w:t>
      </w:r>
    </w:p>
    <w:p>
      <w:pPr>
        <w:pageBreakBefore w:val="0"/>
        <w:kinsoku/>
        <w:wordWrap/>
        <w:overflowPunct/>
        <w:topLinePunct w:val="0"/>
        <w:bidi w:val="0"/>
        <w:snapToGrid/>
        <w:spacing w:line="360" w:lineRule="auto"/>
        <w:ind w:right="0" w:rightChars="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数量：1套</w:t>
      </w:r>
    </w:p>
    <w:p>
      <w:pPr>
        <w:pageBreakBefore w:val="0"/>
        <w:kinsoku/>
        <w:wordWrap/>
        <w:overflowPunct/>
        <w:topLinePunct w:val="0"/>
        <w:bidi w:val="0"/>
        <w:snapToGrid/>
        <w:spacing w:line="360" w:lineRule="auto"/>
        <w:ind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简要技术需求：甲状腺智能扫查技术，一次按键自动识别甲状腺结节，并对病灶进行自动描记、测量、超声诊断描述等分析。</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合同履行期限：合同签订后</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0日内</w:t>
      </w:r>
      <w:r>
        <w:rPr>
          <w:rFonts w:hint="eastAsia" w:asciiTheme="minorEastAsia" w:hAnsiTheme="minorEastAsia" w:eastAsiaTheme="minorEastAsia" w:cstheme="minorEastAsia"/>
          <w:color w:val="auto"/>
          <w:sz w:val="24"/>
          <w:szCs w:val="24"/>
          <w:lang w:val="en-US" w:eastAsia="zh-CN"/>
        </w:rPr>
        <w:t>指定地点交货</w:t>
      </w:r>
      <w:r>
        <w:rPr>
          <w:rFonts w:hint="eastAsia" w:asciiTheme="minorEastAsia" w:hAnsiTheme="minorEastAsia" w:eastAsiaTheme="minorEastAsia" w:cstheme="minorEastAsia"/>
          <w:color w:val="auto"/>
          <w:sz w:val="24"/>
          <w:szCs w:val="24"/>
        </w:rPr>
        <w:t>。</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不</w:t>
      </w:r>
      <w:r>
        <w:rPr>
          <w:rFonts w:hint="eastAsia" w:asciiTheme="minorEastAsia" w:hAnsiTheme="minorEastAsia" w:eastAsiaTheme="minorEastAsia" w:cstheme="minorEastAsia"/>
          <w:color w:val="auto"/>
          <w:sz w:val="24"/>
          <w:szCs w:val="24"/>
        </w:rPr>
        <w:t>接受联合体投标。</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16" w:name="_Toc9466"/>
      <w:bookmarkStart w:id="17" w:name="_Toc28359080"/>
      <w:bookmarkStart w:id="18" w:name="_Toc28359003"/>
      <w:bookmarkStart w:id="19" w:name="_Toc35393622"/>
      <w:bookmarkStart w:id="20" w:name="_Toc564"/>
      <w:bookmarkStart w:id="21" w:name="_Toc35393791"/>
      <w:r>
        <w:rPr>
          <w:rFonts w:hint="eastAsia" w:asciiTheme="minorEastAsia" w:hAnsiTheme="minorEastAsia" w:eastAsiaTheme="minorEastAsia" w:cstheme="minorEastAsia"/>
          <w:b/>
          <w:bCs/>
          <w:color w:val="auto"/>
          <w:sz w:val="24"/>
          <w:szCs w:val="24"/>
        </w:rPr>
        <w:t>申请人的资格要求：</w:t>
      </w:r>
      <w:bookmarkEnd w:id="16"/>
      <w:bookmarkEnd w:id="17"/>
      <w:bookmarkEnd w:id="18"/>
      <w:bookmarkEnd w:id="19"/>
      <w:bookmarkEnd w:id="20"/>
      <w:bookmarkEnd w:id="21"/>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pPr>
        <w:pageBreakBefore w:val="0"/>
        <w:kinsoku/>
        <w:wordWrap/>
        <w:overflowPunct/>
        <w:topLinePunct w:val="0"/>
        <w:bidi w:val="0"/>
        <w:snapToGrid/>
        <w:spacing w:line="360" w:lineRule="auto"/>
        <w:ind w:right="0" w:rightChars="0" w:firstLine="480" w:firstLineChars="200"/>
        <w:textAlignment w:val="auto"/>
        <w:rPr>
          <w:rFonts w:hint="default" w:asciiTheme="minorEastAsia" w:hAnsiTheme="minorEastAsia" w:eastAsiaTheme="minorEastAsia" w:cstheme="minorEastAsia"/>
          <w:color w:val="auto"/>
          <w:sz w:val="24"/>
          <w:szCs w:val="24"/>
          <w:lang w:val="en-US" w:eastAsia="zh-CN"/>
        </w:rPr>
      </w:pPr>
      <w:bookmarkStart w:id="22" w:name="_Toc28359004"/>
      <w:bookmarkStart w:id="23" w:name="_Toc28359081"/>
      <w:r>
        <w:rPr>
          <w:rFonts w:hint="eastAsia" w:asciiTheme="minorEastAsia" w:hAnsiTheme="minorEastAsia" w:eastAsiaTheme="minorEastAsia" w:cstheme="minorEastAsia"/>
          <w:color w:val="auto"/>
          <w:sz w:val="24"/>
          <w:szCs w:val="24"/>
        </w:rPr>
        <w:t>2.落实政府采购政策需满足的资格要求：</w:t>
      </w:r>
      <w:r>
        <w:rPr>
          <w:rFonts w:hint="eastAsia" w:asciiTheme="minorEastAsia" w:hAnsiTheme="minorEastAsia" w:eastAsiaTheme="minorEastAsia" w:cstheme="minorEastAsia"/>
          <w:color w:val="auto"/>
          <w:sz w:val="24"/>
          <w:szCs w:val="24"/>
          <w:lang w:val="en-US" w:eastAsia="zh-CN"/>
        </w:rPr>
        <w:t>/</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投标人未被“信用中国网站”（www.creditchina.gov.cn）列入失信被执行人、重大</w:t>
      </w:r>
      <w:r>
        <w:rPr>
          <w:rFonts w:hint="eastAsia" w:asciiTheme="minorEastAsia" w:hAnsiTheme="minorEastAsia" w:eastAsiaTheme="minorEastAsia" w:cstheme="minorEastAsia"/>
          <w:color w:val="auto"/>
          <w:sz w:val="24"/>
          <w:szCs w:val="24"/>
        </w:rPr>
        <w:t>税收</w:t>
      </w:r>
      <w:r>
        <w:rPr>
          <w:rFonts w:hint="eastAsia" w:asciiTheme="minorEastAsia" w:hAnsiTheme="minorEastAsia" w:eastAsiaTheme="minorEastAsia" w:cstheme="minorEastAsia"/>
          <w:bCs/>
          <w:color w:val="auto"/>
          <w:sz w:val="24"/>
          <w:szCs w:val="24"/>
        </w:rPr>
        <w:t>违法案件当事人</w:t>
      </w:r>
      <w:r>
        <w:rPr>
          <w:rFonts w:hint="eastAsia" w:asciiTheme="minorEastAsia" w:hAnsiTheme="minorEastAsia" w:eastAsiaTheme="minorEastAsia" w:cstheme="minorEastAsia"/>
          <w:color w:val="auto"/>
          <w:sz w:val="24"/>
          <w:szCs w:val="24"/>
        </w:rPr>
        <w:t>名单</w:t>
      </w:r>
      <w:r>
        <w:rPr>
          <w:rFonts w:hint="eastAsia" w:asciiTheme="minorEastAsia" w:hAnsiTheme="minorEastAsia" w:eastAsiaTheme="minorEastAsia" w:cstheme="minorEastAsia"/>
          <w:bCs/>
          <w:color w:val="auto"/>
          <w:sz w:val="24"/>
          <w:szCs w:val="24"/>
        </w:rPr>
        <w:t>或政府采购严重违法失信名单。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在投标截止时间前三年内投标人或其单位负责人、拟委任的项目负责人无行贿犯罪行为的。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与本项目招标代理机构的负责人为同一人或者存在直接控股和管理关系的供应商不得参加本次政府采购活动。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单位负责人为同一人或者存在直接</w:t>
      </w:r>
      <w:r>
        <w:rPr>
          <w:rFonts w:hint="eastAsia" w:asciiTheme="minorEastAsia" w:hAnsiTheme="minorEastAsia" w:eastAsiaTheme="minorEastAsia" w:cstheme="minorEastAsia"/>
          <w:bCs/>
          <w:color w:val="auto"/>
          <w:sz w:val="24"/>
          <w:szCs w:val="24"/>
        </w:rPr>
        <w:t>控股</w:t>
      </w:r>
      <w:r>
        <w:rPr>
          <w:rFonts w:hint="eastAsia" w:asciiTheme="minorEastAsia" w:hAnsiTheme="minorEastAsia" w:eastAsiaTheme="minorEastAsia" w:cstheme="minorEastAsia"/>
          <w:color w:val="auto"/>
          <w:sz w:val="24"/>
          <w:szCs w:val="24"/>
        </w:rPr>
        <w:t>、管理关系的不同投标人，不得同时参加同一包件的投标或者未划分包件的同一招标项目的投标。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为本项目提供整体设计、规范编制</w:t>
      </w:r>
      <w:r>
        <w:rPr>
          <w:rFonts w:hint="eastAsia" w:asciiTheme="minorEastAsia" w:hAnsiTheme="minorEastAsia" w:eastAsiaTheme="minorEastAsia" w:cstheme="minorEastAsia"/>
          <w:bCs/>
          <w:color w:val="auto"/>
          <w:sz w:val="24"/>
          <w:szCs w:val="24"/>
        </w:rPr>
        <w:t>或者</w:t>
      </w:r>
      <w:r>
        <w:rPr>
          <w:rFonts w:hint="eastAsia" w:asciiTheme="minorEastAsia" w:hAnsiTheme="minorEastAsia" w:eastAsiaTheme="minorEastAsia" w:cstheme="minorEastAsia"/>
          <w:color w:val="auto"/>
          <w:sz w:val="24"/>
          <w:szCs w:val="24"/>
        </w:rPr>
        <w:t>项目管理、监理、检测等服务的供应商不得参加本次政府采购活动。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资质要求：</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（1）投标产品具备国家相关行业主管部门颁发的有效期内的医疗器械注册证（备案证）</w:t>
      </w:r>
      <w:r>
        <w:rPr>
          <w:rFonts w:hint="eastAsia" w:asciiTheme="minorEastAsia" w:hAnsiTheme="minorEastAsia" w:eastAsiaTheme="minorEastAsia" w:cstheme="minorEastAsia"/>
          <w:color w:val="auto"/>
          <w:sz w:val="24"/>
          <w:szCs w:val="24"/>
        </w:rPr>
        <w:t>。</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投标人具备与本次招标内容相适应的医疗器械经营许可证（备案表）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本项目非专门面向中小企业采购。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32" w:firstLineChars="1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本项目仅接受源产地来自中华人民共和国境内的产品。</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24" w:name="_Toc14508"/>
      <w:bookmarkStart w:id="25" w:name="_Toc35393623"/>
      <w:bookmarkStart w:id="26" w:name="_Toc6246"/>
      <w:bookmarkStart w:id="27" w:name="_Toc35393792"/>
      <w:r>
        <w:rPr>
          <w:rFonts w:hint="eastAsia" w:asciiTheme="minorEastAsia" w:hAnsiTheme="minorEastAsia" w:eastAsiaTheme="minorEastAsia" w:cstheme="minorEastAsia"/>
          <w:b/>
          <w:bCs/>
          <w:color w:val="auto"/>
          <w:sz w:val="24"/>
          <w:szCs w:val="24"/>
        </w:rPr>
        <w:t>获取招标文件</w:t>
      </w:r>
      <w:bookmarkEnd w:id="22"/>
      <w:bookmarkEnd w:id="23"/>
      <w:bookmarkEnd w:id="24"/>
      <w:bookmarkEnd w:id="25"/>
      <w:bookmarkEnd w:id="26"/>
      <w:bookmarkEnd w:id="27"/>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时间：</w:t>
      </w:r>
      <w:r>
        <w:rPr>
          <w:rFonts w:hint="eastAsia" w:asciiTheme="minorEastAsia" w:hAnsiTheme="minorEastAsia" w:eastAsiaTheme="minorEastAsia" w:cstheme="minorEastAsia"/>
          <w:color w:val="auto"/>
          <w:sz w:val="24"/>
          <w:szCs w:val="24"/>
          <w:u w:val="none"/>
          <w:lang w:val="en-US" w:eastAsia="zh-CN"/>
        </w:rPr>
        <w:t>2024</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11</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6</w:t>
      </w:r>
      <w:r>
        <w:rPr>
          <w:rFonts w:hint="eastAsia" w:asciiTheme="minorEastAsia" w:hAnsiTheme="minorEastAsia" w:eastAsiaTheme="minorEastAsia" w:cstheme="minorEastAsia"/>
          <w:color w:val="auto"/>
          <w:sz w:val="24"/>
          <w:szCs w:val="24"/>
          <w:u w:val="none"/>
        </w:rPr>
        <w:t>日至</w:t>
      </w:r>
      <w:r>
        <w:rPr>
          <w:rFonts w:hint="eastAsia" w:asciiTheme="minorEastAsia" w:hAnsiTheme="minorEastAsia" w:eastAsiaTheme="minorEastAsia" w:cstheme="minorEastAsia"/>
          <w:color w:val="auto"/>
          <w:sz w:val="24"/>
          <w:szCs w:val="24"/>
          <w:u w:val="none"/>
          <w:lang w:val="en-US" w:eastAsia="zh-CN"/>
        </w:rPr>
        <w:t>2024</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11</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13</w:t>
      </w:r>
      <w:r>
        <w:rPr>
          <w:rFonts w:hint="eastAsia" w:asciiTheme="minorEastAsia" w:hAnsiTheme="minorEastAsia" w:eastAsiaTheme="minorEastAsia" w:cstheme="minorEastAsia"/>
          <w:color w:val="auto"/>
          <w:sz w:val="24"/>
          <w:szCs w:val="24"/>
          <w:u w:val="none"/>
        </w:rPr>
        <w:t>日</w:t>
      </w:r>
      <w:r>
        <w:rPr>
          <w:rFonts w:hint="eastAsia" w:asciiTheme="minorEastAsia" w:hAnsiTheme="minorEastAsia" w:eastAsiaTheme="minorEastAsia" w:cstheme="minorEastAsia"/>
          <w:iCs/>
          <w:color w:val="auto"/>
          <w:sz w:val="24"/>
          <w:szCs w:val="24"/>
          <w:u w:val="none"/>
        </w:rPr>
        <w:t>（</w:t>
      </w:r>
      <w:r>
        <w:rPr>
          <w:rFonts w:hint="eastAsia" w:asciiTheme="minorEastAsia" w:hAnsiTheme="minorEastAsia" w:eastAsiaTheme="minorEastAsia" w:cstheme="minorEastAsia"/>
          <w:i/>
          <w:color w:val="auto"/>
          <w:sz w:val="24"/>
          <w:szCs w:val="24"/>
          <w:u w:val="none"/>
        </w:rPr>
        <w:t>提供期限自本公告发布之日起不得少于5个工作日</w:t>
      </w:r>
      <w:r>
        <w:rPr>
          <w:rFonts w:hint="eastAsia" w:asciiTheme="minorEastAsia" w:hAnsiTheme="minorEastAsia" w:eastAsiaTheme="minorEastAsia" w:cstheme="minorEastAsia"/>
          <w:iCs/>
          <w:color w:val="auto"/>
          <w:sz w:val="24"/>
          <w:szCs w:val="24"/>
          <w:u w:val="none"/>
        </w:rPr>
        <w:t>）</w:t>
      </w:r>
      <w:r>
        <w:rPr>
          <w:rFonts w:hint="eastAsia" w:asciiTheme="minorEastAsia" w:hAnsiTheme="minorEastAsia" w:eastAsiaTheme="minorEastAsia" w:cstheme="minorEastAsia"/>
          <w:color w:val="auto"/>
          <w:sz w:val="24"/>
          <w:szCs w:val="24"/>
          <w:u w:val="none"/>
        </w:rPr>
        <w:t>，每天9:00</w:t>
      </w:r>
      <w:r>
        <w:rPr>
          <w:rFonts w:hint="eastAsia" w:asciiTheme="minorEastAsia" w:hAnsiTheme="minorEastAsia" w:eastAsiaTheme="minorEastAsia" w:cstheme="minorEastAsia"/>
          <w:color w:val="auto"/>
          <w:sz w:val="24"/>
          <w:szCs w:val="24"/>
          <w:u w:val="none"/>
          <w:lang w:eastAsia="zh-CN"/>
        </w:rPr>
        <w:t>至</w:t>
      </w:r>
      <w:r>
        <w:rPr>
          <w:rFonts w:hint="eastAsia" w:asciiTheme="minorEastAsia" w:hAnsiTheme="minorEastAsia" w:eastAsiaTheme="minorEastAsia" w:cstheme="minorEastAsia"/>
          <w:color w:val="auto"/>
          <w:sz w:val="24"/>
          <w:szCs w:val="24"/>
          <w:u w:val="none"/>
          <w:lang w:val="en-US" w:eastAsia="zh-CN"/>
        </w:rPr>
        <w:t>12</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0</w:t>
      </w:r>
      <w:r>
        <w:rPr>
          <w:rFonts w:hint="eastAsia" w:asciiTheme="minorEastAsia" w:hAnsiTheme="minorEastAsia" w:eastAsiaTheme="minorEastAsia" w:cstheme="minorEastAsia"/>
          <w:color w:val="auto"/>
          <w:sz w:val="24"/>
          <w:szCs w:val="24"/>
          <w:u w:val="none"/>
        </w:rPr>
        <w:t>0，1</w:t>
      </w:r>
      <w:r>
        <w:rPr>
          <w:rFonts w:hint="eastAsia" w:asciiTheme="minorEastAsia" w:hAnsiTheme="minorEastAsia" w:eastAsiaTheme="minorEastAsia" w:cstheme="minorEastAsia"/>
          <w:color w:val="auto"/>
          <w:sz w:val="24"/>
          <w:szCs w:val="24"/>
          <w:u w:val="none"/>
          <w:lang w:val="en-US" w:eastAsia="zh-CN"/>
        </w:rPr>
        <w:t>3</w:t>
      </w:r>
      <w:r>
        <w:rPr>
          <w:rFonts w:hint="eastAsia" w:asciiTheme="minorEastAsia" w:hAnsiTheme="minorEastAsia" w:eastAsiaTheme="minorEastAsia" w:cstheme="minorEastAsia"/>
          <w:color w:val="auto"/>
          <w:sz w:val="24"/>
          <w:szCs w:val="24"/>
          <w:u w:val="none"/>
        </w:rPr>
        <w:t>:00</w:t>
      </w:r>
      <w:r>
        <w:rPr>
          <w:rFonts w:hint="eastAsia" w:asciiTheme="minorEastAsia" w:hAnsiTheme="minorEastAsia" w:eastAsiaTheme="minorEastAsia" w:cstheme="minorEastAsia"/>
          <w:color w:val="auto"/>
          <w:sz w:val="24"/>
          <w:szCs w:val="24"/>
          <w:u w:val="none"/>
          <w:lang w:eastAsia="zh-CN"/>
        </w:rPr>
        <w:t>至</w:t>
      </w:r>
      <w:r>
        <w:rPr>
          <w:rFonts w:hint="eastAsia" w:asciiTheme="minorEastAsia" w:hAnsiTheme="minorEastAsia" w:eastAsiaTheme="minorEastAsia" w:cstheme="minorEastAsia"/>
          <w:color w:val="auto"/>
          <w:sz w:val="24"/>
          <w:szCs w:val="24"/>
          <w:u w:val="none"/>
          <w:lang w:val="en-US" w:eastAsia="zh-CN"/>
        </w:rPr>
        <w:t>17</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00</w:t>
      </w:r>
      <w:r>
        <w:rPr>
          <w:rFonts w:hint="eastAsia" w:asciiTheme="minorEastAsia" w:hAnsiTheme="minorEastAsia" w:eastAsiaTheme="minorEastAsia" w:cstheme="minorEastAsia"/>
          <w:color w:val="auto"/>
          <w:sz w:val="24"/>
          <w:szCs w:val="24"/>
          <w:u w:val="none"/>
        </w:rPr>
        <w:t>（北京时间，法定节假日除外）</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highlight w:val="none"/>
        </w:rPr>
        <w:t>“中招联合招标采购平台”（网址：http://www.365trade.com.cn）</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highlight w:val="yellow"/>
          <w:u w:val="single"/>
          <w:lang w:eastAsia="zh-CN"/>
        </w:rPr>
      </w:pPr>
      <w:r>
        <w:rPr>
          <w:rFonts w:hint="eastAsia" w:asciiTheme="minorEastAsia" w:hAnsiTheme="minorEastAsia" w:eastAsiaTheme="minorEastAsia" w:cstheme="minorEastAsia"/>
          <w:color w:val="auto"/>
          <w:sz w:val="24"/>
          <w:szCs w:val="24"/>
        </w:rPr>
        <w:t>方式：</w:t>
      </w:r>
      <w:r>
        <w:rPr>
          <w:rFonts w:hint="eastAsia" w:ascii="宋体" w:hAnsi="宋体" w:cs="宋体"/>
          <w:color w:val="auto"/>
          <w:sz w:val="24"/>
          <w:szCs w:val="24"/>
          <w:highlight w:val="none"/>
        </w:rPr>
        <w:t>（1）凡有意购买招标文件的潜在投标人，请前往“中招联合招标采购平台”进行供应商注册，注册免费（网址：http://www.365trade.com.cn）（在注册页面准确填写供应商名称、统一社会信用代码等信息，并按照要求上传供应商公司证件，信息完善后点击“完成注册”）；（2）注册审核通过后，登录系统，</w:t>
      </w:r>
      <w:r>
        <w:rPr>
          <w:rFonts w:hint="eastAsia" w:ascii="宋体" w:hAnsi="宋体"/>
          <w:i w:val="0"/>
          <w:iCs w:val="0"/>
          <w:color w:val="auto"/>
          <w:sz w:val="24"/>
          <w:highlight w:val="none"/>
        </w:rPr>
        <w:t>点击</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我的工作台”--</w:t>
      </w:r>
      <w:r>
        <w:rPr>
          <w:rFonts w:hint="eastAsia" w:ascii="宋体" w:hAnsi="宋体" w:cs="宋体"/>
          <w:color w:val="auto"/>
          <w:sz w:val="24"/>
          <w:szCs w:val="24"/>
          <w:highlight w:val="none"/>
        </w:rPr>
        <w:t>“寻找招标项目”进行项目名称查询，找到项目后点击“我要参与”。（3）标书费用支付完成后，供应商可进行招标文件的下载；（4）标书款发票由上海机电设备招标有限公司开具。（5）平台操作过程中如需帮助，可联系平台客服热线010-86397110（上午9：00—11：30，下午：13：00—17:00）获取支持；潜在投标人在标书发售截止时间前登录中招联合招标采购平台注册、购买标书，否则将无法保证获取电子版招标文件。</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00元，本公告包含的</w:t>
      </w:r>
      <w:r>
        <w:rPr>
          <w:rFonts w:hint="eastAsia" w:asciiTheme="minorEastAsia" w:hAnsiTheme="minorEastAsia" w:eastAsiaTheme="minorEastAsia" w:cstheme="minorEastAsia"/>
          <w:color w:val="auto"/>
          <w:sz w:val="24"/>
          <w:szCs w:val="24"/>
          <w:u w:val="none"/>
        </w:rPr>
        <w:t>招标</w:t>
      </w:r>
      <w:r>
        <w:rPr>
          <w:rFonts w:hint="eastAsia" w:asciiTheme="minorEastAsia" w:hAnsiTheme="minorEastAsia" w:eastAsiaTheme="minorEastAsia" w:cstheme="minorEastAsia"/>
          <w:color w:val="auto"/>
          <w:sz w:val="24"/>
          <w:szCs w:val="24"/>
        </w:rPr>
        <w:t>文件售价总和</w:t>
      </w:r>
      <w:r>
        <w:rPr>
          <w:rFonts w:hint="eastAsia" w:asciiTheme="minorEastAsia" w:hAnsiTheme="minorEastAsia" w:eastAsiaTheme="minorEastAsia" w:cstheme="minorEastAsia"/>
          <w:color w:val="auto"/>
          <w:sz w:val="24"/>
          <w:szCs w:val="24"/>
          <w:lang w:eastAsia="zh-CN"/>
        </w:rPr>
        <w:t>。</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28" w:name="_Toc28359005"/>
      <w:bookmarkStart w:id="29" w:name="_Toc28359082"/>
      <w:bookmarkStart w:id="30" w:name="_Toc14694"/>
      <w:bookmarkStart w:id="31" w:name="_Toc22177"/>
      <w:bookmarkStart w:id="32" w:name="_Toc35393624"/>
      <w:bookmarkStart w:id="33" w:name="_Toc35393793"/>
      <w:r>
        <w:rPr>
          <w:rFonts w:hint="eastAsia" w:asciiTheme="minorEastAsia" w:hAnsiTheme="minorEastAsia" w:eastAsiaTheme="minorEastAsia" w:cstheme="minorEastAsia"/>
          <w:b/>
          <w:bCs/>
          <w:color w:val="auto"/>
          <w:sz w:val="24"/>
          <w:szCs w:val="24"/>
        </w:rPr>
        <w:t>提交投标文件</w:t>
      </w:r>
      <w:bookmarkEnd w:id="28"/>
      <w:bookmarkEnd w:id="29"/>
      <w:r>
        <w:rPr>
          <w:rFonts w:hint="eastAsia" w:asciiTheme="minorEastAsia" w:hAnsiTheme="minorEastAsia" w:eastAsiaTheme="minorEastAsia" w:cstheme="minorEastAsia"/>
          <w:b/>
          <w:bCs/>
          <w:color w:val="auto"/>
          <w:sz w:val="24"/>
          <w:szCs w:val="24"/>
        </w:rPr>
        <w:t>截止时间、开标时间和地点</w:t>
      </w:r>
      <w:bookmarkEnd w:id="30"/>
      <w:bookmarkEnd w:id="31"/>
      <w:bookmarkEnd w:id="32"/>
      <w:bookmarkEnd w:id="33"/>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提交投标文件截止时间：</w:t>
      </w:r>
      <w:r>
        <w:rPr>
          <w:rFonts w:hint="eastAsia" w:asciiTheme="minorEastAsia" w:hAnsiTheme="minorEastAsia" w:eastAsiaTheme="minorEastAsia" w:cstheme="minorEastAsia"/>
          <w:bCs/>
          <w:color w:val="auto"/>
          <w:sz w:val="24"/>
          <w:szCs w:val="24"/>
          <w:lang w:eastAsia="zh-CN"/>
        </w:rPr>
        <w:t>202</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11</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27</w:t>
      </w:r>
      <w:r>
        <w:rPr>
          <w:rFonts w:hint="eastAsia" w:asciiTheme="minorEastAsia" w:hAnsiTheme="minorEastAsia" w:eastAsiaTheme="minorEastAsia" w:cstheme="minorEastAsia"/>
          <w:color w:val="auto"/>
          <w:sz w:val="24"/>
          <w:szCs w:val="24"/>
          <w:u w:val="none"/>
        </w:rPr>
        <w:t>日</w:t>
      </w:r>
      <w:r>
        <w:rPr>
          <w:rFonts w:hint="eastAsia" w:asciiTheme="minorEastAsia" w:hAnsiTheme="minorEastAsia" w:eastAsiaTheme="minorEastAsia" w:cstheme="minorEastAsia"/>
          <w:bCs/>
          <w:color w:val="auto"/>
          <w:sz w:val="24"/>
          <w:szCs w:val="24"/>
          <w:lang w:val="en-US" w:eastAsia="zh-CN"/>
        </w:rPr>
        <w:t>9</w:t>
      </w:r>
      <w:r>
        <w:rPr>
          <w:rFonts w:hint="eastAsia" w:asciiTheme="minorEastAsia" w:hAnsiTheme="minorEastAsia" w:eastAsiaTheme="minorEastAsia" w:cstheme="minorEastAsia"/>
          <w:bCs/>
          <w:color w:val="auto"/>
          <w:sz w:val="24"/>
          <w:szCs w:val="24"/>
          <w:lang w:eastAsia="zh-CN"/>
        </w:rPr>
        <w:t>点</w:t>
      </w:r>
      <w:r>
        <w:rPr>
          <w:rFonts w:hint="eastAsia" w:asciiTheme="minorEastAsia" w:hAnsiTheme="minorEastAsia" w:eastAsiaTheme="minorEastAsia" w:cstheme="minorEastAsia"/>
          <w:bCs/>
          <w:color w:val="auto"/>
          <w:sz w:val="24"/>
          <w:szCs w:val="24"/>
        </w:rPr>
        <w:t>30分（北京时间）</w:t>
      </w:r>
    </w:p>
    <w:p>
      <w:pPr>
        <w:pageBreakBefore w:val="0"/>
        <w:kinsoku/>
        <w:wordWrap/>
        <w:overflowPunct/>
        <w:topLinePunct w:val="0"/>
        <w:bidi w:val="0"/>
        <w:snapToGrid/>
        <w:spacing w:line="360" w:lineRule="auto"/>
        <w:ind w:right="0" w:rightChars="0" w:firstLine="480" w:firstLineChars="200"/>
        <w:textAlignment w:val="auto"/>
        <w:rPr>
          <w:rFonts w:hint="eastAsia" w:eastAsia="宋体"/>
          <w:color w:val="auto"/>
          <w:sz w:val="24"/>
          <w:szCs w:val="24"/>
          <w:u w:val="none"/>
          <w:lang w:val="en-US" w:eastAsia="zh-CN"/>
        </w:rPr>
      </w:pPr>
      <w:r>
        <w:rPr>
          <w:rFonts w:hint="eastAsia"/>
          <w:color w:val="auto"/>
          <w:sz w:val="24"/>
          <w:szCs w:val="24"/>
          <w:lang w:val="en-US" w:eastAsia="zh-CN"/>
        </w:rPr>
        <w:t>开标时间：</w:t>
      </w:r>
      <w:r>
        <w:rPr>
          <w:rFonts w:hint="eastAsia" w:asciiTheme="minorEastAsia" w:hAnsiTheme="minorEastAsia" w:eastAsiaTheme="minorEastAsia" w:cstheme="minorEastAsia"/>
          <w:bCs/>
          <w:color w:val="auto"/>
          <w:sz w:val="24"/>
          <w:szCs w:val="24"/>
          <w:lang w:eastAsia="zh-CN"/>
        </w:rPr>
        <w:t>202</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lang w:val="en-US" w:eastAsia="zh-CN"/>
        </w:rPr>
        <w:t>11</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lang w:val="en-US" w:eastAsia="zh-CN"/>
        </w:rPr>
        <w:t>27</w:t>
      </w:r>
      <w:r>
        <w:rPr>
          <w:rFonts w:hint="eastAsia" w:asciiTheme="minorEastAsia" w:hAnsiTheme="minorEastAsia" w:eastAsiaTheme="minorEastAsia" w:cstheme="minorEastAsia"/>
          <w:bCs/>
          <w:color w:val="auto"/>
          <w:sz w:val="24"/>
          <w:szCs w:val="24"/>
        </w:rPr>
        <w:t>日</w:t>
      </w:r>
      <w:r>
        <w:rPr>
          <w:rFonts w:hint="eastAsia" w:asciiTheme="minorEastAsia" w:hAnsiTheme="minorEastAsia" w:eastAsiaTheme="minorEastAsia" w:cstheme="minorEastAsia"/>
          <w:bCs/>
          <w:color w:val="auto"/>
          <w:sz w:val="24"/>
          <w:szCs w:val="24"/>
          <w:lang w:val="en-US" w:eastAsia="zh-CN"/>
        </w:rPr>
        <w:t>9</w:t>
      </w:r>
      <w:r>
        <w:rPr>
          <w:rFonts w:hint="eastAsia" w:asciiTheme="minorEastAsia" w:hAnsiTheme="minorEastAsia" w:eastAsiaTheme="minorEastAsia" w:cstheme="minorEastAsia"/>
          <w:bCs/>
          <w:color w:val="auto"/>
          <w:sz w:val="24"/>
          <w:szCs w:val="24"/>
          <w:lang w:eastAsia="zh-CN"/>
        </w:rPr>
        <w:t>点</w:t>
      </w:r>
      <w:r>
        <w:rPr>
          <w:rFonts w:hint="eastAsia" w:asciiTheme="minorEastAsia" w:hAnsiTheme="minorEastAsia" w:eastAsiaTheme="minorEastAsia" w:cstheme="minorEastAsia"/>
          <w:bCs/>
          <w:color w:val="auto"/>
          <w:sz w:val="24"/>
          <w:szCs w:val="24"/>
          <w:u w:val="none"/>
        </w:rPr>
        <w:t>30分（北京时间）</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bCs/>
          <w:color w:val="auto"/>
          <w:sz w:val="24"/>
          <w:szCs w:val="24"/>
          <w:u w:val="none"/>
          <w:lang w:val="en-US" w:eastAsia="zh-CN"/>
        </w:rPr>
      </w:pPr>
      <w:r>
        <w:rPr>
          <w:rFonts w:hint="eastAsia" w:asciiTheme="minorEastAsia" w:hAnsiTheme="minorEastAsia" w:eastAsiaTheme="minorEastAsia" w:cstheme="minorEastAsia"/>
          <w:color w:val="auto"/>
          <w:sz w:val="24"/>
          <w:szCs w:val="24"/>
          <w:u w:val="none"/>
        </w:rPr>
        <w:t>地点：</w:t>
      </w:r>
      <w:r>
        <w:rPr>
          <w:rFonts w:hint="eastAsia" w:asciiTheme="minorEastAsia" w:hAnsiTheme="minorEastAsia" w:eastAsiaTheme="minorEastAsia" w:cstheme="minorEastAsia"/>
          <w:color w:val="auto"/>
          <w:sz w:val="24"/>
          <w:szCs w:val="24"/>
          <w:u w:val="none"/>
          <w:lang w:val="en-US" w:eastAsia="zh-CN"/>
        </w:rPr>
        <w:t>上海市普陀区长寿路285号恒达大厦22楼开标大厅</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34" w:name="_Toc35393625"/>
      <w:bookmarkStart w:id="35" w:name="_Toc28359084"/>
      <w:bookmarkStart w:id="36" w:name="_Toc35393794"/>
      <w:bookmarkStart w:id="37" w:name="_Toc28359007"/>
      <w:bookmarkStart w:id="38" w:name="_Toc16694"/>
      <w:bookmarkStart w:id="39" w:name="_Toc19567"/>
      <w:r>
        <w:rPr>
          <w:rFonts w:hint="eastAsia" w:asciiTheme="minorEastAsia" w:hAnsiTheme="minorEastAsia" w:eastAsiaTheme="minorEastAsia" w:cstheme="minorEastAsia"/>
          <w:b/>
          <w:bCs/>
          <w:color w:val="auto"/>
          <w:sz w:val="24"/>
          <w:szCs w:val="24"/>
        </w:rPr>
        <w:t>公告期限</w:t>
      </w:r>
      <w:bookmarkEnd w:id="34"/>
      <w:bookmarkEnd w:id="35"/>
      <w:bookmarkEnd w:id="36"/>
      <w:bookmarkEnd w:id="37"/>
      <w:bookmarkEnd w:id="38"/>
      <w:bookmarkEnd w:id="39"/>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自本公告发布之日起5个工作日。</w:t>
      </w: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40" w:name="_Toc35393626"/>
      <w:bookmarkStart w:id="41" w:name="_Toc35393795"/>
      <w:bookmarkStart w:id="42" w:name="_Toc4989"/>
      <w:bookmarkStart w:id="43" w:name="_Toc180"/>
      <w:r>
        <w:rPr>
          <w:rFonts w:hint="eastAsia" w:asciiTheme="minorEastAsia" w:hAnsiTheme="minorEastAsia" w:eastAsiaTheme="minorEastAsia" w:cstheme="minorEastAsia"/>
          <w:b/>
          <w:bCs/>
          <w:color w:val="auto"/>
          <w:sz w:val="24"/>
          <w:szCs w:val="24"/>
        </w:rPr>
        <w:t>其他补充事宜</w:t>
      </w:r>
      <w:bookmarkEnd w:id="40"/>
      <w:bookmarkEnd w:id="41"/>
      <w:bookmarkEnd w:id="42"/>
      <w:bookmarkEnd w:id="43"/>
    </w:p>
    <w:p>
      <w:pPr>
        <w:pStyle w:val="65"/>
        <w:pageBreakBefore w:val="0"/>
        <w:kinsoku/>
        <w:wordWrap/>
        <w:overflowPunct/>
        <w:topLinePunct w:val="0"/>
        <w:bidi w:val="0"/>
        <w:snapToGrid/>
        <w:spacing w:line="360" w:lineRule="auto"/>
        <w:ind w:left="495" w:right="0" w:rightChars="0" w:firstLine="0" w:firstLineChars="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本次招标执行支持中小微企业、促进残疾人就业、支持监狱和戒毒企业、扶持不发达地区和少数民族地区等相关政策。</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投标人须保证获得招标文件需提交的资料和所填写内容真实、完整、有效、一致，如因投标人递交</w:t>
      </w:r>
      <w:r>
        <w:rPr>
          <w:rFonts w:hint="eastAsia" w:asciiTheme="minorEastAsia" w:hAnsiTheme="minorEastAsia" w:eastAsiaTheme="minorEastAsia" w:cstheme="minorEastAsia"/>
          <w:color w:val="auto"/>
          <w:sz w:val="24"/>
          <w:szCs w:val="24"/>
          <w:highlight w:val="none"/>
          <w:u w:val="none"/>
        </w:rPr>
        <w:t>虚假</w:t>
      </w:r>
      <w:r>
        <w:rPr>
          <w:rFonts w:hint="eastAsia" w:asciiTheme="minorEastAsia" w:hAnsiTheme="minorEastAsia" w:eastAsiaTheme="minorEastAsia" w:cstheme="minorEastAsia"/>
          <w:color w:val="auto"/>
          <w:sz w:val="24"/>
          <w:szCs w:val="24"/>
          <w:highlight w:val="none"/>
        </w:rPr>
        <w:t>材料或填写信息错误导致的与本项目有关的任何损失由投标人承担。</w:t>
      </w:r>
    </w:p>
    <w:p>
      <w:pPr>
        <w:pStyle w:val="65"/>
        <w:pageBreakBefore w:val="0"/>
        <w:kinsoku/>
        <w:wordWrap/>
        <w:overflowPunct/>
        <w:topLinePunct w:val="0"/>
        <w:bidi w:val="0"/>
        <w:snapToGrid/>
        <w:spacing w:line="360" w:lineRule="auto"/>
        <w:ind w:left="495" w:right="0" w:rightChars="0" w:firstLine="0" w:firstLineChars="0"/>
        <w:textAlignment w:val="auto"/>
        <w:rPr>
          <w:rFonts w:hint="eastAsia" w:asciiTheme="minorEastAsia" w:hAnsiTheme="minorEastAsia" w:eastAsiaTheme="minorEastAsia" w:cstheme="minorEastAsia"/>
          <w:color w:val="auto"/>
          <w:sz w:val="24"/>
          <w:szCs w:val="24"/>
        </w:rPr>
      </w:pPr>
    </w:p>
    <w:p>
      <w:pPr>
        <w:numPr>
          <w:ilvl w:val="0"/>
          <w:numId w:val="1"/>
        </w:numPr>
        <w:spacing w:line="360" w:lineRule="auto"/>
        <w:outlineLvl w:val="1"/>
        <w:rPr>
          <w:rFonts w:hint="eastAsia" w:asciiTheme="minorEastAsia" w:hAnsiTheme="minorEastAsia" w:eastAsiaTheme="minorEastAsia" w:cstheme="minorEastAsia"/>
          <w:b/>
          <w:bCs/>
          <w:color w:val="auto"/>
          <w:sz w:val="24"/>
          <w:szCs w:val="24"/>
        </w:rPr>
      </w:pPr>
      <w:bookmarkStart w:id="44" w:name="_Toc35393627"/>
      <w:bookmarkStart w:id="45" w:name="_Toc28359008"/>
      <w:bookmarkStart w:id="46" w:name="_Toc27976"/>
      <w:bookmarkStart w:id="47" w:name="_Toc2168"/>
      <w:bookmarkStart w:id="48" w:name="_Toc35393796"/>
      <w:bookmarkStart w:id="49" w:name="_Toc28359085"/>
      <w:r>
        <w:rPr>
          <w:rFonts w:hint="eastAsia" w:asciiTheme="minorEastAsia" w:hAnsiTheme="minorEastAsia" w:eastAsiaTheme="minorEastAsia" w:cstheme="minorEastAsia"/>
          <w:b/>
          <w:bCs/>
          <w:color w:val="auto"/>
          <w:sz w:val="24"/>
          <w:szCs w:val="24"/>
        </w:rPr>
        <w:t>对本次招标提出询问，请按以下方式联系。</w:t>
      </w:r>
      <w:bookmarkEnd w:id="44"/>
      <w:bookmarkEnd w:id="45"/>
      <w:bookmarkEnd w:id="46"/>
      <w:bookmarkEnd w:id="47"/>
      <w:bookmarkEnd w:id="48"/>
      <w:bookmarkEnd w:id="49"/>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1.采购人信息</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val="en-US" w:eastAsia="zh-CN"/>
        </w:rPr>
        <w:t>复旦大学附属中山医院</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地址：上海市</w:t>
      </w:r>
      <w:r>
        <w:rPr>
          <w:rFonts w:hint="eastAsia" w:asciiTheme="minorEastAsia" w:hAnsiTheme="minorEastAsia" w:eastAsiaTheme="minorEastAsia" w:cstheme="minorEastAsia"/>
          <w:color w:val="auto"/>
          <w:sz w:val="24"/>
          <w:szCs w:val="24"/>
          <w:lang w:eastAsia="zh-CN"/>
        </w:rPr>
        <w:t>枫林路180号</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联系方式：</w:t>
      </w:r>
      <w:bookmarkStart w:id="50" w:name="_Toc28359086"/>
      <w:bookmarkStart w:id="51" w:name="_Toc28359009"/>
      <w:r>
        <w:rPr>
          <w:rFonts w:hint="eastAsia" w:asciiTheme="minorEastAsia" w:hAnsiTheme="minorEastAsia" w:eastAsiaTheme="minorEastAsia" w:cstheme="minorEastAsia"/>
          <w:color w:val="auto"/>
          <w:sz w:val="24"/>
          <w:szCs w:val="24"/>
          <w:lang w:eastAsia="zh-CN"/>
        </w:rPr>
        <w:t>仲敏</w:t>
      </w:r>
      <w:r>
        <w:rPr>
          <w:rFonts w:hint="eastAsia" w:asciiTheme="minorEastAsia" w:hAnsiTheme="minorEastAsia" w:eastAsiaTheme="minorEastAsia" w:cstheme="minorEastAsia"/>
          <w:color w:val="auto"/>
          <w:sz w:val="24"/>
          <w:szCs w:val="24"/>
        </w:rPr>
        <w:t xml:space="preserve"> 021-</w:t>
      </w:r>
      <w:r>
        <w:rPr>
          <w:rFonts w:hint="eastAsia" w:asciiTheme="minorEastAsia" w:hAnsiTheme="minorEastAsia" w:eastAsiaTheme="minorEastAsia" w:cstheme="minorEastAsia"/>
          <w:color w:val="auto"/>
          <w:sz w:val="24"/>
          <w:szCs w:val="24"/>
          <w:lang w:eastAsia="zh-CN"/>
        </w:rPr>
        <w:t>64041990</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bookmarkEnd w:id="50"/>
      <w:bookmarkEnd w:id="51"/>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上海机电设备招标有限公司</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地址：上海市普陀区长寿路285号恒达大厦16楼</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bookmarkStart w:id="52" w:name="_Toc28359010"/>
      <w:bookmarkStart w:id="53" w:name="_Toc28359087"/>
      <w:r>
        <w:rPr>
          <w:rFonts w:hint="eastAsia" w:asciiTheme="minorEastAsia" w:hAnsiTheme="minorEastAsia" w:eastAsiaTheme="minorEastAsia" w:cstheme="minorEastAsia"/>
          <w:color w:val="auto"/>
          <w:sz w:val="24"/>
          <w:szCs w:val="24"/>
          <w:lang w:eastAsia="zh-CN"/>
        </w:rPr>
        <w:t>张子豪、孙瑞强，</w:t>
      </w:r>
      <w:r>
        <w:rPr>
          <w:rFonts w:hint="eastAsia" w:asciiTheme="minorEastAsia" w:hAnsiTheme="minorEastAsia" w:eastAsiaTheme="minorEastAsia" w:cstheme="minorEastAsia"/>
          <w:color w:val="auto"/>
          <w:sz w:val="24"/>
          <w:szCs w:val="24"/>
        </w:rPr>
        <w:t>021-</w:t>
      </w:r>
      <w:r>
        <w:rPr>
          <w:rFonts w:hint="eastAsia" w:asciiTheme="minorEastAsia" w:hAnsiTheme="minorEastAsia" w:eastAsiaTheme="minorEastAsia" w:cstheme="minorEastAsia"/>
          <w:color w:val="auto"/>
          <w:sz w:val="24"/>
          <w:szCs w:val="24"/>
          <w:lang w:eastAsia="zh-CN"/>
        </w:rPr>
        <w:t>32557735、32557738</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电子邮箱：zzh@shbid.com</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3.项目联系方式</w:t>
      </w:r>
      <w:bookmarkEnd w:id="52"/>
      <w:bookmarkEnd w:id="53"/>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eastAsia="zh-CN"/>
        </w:rPr>
        <w:t>张子豪、孙瑞强</w:t>
      </w:r>
    </w:p>
    <w:p>
      <w:pPr>
        <w:pageBreakBefore w:val="0"/>
        <w:kinsoku/>
        <w:wordWrap/>
        <w:overflowPunct/>
        <w:topLinePunct w:val="0"/>
        <w:bidi w:val="0"/>
        <w:snapToGri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电话：021-</w:t>
      </w:r>
      <w:bookmarkEnd w:id="5"/>
      <w:bookmarkEnd w:id="6"/>
      <w:bookmarkEnd w:id="7"/>
      <w:r>
        <w:rPr>
          <w:rFonts w:hint="eastAsia" w:asciiTheme="minorEastAsia" w:hAnsiTheme="minorEastAsia" w:eastAsiaTheme="minorEastAsia" w:cstheme="minorEastAsia"/>
          <w:color w:val="auto"/>
          <w:sz w:val="24"/>
          <w:szCs w:val="24"/>
          <w:lang w:eastAsia="zh-CN"/>
        </w:rPr>
        <w:t>32557735、32557738</w:t>
      </w:r>
    </w:p>
    <w:p>
      <w:pPr>
        <w:pStyle w:val="12"/>
        <w:rPr>
          <w:rFonts w:hint="eastAsia" w:asciiTheme="minorEastAsia" w:hAnsiTheme="minorEastAsia" w:eastAsiaTheme="minorEastAsia" w:cstheme="minorEastAsia"/>
          <w:color w:val="auto"/>
          <w:sz w:val="24"/>
          <w:szCs w:val="24"/>
          <w:u w:val="none"/>
          <w:lang w:eastAsia="zh-CN"/>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28"/>
          <w:szCs w:val="28"/>
        </w:rPr>
        <w:sectPr>
          <w:footerReference r:id="rId3" w:type="default"/>
          <w:pgSz w:w="11907" w:h="16839"/>
          <w:pgMar w:top="1440" w:right="1803" w:bottom="1440" w:left="1803" w:header="720" w:footer="720" w:gutter="0"/>
          <w:pgBorders>
            <w:top w:val="none" w:sz="0" w:space="0"/>
            <w:left w:val="none" w:sz="0" w:space="0"/>
            <w:bottom w:val="none" w:sz="0" w:space="0"/>
            <w:right w:val="none" w:sz="0" w:space="0"/>
          </w:pgBorders>
          <w:pgNumType w:start="1"/>
          <w:cols w:space="720" w:num="1"/>
          <w:rtlGutter w:val="0"/>
          <w:docGrid w:linePitch="286" w:charSpace="0"/>
        </w:sectPr>
      </w:pPr>
      <w:bookmarkStart w:id="54" w:name="_Toc392227736"/>
    </w:p>
    <w:bookmarkEnd w:id="54"/>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rPr>
      </w:pPr>
      <w:bookmarkStart w:id="55" w:name="_Toc16054"/>
      <w:bookmarkStart w:id="56" w:name="_Toc392227745"/>
      <w:bookmarkStart w:id="57" w:name="_Toc457747927"/>
      <w:bookmarkStart w:id="58" w:name="_Toc27674"/>
      <w:bookmarkStart w:id="59" w:name="_Toc31504"/>
      <w:r>
        <w:rPr>
          <w:rFonts w:hint="eastAsia" w:asciiTheme="minorEastAsia" w:hAnsiTheme="minorEastAsia" w:eastAsiaTheme="minorEastAsia" w:cstheme="minorEastAsia"/>
          <w:color w:val="auto"/>
          <w:sz w:val="32"/>
          <w:szCs w:val="32"/>
        </w:rPr>
        <w:t>第二章 投标人须知</w:t>
      </w:r>
      <w:bookmarkEnd w:id="55"/>
      <w:bookmarkEnd w:id="56"/>
      <w:bookmarkEnd w:id="57"/>
      <w:bookmarkEnd w:id="58"/>
      <w:bookmarkEnd w:id="59"/>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60" w:name="_Toc457747928"/>
      <w:bookmarkStart w:id="61" w:name="_Toc29104"/>
      <w:bookmarkStart w:id="62" w:name="_Toc16358"/>
      <w:bookmarkStart w:id="63" w:name="_Toc392227746"/>
      <w:r>
        <w:rPr>
          <w:rFonts w:hint="eastAsia" w:asciiTheme="minorEastAsia" w:hAnsiTheme="minorEastAsia" w:eastAsiaTheme="minorEastAsia" w:cstheme="minorEastAsia"/>
          <w:color w:val="auto"/>
          <w:sz w:val="30"/>
          <w:szCs w:val="30"/>
        </w:rPr>
        <w:t>投标人须知前附表</w:t>
      </w:r>
      <w:bookmarkEnd w:id="60"/>
      <w:bookmarkEnd w:id="61"/>
      <w:bookmarkEnd w:id="62"/>
      <w:bookmarkEnd w:id="63"/>
    </w:p>
    <w:tbl>
      <w:tblPr>
        <w:tblStyle w:val="3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79"/>
        <w:gridCol w:w="1821"/>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条款号</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条款名称</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复旦大学附属中山医院</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lang w:eastAsia="zh-CN"/>
              </w:rPr>
              <w:t>上海市枫林路180号</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eastAsia="zh-CN"/>
              </w:rPr>
              <w:t>仲敏</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lang w:val="en-US" w:eastAsia="zh-CN"/>
              </w:rPr>
              <w:t>021-64041990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招标代理机构</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名称：上海机电设备招标有限公司</w:t>
            </w:r>
          </w:p>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地址：上海市普陀区长寿路285号恒达大厦16楼</w:t>
            </w:r>
          </w:p>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eastAsia="zh-CN"/>
              </w:rPr>
              <w:t>张子豪、孙瑞强</w:t>
            </w:r>
          </w:p>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lang w:val="en-US" w:eastAsia="zh-CN"/>
              </w:rPr>
              <w:t>021-32557735、32557738</w:t>
            </w:r>
          </w:p>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r>
              <w:rPr>
                <w:rFonts w:hint="eastAsia" w:asciiTheme="minorEastAsia" w:hAnsiTheme="minorEastAsia" w:eastAsiaTheme="minorEastAsia" w:cstheme="minorEastAsia"/>
                <w:color w:val="auto"/>
                <w:sz w:val="24"/>
                <w:szCs w:val="24"/>
                <w:lang w:val="en-US" w:eastAsia="zh-CN"/>
              </w:rPr>
              <w:t>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招标项目名称</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彩色多普勒超声诊断仪</w:t>
            </w:r>
          </w:p>
          <w:p>
            <w:pPr>
              <w:keepNext w:val="0"/>
              <w:keepLines w:val="0"/>
              <w:pageBreakBefore w:val="0"/>
              <w:kinsoku/>
              <w:overflowPunct/>
              <w:bidi w:val="0"/>
              <w:spacing w:beforeAutospacing="0" w:afterAutospacing="0" w:line="400" w:lineRule="exact"/>
              <w:rPr>
                <w:rFonts w:hint="eastAsia" w:eastAsia="宋体" w:asciiTheme="minorEastAsia" w:hAnsiTheme="minorEastAsia" w:cstheme="minorEastAsia"/>
                <w:color w:val="auto"/>
                <w:sz w:val="24"/>
                <w:szCs w:val="24"/>
                <w:lang w:eastAsia="zh-CN"/>
              </w:rPr>
            </w:pPr>
            <w:r>
              <w:rPr>
                <w:rFonts w:hint="eastAsia"/>
                <w:color w:val="auto"/>
                <w:sz w:val="24"/>
                <w:szCs w:val="24"/>
                <w:lang w:val="en-US" w:eastAsia="zh-CN"/>
              </w:rPr>
              <w:t>项目</w:t>
            </w:r>
            <w:r>
              <w:rPr>
                <w:rFonts w:hint="eastAsia"/>
                <w:color w:val="auto"/>
                <w:sz w:val="24"/>
                <w:szCs w:val="24"/>
              </w:rPr>
              <w:t>所属行业：</w:t>
            </w:r>
            <w:r>
              <w:rPr>
                <w:rFonts w:hint="eastAsia"/>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1.1.5</w:t>
            </w:r>
          </w:p>
        </w:tc>
        <w:tc>
          <w:tcPr>
            <w:tcW w:w="1821" w:type="dxa"/>
            <w:tcBorders>
              <w:tl2br w:val="nil"/>
              <w:tr2bl w:val="nil"/>
            </w:tcBorders>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是否划分包件</w:t>
            </w:r>
          </w:p>
        </w:tc>
        <w:tc>
          <w:tcPr>
            <w:tcW w:w="5660" w:type="dxa"/>
            <w:tcBorders>
              <w:tl2br w:val="nil"/>
              <w:tr2bl w:val="nil"/>
            </w:tcBorders>
            <w:vAlign w:val="center"/>
          </w:tcPr>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本项目不划分包件，投标人应对所有招标产品进行投标，不接受仅对其中部分产品进行投标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资金来源及比例</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rPr>
              <w:t>中央财政-医疗设备更新项目</w:t>
            </w:r>
            <w:r>
              <w:rPr>
                <w:rFonts w:hint="eastAsia" w:asciiTheme="minorEastAsia" w:hAnsiTheme="minorEastAsia" w:eastAsiaTheme="minorEastAsia" w:cstheme="minorEastAsia"/>
                <w:color w:val="auto"/>
                <w:sz w:val="24"/>
                <w:szCs w:val="24"/>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资金落实情况</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现场考察</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标前答疑会</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1821" w:type="dxa"/>
            <w:tcBorders>
              <w:tl2br w:val="nil"/>
              <w:tr2bl w:val="nil"/>
            </w:tcBorders>
            <w:vAlign w:val="center"/>
          </w:tcPr>
          <w:p>
            <w:pPr>
              <w:pStyle w:val="43"/>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5660" w:type="dxa"/>
            <w:tcBorders>
              <w:tl2br w:val="nil"/>
              <w:tr2bl w:val="nil"/>
            </w:tcBorders>
            <w:vAlign w:val="top"/>
          </w:tcPr>
          <w:p>
            <w:pPr>
              <w:pStyle w:val="43"/>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实质性要求和条件</w:t>
            </w:r>
          </w:p>
        </w:tc>
        <w:tc>
          <w:tcPr>
            <w:tcW w:w="5660" w:type="dxa"/>
            <w:tcBorders>
              <w:tl2br w:val="nil"/>
              <w:tr2bl w:val="nil"/>
            </w:tcBorders>
            <w:vAlign w:val="center"/>
          </w:tcPr>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见本招标文件中标注星号（</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构成招标文件的其他资料</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w:t>
            </w:r>
          </w:p>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投标人要求澄清招标文件的截止时间</w:t>
            </w:r>
          </w:p>
        </w:tc>
        <w:tc>
          <w:tcPr>
            <w:tcW w:w="5660" w:type="dxa"/>
            <w:tcBorders>
              <w:tl2br w:val="nil"/>
              <w:tr2bl w:val="nil"/>
            </w:tcBorders>
            <w:vAlign w:val="center"/>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lang w:val="en-US" w:eastAsia="zh-CN"/>
              </w:rPr>
              <w:t>2024</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11</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14</w:t>
            </w:r>
            <w:r>
              <w:rPr>
                <w:rFonts w:hint="eastAsia" w:asciiTheme="minorEastAsia" w:hAnsiTheme="minorEastAsia" w:eastAsiaTheme="minorEastAsia" w:cstheme="minorEastAsia"/>
                <w:color w:val="auto"/>
                <w:sz w:val="24"/>
                <w:szCs w:val="24"/>
                <w:u w:val="none"/>
              </w:rPr>
              <w:t>日</w:t>
            </w:r>
            <w:r>
              <w:rPr>
                <w:rFonts w:hint="eastAsia" w:asciiTheme="minorEastAsia" w:hAnsiTheme="minorEastAsia" w:eastAsiaTheme="minorEastAsia" w:cstheme="minorEastAsia"/>
                <w:color w:val="auto"/>
                <w:sz w:val="24"/>
                <w:szCs w:val="24"/>
                <w:u w:val="none"/>
                <w:lang w:val="en-US" w:eastAsia="zh-CN"/>
              </w:rPr>
              <w:t>12</w:t>
            </w:r>
            <w:r>
              <w:rPr>
                <w:rFonts w:hint="eastAsia" w:asciiTheme="minorEastAsia" w:hAnsiTheme="minorEastAsia" w:eastAsiaTheme="minorEastAsia" w:cstheme="minorEastAsia"/>
                <w:color w:val="auto"/>
                <w:sz w:val="24"/>
                <w:szCs w:val="24"/>
                <w:u w:val="none"/>
              </w:rPr>
              <w:t>时</w:t>
            </w:r>
            <w:r>
              <w:rPr>
                <w:rFonts w:hint="eastAsia" w:asciiTheme="minorEastAsia" w:hAnsiTheme="minorEastAsia" w:eastAsiaTheme="minorEastAsia" w:cstheme="minorEastAsia"/>
                <w:color w:val="auto"/>
                <w:sz w:val="24"/>
                <w:szCs w:val="24"/>
                <w:u w:val="none"/>
                <w:lang w:val="en-US" w:eastAsia="zh-CN"/>
              </w:rPr>
              <w:t>00</w:t>
            </w:r>
            <w:r>
              <w:rPr>
                <w:rFonts w:hint="eastAsia" w:asciiTheme="minorEastAsia" w:hAnsiTheme="minorEastAsia" w:eastAsiaTheme="minorEastAsia" w:cstheme="minorEastAsia"/>
                <w:color w:val="auto"/>
                <w:sz w:val="24"/>
                <w:szCs w:val="24"/>
                <w:u w:val="none"/>
              </w:rPr>
              <w:t>分；</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投标人须将盖章版扫描件和可编辑版（Word版）发</w:t>
            </w:r>
            <w:r>
              <w:rPr>
                <w:rFonts w:hint="eastAsia" w:asciiTheme="minorEastAsia" w:hAnsiTheme="minorEastAsia" w:eastAsiaTheme="minorEastAsia" w:cstheme="minorEastAsia"/>
                <w:color w:val="auto"/>
                <w:sz w:val="24"/>
                <w:szCs w:val="24"/>
                <w:u w:val="none"/>
                <w:lang w:val="fr-FR"/>
              </w:rPr>
              <w:t>E-mail至招标代理机构</w:t>
            </w:r>
            <w:r>
              <w:rPr>
                <w:rFonts w:hint="eastAsia" w:asciiTheme="minorEastAsia" w:hAnsiTheme="minorEastAsia" w:eastAsiaTheme="minorEastAsia" w:cstheme="minorEastAsia"/>
                <w:color w:val="auto"/>
                <w:sz w:val="24"/>
                <w:szCs w:val="24"/>
                <w:u w:val="none"/>
              </w:rPr>
              <w:t>以下邮箱：</w:t>
            </w:r>
            <w:r>
              <w:rPr>
                <w:rFonts w:hint="eastAsia" w:asciiTheme="minorEastAsia" w:hAnsiTheme="minorEastAsia" w:eastAsiaTheme="minorEastAsia" w:cstheme="minorEastAsia"/>
                <w:color w:val="auto"/>
                <w:sz w:val="24"/>
                <w:szCs w:val="24"/>
                <w:u w:val="none"/>
                <w:lang w:val="en-US" w:eastAsia="zh-CN"/>
              </w:rPr>
              <w:t>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招标文件的澄清和修改</w:t>
            </w:r>
          </w:p>
        </w:tc>
        <w:tc>
          <w:tcPr>
            <w:tcW w:w="5660" w:type="dxa"/>
            <w:tcBorders>
              <w:tl2br w:val="nil"/>
              <w:tr2bl w:val="nil"/>
            </w:tcBorders>
            <w:vAlign w:val="center"/>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招标文件的澄清和修改，将通过发布招标公告的媒介以</w:t>
            </w:r>
            <w:r>
              <w:rPr>
                <w:rFonts w:hint="eastAsia" w:asciiTheme="minorEastAsia" w:hAnsiTheme="minorEastAsia" w:eastAsiaTheme="minorEastAsia" w:cstheme="minorEastAsia"/>
                <w:b/>
                <w:color w:val="auto"/>
                <w:sz w:val="24"/>
                <w:szCs w:val="24"/>
                <w:u w:val="none"/>
              </w:rPr>
              <w:t>澄清或修改公告的形式发布</w:t>
            </w:r>
            <w:r>
              <w:rPr>
                <w:rFonts w:hint="eastAsia" w:asciiTheme="minorEastAsia" w:hAnsiTheme="minorEastAsia" w:eastAsiaTheme="minorEastAsia" w:cstheme="minorEastAsia"/>
                <w:color w:val="auto"/>
                <w:sz w:val="24"/>
                <w:szCs w:val="24"/>
                <w:u w:val="none"/>
              </w:rPr>
              <w:t>，除此以外的其他任何澄清、修改方式及澄清、修改内容均属无效，不得作为投标的依据。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3.1.1.3</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样品</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en-US" w:eastAsia="zh-CN"/>
              </w:rPr>
              <w:t>6</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最高投标限价</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本次招标不设定最高投标限价</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但投标报价</w:t>
            </w:r>
            <w:r>
              <w:rPr>
                <w:rFonts w:hint="eastAsia" w:asciiTheme="minorEastAsia" w:hAnsiTheme="minorEastAsia" w:eastAsiaTheme="minorEastAsia" w:cstheme="minorEastAsia"/>
                <w:b/>
                <w:bCs/>
                <w:color w:val="auto"/>
                <w:sz w:val="24"/>
                <w:szCs w:val="24"/>
              </w:rPr>
              <w:t>高于预算</w:t>
            </w:r>
            <w:r>
              <w:rPr>
                <w:rFonts w:hint="eastAsia" w:asciiTheme="minorEastAsia" w:hAnsiTheme="minorEastAsia" w:eastAsiaTheme="minorEastAsia" w:cstheme="minorEastAsia"/>
                <w:b/>
                <w:bCs/>
                <w:color w:val="auto"/>
                <w:sz w:val="24"/>
                <w:szCs w:val="24"/>
                <w:lang w:val="en-US" w:eastAsia="zh-CN"/>
              </w:rPr>
              <w:t>金额</w:t>
            </w:r>
            <w:r>
              <w:rPr>
                <w:rFonts w:hint="eastAsia" w:asciiTheme="minorEastAsia" w:hAnsiTheme="minorEastAsia" w:eastAsiaTheme="minorEastAsia" w:cstheme="minorEastAsia"/>
                <w:b/>
                <w:bCs/>
                <w:color w:val="auto"/>
                <w:sz w:val="24"/>
                <w:szCs w:val="24"/>
              </w:rPr>
              <w:t>的投标将</w:t>
            </w:r>
            <w:r>
              <w:rPr>
                <w:rFonts w:hint="eastAsia" w:asciiTheme="minorEastAsia" w:hAnsiTheme="minorEastAsia" w:eastAsiaTheme="minorEastAsia" w:cstheme="minorEastAsia"/>
                <w:b/>
                <w:bCs/>
                <w:color w:val="auto"/>
                <w:sz w:val="24"/>
                <w:szCs w:val="24"/>
                <w:lang w:val="en-US" w:eastAsia="zh-CN"/>
              </w:rPr>
              <w:t>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en-US" w:eastAsia="zh-CN"/>
              </w:rPr>
              <w:t>9</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投标报价的其他要求</w:t>
            </w:r>
          </w:p>
        </w:tc>
        <w:tc>
          <w:tcPr>
            <w:tcW w:w="5660" w:type="dxa"/>
            <w:tcBorders>
              <w:tl2br w:val="nil"/>
              <w:tr2bl w:val="nil"/>
            </w:tcBorders>
            <w:vAlign w:val="center"/>
          </w:tcPr>
          <w:p>
            <w:pPr>
              <w:keepNext w:val="0"/>
              <w:keepLines w:val="0"/>
              <w:pageBreakBefore w:val="0"/>
              <w:numPr>
                <w:ilvl w:val="0"/>
                <w:numId w:val="3"/>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所报费用包括可能发生的所有与完成本项目有关的一切费用。包括但不限于货物价款（含必备的附件，如配件、备品备件、专用工具等）、包装费、运输费、装卸费、保险费、税费、安装费、调试费、培训费等一切费用。</w:t>
            </w:r>
          </w:p>
          <w:p>
            <w:pPr>
              <w:keepNext w:val="0"/>
              <w:keepLines w:val="0"/>
              <w:pageBreakBefore w:val="0"/>
              <w:numPr>
                <w:ilvl w:val="0"/>
                <w:numId w:val="3"/>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本次招标允许报优惠价，但必须折算到单价中，不允许以一次性优惠方式报价。投标人必须提供投标分项报价表，投标总价=Σ单价×数量。不符合要求的投标应当予以否决。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从投标截止之日起</w:t>
            </w:r>
            <w:bookmarkStart w:id="64" w:name="_Toc384308207"/>
            <w:bookmarkStart w:id="65" w:name="_Toc300834946"/>
            <w:bookmarkStart w:id="66" w:name="_Toc352691470"/>
            <w:bookmarkStart w:id="67" w:name="_Toc361508582"/>
            <w:bookmarkStart w:id="68" w:name="_Toc1789"/>
            <w:bookmarkStart w:id="69" w:name="_Toc369531512"/>
            <w:r>
              <w:rPr>
                <w:rFonts w:hint="eastAsia" w:asciiTheme="minorEastAsia" w:hAnsiTheme="minorEastAsia" w:eastAsiaTheme="minorEastAsia" w:cstheme="minorEastAsia"/>
                <w:color w:val="auto"/>
                <w:sz w:val="24"/>
                <w:szCs w:val="24"/>
                <w:u w:val="none"/>
                <w:lang w:val="en-US" w:eastAsia="zh-CN"/>
              </w:rPr>
              <w:t>90</w:t>
            </w:r>
            <w:r>
              <w:rPr>
                <w:rFonts w:hint="eastAsia" w:asciiTheme="minorEastAsia" w:hAnsiTheme="minorEastAsia" w:eastAsiaTheme="minorEastAsia" w:cstheme="minorEastAsia"/>
                <w:color w:val="auto"/>
                <w:sz w:val="24"/>
                <w:szCs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bookmarkEnd w:id="64"/>
            <w:bookmarkEnd w:id="65"/>
            <w:bookmarkEnd w:id="66"/>
            <w:bookmarkEnd w:id="67"/>
            <w:bookmarkEnd w:id="68"/>
            <w:bookmarkEnd w:id="69"/>
            <w:r>
              <w:rPr>
                <w:rFonts w:hint="eastAsia" w:asciiTheme="minorEastAsia" w:hAnsiTheme="minorEastAsia" w:eastAsiaTheme="minorEastAsia" w:cstheme="minorEastAsia"/>
                <w:color w:val="auto"/>
                <w:sz w:val="24"/>
                <w:szCs w:val="24"/>
              </w:rPr>
              <w:t>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w:t>
            </w:r>
          </w:p>
        </w:tc>
        <w:tc>
          <w:tcPr>
            <w:tcW w:w="5660" w:type="dxa"/>
            <w:tcBorders>
              <w:tl2br w:val="nil"/>
              <w:tr2bl w:val="nil"/>
            </w:tcBorders>
            <w:vAlign w:val="center"/>
          </w:tcPr>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投标人</w:t>
            </w:r>
            <w:r>
              <w:rPr>
                <w:rFonts w:hint="eastAsia" w:asciiTheme="minorEastAsia" w:hAnsiTheme="minorEastAsia" w:eastAsiaTheme="minorEastAsia" w:cstheme="minorEastAsia"/>
                <w:color w:val="auto"/>
                <w:szCs w:val="24"/>
                <w:lang w:val="en-US" w:eastAsia="zh-CN"/>
              </w:rPr>
              <w:t>应按招标文件要求</w:t>
            </w:r>
            <w:r>
              <w:rPr>
                <w:rFonts w:hint="eastAsia" w:asciiTheme="minorEastAsia" w:hAnsiTheme="minorEastAsia" w:eastAsiaTheme="minorEastAsia" w:cstheme="minorEastAsia"/>
                <w:color w:val="auto"/>
                <w:szCs w:val="24"/>
              </w:rPr>
              <w:t>递交投标保证金：</w:t>
            </w:r>
          </w:p>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投标保证金的金额：人民币</w:t>
            </w:r>
            <w:r>
              <w:rPr>
                <w:rFonts w:hint="eastAsia" w:asciiTheme="minorEastAsia" w:hAnsiTheme="minorEastAsia" w:eastAsiaTheme="minorEastAsia" w:cstheme="minorEastAsia"/>
                <w:color w:val="auto"/>
                <w:szCs w:val="24"/>
                <w:lang w:val="en-US" w:eastAsia="zh-CN"/>
              </w:rPr>
              <w:t>30000</w:t>
            </w:r>
            <w:r>
              <w:rPr>
                <w:rFonts w:hint="eastAsia" w:asciiTheme="minorEastAsia" w:hAnsiTheme="minorEastAsia" w:eastAsiaTheme="minorEastAsia" w:cstheme="minorEastAsia"/>
                <w:color w:val="auto"/>
                <w:szCs w:val="24"/>
              </w:rPr>
              <w:t>元</w:t>
            </w:r>
          </w:p>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投标保证金的形式：按《投标保证金提交与退还操作须知》（见本章附件）提交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3.4.4</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其他可以不予退还投标保证金的情形</w:t>
            </w:r>
          </w:p>
        </w:tc>
        <w:tc>
          <w:tcPr>
            <w:tcW w:w="5660" w:type="dxa"/>
            <w:tcBorders>
              <w:tl2br w:val="nil"/>
              <w:tr2bl w:val="nil"/>
            </w:tcBorders>
            <w:vAlign w:val="center"/>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i/>
                <w:color w:val="auto"/>
                <w:sz w:val="24"/>
                <w:szCs w:val="24"/>
                <w:lang w:eastAsia="zh-CN"/>
              </w:rPr>
            </w:pPr>
            <w:r>
              <w:rPr>
                <w:rFonts w:hint="eastAsia" w:asciiTheme="minorEastAsia" w:hAnsiTheme="minorEastAsia" w:eastAsiaTheme="minorEastAsia" w:cstheme="minor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3.5.1.2</w:t>
            </w:r>
          </w:p>
        </w:tc>
        <w:tc>
          <w:tcPr>
            <w:tcW w:w="1821" w:type="dxa"/>
            <w:tcBorders>
              <w:tl2br w:val="nil"/>
              <w:tr2bl w:val="nil"/>
            </w:tcBorders>
            <w:vAlign w:val="center"/>
          </w:tcPr>
          <w:p>
            <w:pPr>
              <w:spacing w:line="400" w:lineRule="exact"/>
              <w:jc w:val="left"/>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财务状况报告，依法缴纳税收和社会保障资金的相关材料</w:t>
            </w:r>
          </w:p>
        </w:tc>
        <w:tc>
          <w:tcPr>
            <w:tcW w:w="5660" w:type="dxa"/>
            <w:tcBorders>
              <w:tl2br w:val="nil"/>
              <w:tr2bl w:val="nil"/>
            </w:tcBorders>
            <w:vAlign w:val="center"/>
          </w:tcPr>
          <w:p>
            <w:pPr>
              <w:keepNext w:val="0"/>
              <w:keepLines w:val="0"/>
              <w:pageBreakBefore w:val="0"/>
              <w:numPr>
                <w:ilvl w:val="0"/>
                <w:numId w:val="4"/>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投标人是法人的，应提供近2年</w:t>
            </w:r>
            <w:r>
              <w:rPr>
                <w:rFonts w:hint="eastAsia" w:asciiTheme="minorEastAsia" w:hAnsiTheme="minorEastAsia" w:eastAsiaTheme="minorEastAsia" w:cstheme="minorEastAsia"/>
                <w:b/>
                <w:bCs/>
                <w:color w:val="auto"/>
                <w:sz w:val="24"/>
                <w:szCs w:val="24"/>
                <w:lang w:val="en-US" w:eastAsia="zh-CN"/>
              </w:rPr>
              <w:t>经审计</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财务报告（</w:t>
            </w:r>
            <w:r>
              <w:rPr>
                <w:rFonts w:hint="eastAsia" w:asciiTheme="minorEastAsia" w:hAnsiTheme="minorEastAsia" w:eastAsiaTheme="minorEastAsia" w:cstheme="minorEastAsia"/>
                <w:color w:val="auto"/>
                <w:sz w:val="24"/>
                <w:szCs w:val="24"/>
                <w:lang w:val="en-US" w:eastAsia="zh-CN"/>
              </w:rPr>
              <w:t>2022年和2023年</w:t>
            </w:r>
            <w:r>
              <w:rPr>
                <w:rFonts w:hint="eastAsia" w:asciiTheme="minorEastAsia" w:hAnsiTheme="minorEastAsia" w:eastAsiaTheme="minorEastAsia" w:cstheme="minorEastAsia"/>
                <w:color w:val="auto"/>
                <w:sz w:val="24"/>
                <w:szCs w:val="24"/>
              </w:rPr>
              <w:t>。截止至投标日成立不足2年的投标人可提供自成立以来），或其开户银行在开标日前六个月内开具的资信良好的资信证明原件或该原件的复印件（复印件加盖投标人公章）。部分其他组织和自然人，没有财务报告，可以提供银行在开标日前六个月内开具的资信良好的资信证明原件或该原件的复印件（复印件加盖投标人公章）。备注：银行出具的资信证明无需针对本项目或本项目招标人。投标人如提供了财政部门认可的政府采购专业担保机构出具的投标担保函，则不需再提供上述财务状况报告。</w:t>
            </w:r>
          </w:p>
          <w:p>
            <w:pPr>
              <w:keepNext w:val="0"/>
              <w:keepLines w:val="0"/>
              <w:pageBreakBefore w:val="0"/>
              <w:numPr>
                <w:ilvl w:val="0"/>
                <w:numId w:val="4"/>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投标人应提供近6个月内任意一个月的</w:t>
            </w:r>
            <w:r>
              <w:rPr>
                <w:rFonts w:hint="eastAsia" w:asciiTheme="minorEastAsia" w:hAnsiTheme="minorEastAsia" w:eastAsiaTheme="minorEastAsia" w:cstheme="minorEastAsia"/>
                <w:color w:val="auto"/>
                <w:sz w:val="24"/>
                <w:szCs w:val="24"/>
                <w:lang w:val="en-US" w:eastAsia="zh-CN"/>
              </w:rPr>
              <w:t>纳税证明证明文件</w:t>
            </w:r>
            <w:r>
              <w:rPr>
                <w:rFonts w:hint="eastAsia" w:asciiTheme="minorEastAsia" w:hAnsiTheme="minorEastAsia" w:eastAsiaTheme="minorEastAsia" w:cstheme="minorEastAsia"/>
                <w:color w:val="auto"/>
                <w:sz w:val="24"/>
                <w:szCs w:val="24"/>
              </w:rPr>
              <w:t>。</w:t>
            </w:r>
          </w:p>
          <w:p>
            <w:pPr>
              <w:keepNext w:val="0"/>
              <w:keepLines w:val="0"/>
              <w:pageBreakBefore w:val="0"/>
              <w:numPr>
                <w:ilvl w:val="0"/>
                <w:numId w:val="4"/>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投标人应提供近6个月内任意一个月的缴纳社会保险的</w:t>
            </w:r>
            <w:r>
              <w:rPr>
                <w:rFonts w:hint="eastAsia" w:asciiTheme="minorEastAsia" w:hAnsiTheme="minorEastAsia" w:eastAsiaTheme="minorEastAsia" w:cstheme="minorEastAsia"/>
                <w:color w:val="auto"/>
                <w:sz w:val="24"/>
                <w:szCs w:val="24"/>
                <w:lang w:val="en-US" w:eastAsia="zh-CN"/>
              </w:rPr>
              <w:t>证明文件</w:t>
            </w:r>
            <w:r>
              <w:rPr>
                <w:rFonts w:hint="eastAsia" w:asciiTheme="minorEastAsia" w:hAnsiTheme="minorEastAsia" w:eastAsiaTheme="minorEastAsia" w:cstheme="minorEastAsia"/>
                <w:color w:val="auto"/>
                <w:sz w:val="24"/>
                <w:szCs w:val="24"/>
              </w:rPr>
              <w:t>。</w:t>
            </w:r>
          </w:p>
          <w:p>
            <w:pPr>
              <w:keepNext w:val="0"/>
              <w:keepLines w:val="0"/>
              <w:pageBreakBefore w:val="0"/>
              <w:numPr>
                <w:ilvl w:val="0"/>
                <w:numId w:val="4"/>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依法免税或不需要缴纳社会保障资金的投标人，应提供相应证明文件证明其依法免税或不需要缴纳社会保障资金。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3.5.1.5</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其他证明材料</w:t>
            </w:r>
          </w:p>
        </w:tc>
        <w:tc>
          <w:tcPr>
            <w:tcW w:w="5660" w:type="dxa"/>
            <w:tcBorders>
              <w:tl2br w:val="nil"/>
              <w:tr2bl w:val="nil"/>
            </w:tcBorders>
            <w:vAlign w:val="center"/>
          </w:tcPr>
          <w:p>
            <w:pPr>
              <w:keepNext w:val="0"/>
              <w:keepLines w:val="0"/>
              <w:pageBreakBefore w:val="0"/>
              <w:numPr>
                <w:ilvl w:val="0"/>
                <w:numId w:val="5"/>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近3年投标人</w:t>
            </w:r>
            <w:r>
              <w:rPr>
                <w:rFonts w:hint="eastAsia" w:asciiTheme="minorEastAsia" w:hAnsiTheme="minorEastAsia" w:eastAsiaTheme="minorEastAsia" w:cstheme="minorEastAsia"/>
                <w:bCs/>
                <w:color w:val="auto"/>
                <w:sz w:val="24"/>
                <w:szCs w:val="24"/>
                <w:lang w:val="en-US" w:eastAsia="zh-CN"/>
              </w:rPr>
              <w:t>无</w:t>
            </w:r>
            <w:r>
              <w:rPr>
                <w:rFonts w:hint="eastAsia" w:asciiTheme="minorEastAsia" w:hAnsiTheme="minorEastAsia" w:eastAsiaTheme="minorEastAsia" w:cstheme="minorEastAsia"/>
                <w:bCs/>
                <w:color w:val="auto"/>
                <w:sz w:val="24"/>
                <w:szCs w:val="24"/>
                <w:lang w:eastAsia="zh-CN"/>
              </w:rPr>
              <w:t>重大违法的书面声明</w:t>
            </w:r>
          </w:p>
          <w:p>
            <w:pPr>
              <w:keepNext w:val="0"/>
              <w:keepLines w:val="0"/>
              <w:pageBreakBefore w:val="0"/>
              <w:numPr>
                <w:ilvl w:val="0"/>
                <w:numId w:val="5"/>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近3年投标人</w:t>
            </w:r>
            <w:r>
              <w:rPr>
                <w:rFonts w:hint="eastAsia" w:asciiTheme="minorEastAsia" w:hAnsiTheme="minorEastAsia" w:eastAsiaTheme="minorEastAsia" w:cstheme="minorEastAsia"/>
                <w:bCs/>
                <w:color w:val="auto"/>
                <w:sz w:val="24"/>
                <w:szCs w:val="24"/>
                <w:lang w:val="en-US" w:eastAsia="zh-CN"/>
              </w:rPr>
              <w:t>无</w:t>
            </w:r>
            <w:r>
              <w:rPr>
                <w:rFonts w:hint="eastAsia" w:asciiTheme="minorEastAsia" w:hAnsiTheme="minorEastAsia" w:eastAsiaTheme="minorEastAsia" w:cstheme="minorEastAsia"/>
                <w:bCs/>
                <w:color w:val="auto"/>
                <w:sz w:val="24"/>
                <w:szCs w:val="24"/>
                <w:lang w:eastAsia="zh-CN"/>
              </w:rPr>
              <w:t>行贿犯罪情况的书面声明。</w:t>
            </w:r>
          </w:p>
          <w:p>
            <w:pPr>
              <w:keepNext w:val="0"/>
              <w:keepLines w:val="0"/>
              <w:pageBreakBefore w:val="0"/>
              <w:numPr>
                <w:ilvl w:val="0"/>
                <w:numId w:val="5"/>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投标产品具备国家相关行业主管部门颁发的有效期内的医疗器械</w:t>
            </w:r>
            <w:r>
              <w:rPr>
                <w:rFonts w:hint="eastAsia" w:asciiTheme="minorEastAsia" w:hAnsiTheme="minorEastAsia" w:eastAsiaTheme="minorEastAsia" w:cstheme="minorEastAsia"/>
                <w:color w:val="auto"/>
                <w:sz w:val="24"/>
                <w:szCs w:val="24"/>
                <w:lang w:eastAsia="zh-CN"/>
              </w:rPr>
              <w:t>注册证</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备案证</w:t>
            </w:r>
            <w:r>
              <w:rPr>
                <w:rFonts w:hint="eastAsia" w:asciiTheme="minorEastAsia" w:hAnsiTheme="minorEastAsia" w:eastAsiaTheme="minorEastAsia" w:cstheme="minorEastAsia"/>
                <w:bCs/>
                <w:color w:val="auto"/>
                <w:sz w:val="24"/>
                <w:szCs w:val="24"/>
                <w:lang w:eastAsia="zh-CN"/>
              </w:rPr>
              <w:t>）。</w:t>
            </w:r>
          </w:p>
          <w:p>
            <w:pPr>
              <w:keepNext w:val="0"/>
              <w:keepLines w:val="0"/>
              <w:pageBreakBefore w:val="0"/>
              <w:numPr>
                <w:ilvl w:val="0"/>
                <w:numId w:val="5"/>
              </w:numPr>
              <w:kinsoku/>
              <w:overflowPunct/>
              <w:bidi w:val="0"/>
              <w:spacing w:beforeAutospacing="0" w:afterAutospacing="0" w:line="400" w:lineRule="exact"/>
              <w:ind w:left="425" w:leftChars="0" w:hanging="425" w:firstLineChars="0"/>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bCs/>
                <w:color w:val="auto"/>
                <w:sz w:val="24"/>
                <w:szCs w:val="24"/>
                <w:lang w:eastAsia="zh-CN"/>
              </w:rPr>
              <w:t>投标人具备与本次招标内容相适应的医疗器械经营许可证（备案表）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是否允许递交备选投标方案</w:t>
            </w:r>
          </w:p>
        </w:tc>
        <w:tc>
          <w:tcPr>
            <w:tcW w:w="5660" w:type="dxa"/>
            <w:tcBorders>
              <w:tl2br w:val="nil"/>
              <w:tr2bl w:val="nil"/>
            </w:tcBorders>
            <w:vAlign w:val="center"/>
          </w:tcPr>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1821" w:type="dxa"/>
            <w:tcBorders>
              <w:tl2br w:val="nil"/>
              <w:tr2bl w:val="nil"/>
            </w:tcBorders>
            <w:vAlign w:val="center"/>
          </w:tcPr>
          <w:p>
            <w:pPr>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投标文件的制作的特殊要求</w:t>
            </w:r>
          </w:p>
        </w:tc>
        <w:tc>
          <w:tcPr>
            <w:tcW w:w="5660" w:type="dxa"/>
            <w:tcBorders>
              <w:tl2br w:val="nil"/>
              <w:tr2bl w:val="nil"/>
            </w:tcBorders>
            <w:vAlign w:val="center"/>
          </w:tcPr>
          <w:p>
            <w:pPr>
              <w:keepNext w:val="0"/>
              <w:keepLines w:val="0"/>
              <w:pageBreakBefore w:val="0"/>
              <w:kinsoku/>
              <w:overflowPunct/>
              <w:bidi w:val="0"/>
              <w:spacing w:beforeAutospacing="0" w:afterAutospacing="0" w:line="276" w:lineRule="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投标文件A4装订成册，长边胶装（除个别资料如图纸等可采用A3纸，短边胶装）。投标文件采用热熔胶胶装、不易拆散和换页。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3.7.4</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投标文件副本份数及其他要求</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b w:val="0"/>
                <w:bCs/>
                <w:color w:val="auto"/>
                <w:sz w:val="24"/>
                <w:szCs w:val="24"/>
                <w:u w:val="none"/>
              </w:rPr>
            </w:pPr>
            <w:r>
              <w:rPr>
                <w:rFonts w:hint="eastAsia" w:asciiTheme="minorEastAsia" w:hAnsiTheme="minorEastAsia" w:eastAsiaTheme="minorEastAsia" w:cstheme="minorEastAsia"/>
                <w:b w:val="0"/>
                <w:bCs/>
                <w:color w:val="auto"/>
                <w:sz w:val="24"/>
                <w:szCs w:val="24"/>
              </w:rPr>
              <w:t>投标文件</w:t>
            </w:r>
            <w:r>
              <w:rPr>
                <w:rFonts w:hint="eastAsia" w:asciiTheme="minorEastAsia" w:hAnsiTheme="minorEastAsia" w:eastAsiaTheme="minorEastAsia" w:cstheme="minorEastAsia"/>
                <w:b w:val="0"/>
                <w:bCs/>
                <w:color w:val="auto"/>
                <w:sz w:val="24"/>
                <w:szCs w:val="24"/>
                <w:lang w:eastAsia="zh-CN"/>
              </w:rPr>
              <w:t>正本</w:t>
            </w:r>
            <w:r>
              <w:rPr>
                <w:rFonts w:hint="eastAsia" w:asciiTheme="minorEastAsia" w:hAnsiTheme="minorEastAsia" w:eastAsiaTheme="minorEastAsia" w:cstheme="minorEastAsia"/>
                <w:b w:val="0"/>
                <w:bCs/>
                <w:color w:val="auto"/>
                <w:sz w:val="24"/>
                <w:szCs w:val="24"/>
                <w:lang w:val="en-US" w:eastAsia="zh-CN"/>
              </w:rPr>
              <w:t>1份、</w:t>
            </w:r>
            <w:r>
              <w:rPr>
                <w:rFonts w:hint="eastAsia" w:asciiTheme="minorEastAsia" w:hAnsiTheme="minorEastAsia" w:eastAsiaTheme="minorEastAsia" w:cstheme="minorEastAsia"/>
                <w:b w:val="0"/>
                <w:bCs/>
                <w:color w:val="auto"/>
                <w:sz w:val="24"/>
                <w:szCs w:val="24"/>
              </w:rPr>
              <w:t>投标文件副本</w:t>
            </w:r>
            <w:r>
              <w:rPr>
                <w:rFonts w:hint="eastAsia" w:asciiTheme="minorEastAsia" w:hAnsiTheme="minorEastAsia" w:eastAsiaTheme="minorEastAsia" w:cstheme="minorEastAsia"/>
                <w:b w:val="0"/>
                <w:bCs/>
                <w:color w:val="auto"/>
                <w:sz w:val="24"/>
                <w:szCs w:val="24"/>
                <w:u w:val="none"/>
              </w:rPr>
              <w:t>份数：</w:t>
            </w:r>
            <w:r>
              <w:rPr>
                <w:rFonts w:hint="eastAsia" w:asciiTheme="minorEastAsia" w:hAnsiTheme="minorEastAsia" w:eastAsiaTheme="minorEastAsia" w:cstheme="minorEastAsia"/>
                <w:b w:val="0"/>
                <w:bCs/>
                <w:color w:val="auto"/>
                <w:sz w:val="24"/>
                <w:szCs w:val="24"/>
                <w:u w:val="none"/>
                <w:lang w:val="en-US" w:eastAsia="zh-CN"/>
              </w:rPr>
              <w:t>5</w:t>
            </w:r>
            <w:r>
              <w:rPr>
                <w:rFonts w:hint="eastAsia" w:asciiTheme="minorEastAsia" w:hAnsiTheme="minorEastAsia" w:eastAsiaTheme="minorEastAsia" w:cstheme="minorEastAsia"/>
                <w:b w:val="0"/>
                <w:bCs/>
                <w:color w:val="auto"/>
                <w:sz w:val="24"/>
                <w:szCs w:val="24"/>
                <w:u w:val="none"/>
              </w:rPr>
              <w:t>份</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b w:val="0"/>
                <w:bCs/>
                <w:color w:val="auto"/>
                <w:sz w:val="24"/>
                <w:szCs w:val="24"/>
                <w:u w:val="single"/>
                <w:lang w:eastAsia="zh-CN"/>
              </w:rPr>
            </w:pPr>
            <w:r>
              <w:rPr>
                <w:rFonts w:hint="eastAsia" w:asciiTheme="minorEastAsia" w:hAnsiTheme="minorEastAsia" w:eastAsiaTheme="minorEastAsia" w:cstheme="minorEastAsia"/>
                <w:b w:val="0"/>
                <w:bCs/>
                <w:color w:val="auto"/>
                <w:sz w:val="24"/>
                <w:szCs w:val="24"/>
                <w:u w:val="none"/>
                <w:lang w:val="en-US" w:eastAsia="zh-CN"/>
              </w:rPr>
              <w:t>同时</w:t>
            </w:r>
            <w:r>
              <w:rPr>
                <w:rFonts w:hint="eastAsia" w:asciiTheme="minorEastAsia" w:hAnsiTheme="minorEastAsia" w:eastAsiaTheme="minorEastAsia" w:cstheme="minorEastAsia"/>
                <w:b w:val="0"/>
                <w:bCs/>
                <w:color w:val="auto"/>
                <w:sz w:val="24"/>
                <w:szCs w:val="24"/>
              </w:rPr>
              <w:t>提供</w:t>
            </w:r>
            <w:r>
              <w:rPr>
                <w:rFonts w:hint="eastAsia" w:asciiTheme="minorEastAsia" w:hAnsiTheme="minorEastAsia" w:eastAsiaTheme="minorEastAsia" w:cstheme="minorEastAsia"/>
                <w:b w:val="0"/>
                <w:bCs/>
                <w:color w:val="auto"/>
                <w:sz w:val="24"/>
                <w:szCs w:val="24"/>
                <w:lang w:val="en-US" w:eastAsia="zh-CN"/>
              </w:rPr>
              <w:t>整份</w:t>
            </w:r>
            <w:r>
              <w:rPr>
                <w:rFonts w:hint="eastAsia" w:asciiTheme="minorEastAsia" w:hAnsiTheme="minorEastAsia" w:eastAsiaTheme="minorEastAsia" w:cstheme="minorEastAsia"/>
                <w:b w:val="0"/>
                <w:bCs/>
                <w:color w:val="auto"/>
                <w:sz w:val="24"/>
                <w:szCs w:val="24"/>
              </w:rPr>
              <w:t>投标文件的电子版</w:t>
            </w:r>
            <w:r>
              <w:rPr>
                <w:rFonts w:hint="eastAsia" w:asciiTheme="minorEastAsia" w:hAnsiTheme="minorEastAsia" w:eastAsiaTheme="minorEastAsia" w:cstheme="minorEastAsia"/>
                <w:b/>
                <w:bCs w:val="0"/>
                <w:color w:val="auto"/>
                <w:sz w:val="24"/>
                <w:szCs w:val="24"/>
                <w:lang w:eastAsia="zh-CN"/>
              </w:rPr>
              <w:t>（</w:t>
            </w:r>
            <w:r>
              <w:rPr>
                <w:rFonts w:hint="eastAsia" w:asciiTheme="minorEastAsia" w:hAnsiTheme="minorEastAsia" w:eastAsiaTheme="minorEastAsia" w:cstheme="minorEastAsia"/>
                <w:b/>
                <w:bCs w:val="0"/>
                <w:color w:val="auto"/>
                <w:sz w:val="24"/>
                <w:szCs w:val="24"/>
                <w:lang w:val="en-US" w:eastAsia="zh-CN"/>
              </w:rPr>
              <w:t>签字盖章PDF版和WORD版</w:t>
            </w:r>
            <w:r>
              <w:rPr>
                <w:rFonts w:hint="eastAsia" w:asciiTheme="minorEastAsia" w:hAnsiTheme="minorEastAsia" w:eastAsiaTheme="minorEastAsia" w:cstheme="minorEastAsia"/>
                <w:b/>
                <w:bCs w:val="0"/>
                <w:color w:val="auto"/>
                <w:sz w:val="24"/>
                <w:szCs w:val="24"/>
                <w:lang w:eastAsia="zh-CN"/>
              </w:rPr>
              <w:t>）</w:t>
            </w:r>
            <w:r>
              <w:rPr>
                <w:rFonts w:hint="eastAsia" w:asciiTheme="minorEastAsia" w:hAnsiTheme="minorEastAsia" w:eastAsiaTheme="minorEastAsia" w:cstheme="minorEastAsia"/>
                <w:b w:val="0"/>
                <w:bCs/>
                <w:color w:val="auto"/>
                <w:sz w:val="24"/>
                <w:szCs w:val="24"/>
              </w:rPr>
              <w:t>1份，光盘或U盘。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3.7.5</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投标文件是否需分册装订</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投标文件包装要求</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color w:val="auto"/>
                <w:sz w:val="24"/>
                <w:szCs w:val="24"/>
              </w:rPr>
              <w:t>商务部分与技术部分：</w:t>
            </w:r>
            <w:r>
              <w:rPr>
                <w:rFonts w:hint="eastAsia" w:asciiTheme="minorEastAsia" w:hAnsiTheme="minorEastAsia" w:eastAsiaTheme="minorEastAsia" w:cstheme="minorEastAsia"/>
                <w:color w:val="auto"/>
                <w:sz w:val="24"/>
                <w:szCs w:val="24"/>
                <w:lang w:eastAsia="zh-CN"/>
              </w:rPr>
              <w:fldChar w:fldCharType="begin"/>
            </w:r>
            <w:r>
              <w:rPr>
                <w:rFonts w:hint="eastAsia" w:asciiTheme="minorEastAsia" w:hAnsiTheme="minorEastAsia" w:eastAsiaTheme="minorEastAsia" w:cstheme="minorEastAsia"/>
                <w:color w:val="auto"/>
                <w:sz w:val="24"/>
                <w:szCs w:val="24"/>
                <w:lang w:eastAsia="zh-CN"/>
              </w:rPr>
              <w:instrText xml:space="preserve"> EQ \o\ac(</w:instrText>
            </w:r>
            <w:r>
              <w:rPr>
                <w:rFonts w:hint="eastAsia" w:asciiTheme="minorEastAsia" w:hAnsiTheme="minorEastAsia" w:eastAsiaTheme="minorEastAsia" w:cstheme="minorEastAsia"/>
                <w:color w:val="auto"/>
                <w:kern w:val="2"/>
                <w:sz w:val="24"/>
                <w:szCs w:val="24"/>
                <w:lang w:val="en-US" w:eastAsia="zh-CN" w:bidi="ar-SA"/>
              </w:rPr>
              <w:instrText xml:space="preserve">□</w:instrText>
            </w:r>
            <w:r>
              <w:rPr>
                <w:rFonts w:hint="eastAsia" w:asciiTheme="minorEastAsia" w:hAnsiTheme="minorEastAsia" w:eastAsiaTheme="minorEastAsia" w:cstheme="minorEastAsia"/>
                <w:color w:val="auto"/>
                <w:sz w:val="24"/>
                <w:szCs w:val="24"/>
                <w:lang w:eastAsia="zh-CN"/>
              </w:rPr>
              <w:instrText xml:space="preserve">,</w:instrText>
            </w:r>
            <w:r>
              <w:rPr>
                <w:rFonts w:hint="eastAsia" w:asciiTheme="minorEastAsia" w:hAnsiTheme="minorEastAsia" w:eastAsiaTheme="minorEastAsia" w:cstheme="minorEastAsia"/>
                <w:color w:val="auto"/>
                <w:kern w:val="2"/>
                <w:position w:val="2"/>
                <w:sz w:val="16"/>
                <w:szCs w:val="24"/>
                <w:lang w:val="en-US" w:eastAsia="zh-CN" w:bidi="ar-SA"/>
              </w:rPr>
              <w:instrText xml:space="preserve">√</w:instrText>
            </w:r>
            <w:r>
              <w:rPr>
                <w:rFonts w:hint="eastAsia" w:asciiTheme="minorEastAsia" w:hAnsiTheme="minorEastAsia" w:eastAsiaTheme="minorEastAsia" w:cstheme="minorEastAsia"/>
                <w:color w:val="auto"/>
                <w:sz w:val="24"/>
                <w:szCs w:val="24"/>
                <w:lang w:eastAsia="zh-CN"/>
              </w:rPr>
              <w:instrText xml:space="preserve">)</w:instrText>
            </w:r>
            <w:r>
              <w:rPr>
                <w:rFonts w:hint="eastAsia" w:asciiTheme="minorEastAsia" w:hAnsiTheme="minorEastAsia" w:eastAsiaTheme="minorEastAsia" w:cstheme="minorEastAsia"/>
                <w:color w:val="auto"/>
                <w:sz w:val="24"/>
                <w:szCs w:val="24"/>
                <w:lang w:eastAsia="zh-CN"/>
              </w:rPr>
              <w:fldChar w:fldCharType="end"/>
            </w:r>
            <w:r>
              <w:rPr>
                <w:rFonts w:hint="eastAsia" w:asciiTheme="minorEastAsia" w:hAnsiTheme="minorEastAsia" w:eastAsiaTheme="minorEastAsia" w:cstheme="minorEastAsia"/>
                <w:color w:val="auto"/>
                <w:sz w:val="24"/>
                <w:szCs w:val="24"/>
              </w:rPr>
              <w:t xml:space="preserve">不分开包装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分开包装</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正本与副本：        </w:t>
            </w:r>
            <w:r>
              <w:rPr>
                <w:rFonts w:hint="eastAsia" w:asciiTheme="minorEastAsia" w:hAnsiTheme="minorEastAsia" w:eastAsiaTheme="minorEastAsia" w:cstheme="minorEastAsia"/>
                <w:color w:val="auto"/>
                <w:sz w:val="24"/>
                <w:szCs w:val="24"/>
                <w:lang w:eastAsia="zh-CN"/>
              </w:rPr>
              <w:fldChar w:fldCharType="begin"/>
            </w:r>
            <w:r>
              <w:rPr>
                <w:rFonts w:hint="eastAsia" w:asciiTheme="minorEastAsia" w:hAnsiTheme="minorEastAsia" w:eastAsiaTheme="minorEastAsia" w:cstheme="minorEastAsia"/>
                <w:color w:val="auto"/>
                <w:sz w:val="24"/>
                <w:szCs w:val="24"/>
                <w:lang w:eastAsia="zh-CN"/>
              </w:rPr>
              <w:instrText xml:space="preserve"> EQ \o\ac(</w:instrText>
            </w:r>
            <w:r>
              <w:rPr>
                <w:rFonts w:hint="eastAsia" w:asciiTheme="minorEastAsia" w:hAnsiTheme="minorEastAsia" w:eastAsiaTheme="minorEastAsia" w:cstheme="minorEastAsia"/>
                <w:color w:val="auto"/>
                <w:kern w:val="2"/>
                <w:sz w:val="24"/>
                <w:szCs w:val="24"/>
                <w:lang w:val="en-US" w:eastAsia="zh-CN" w:bidi="ar-SA"/>
              </w:rPr>
              <w:instrText xml:space="preserve">□</w:instrText>
            </w:r>
            <w:r>
              <w:rPr>
                <w:rFonts w:hint="eastAsia" w:asciiTheme="minorEastAsia" w:hAnsiTheme="minorEastAsia" w:eastAsiaTheme="minorEastAsia" w:cstheme="minorEastAsia"/>
                <w:color w:val="auto"/>
                <w:sz w:val="24"/>
                <w:szCs w:val="24"/>
                <w:lang w:eastAsia="zh-CN"/>
              </w:rPr>
              <w:instrText xml:space="preserve">,</w:instrText>
            </w:r>
            <w:r>
              <w:rPr>
                <w:rFonts w:hint="eastAsia" w:asciiTheme="minorEastAsia" w:hAnsiTheme="minorEastAsia" w:eastAsiaTheme="minorEastAsia" w:cstheme="minorEastAsia"/>
                <w:color w:val="auto"/>
                <w:kern w:val="2"/>
                <w:position w:val="2"/>
                <w:sz w:val="16"/>
                <w:szCs w:val="24"/>
                <w:lang w:val="en-US" w:eastAsia="zh-CN" w:bidi="ar-SA"/>
              </w:rPr>
              <w:instrText xml:space="preserve">√</w:instrText>
            </w:r>
            <w:r>
              <w:rPr>
                <w:rFonts w:hint="eastAsia" w:asciiTheme="minorEastAsia" w:hAnsiTheme="minorEastAsia" w:eastAsiaTheme="minorEastAsia" w:cstheme="minorEastAsia"/>
                <w:color w:val="auto"/>
                <w:sz w:val="24"/>
                <w:szCs w:val="24"/>
                <w:lang w:eastAsia="zh-CN"/>
              </w:rPr>
              <w:instrText xml:space="preserve">)</w:instrText>
            </w:r>
            <w:r>
              <w:rPr>
                <w:rFonts w:hint="eastAsia" w:asciiTheme="minorEastAsia" w:hAnsiTheme="minorEastAsia" w:eastAsiaTheme="minorEastAsia" w:cstheme="minorEastAsia"/>
                <w:color w:val="auto"/>
                <w:sz w:val="24"/>
                <w:szCs w:val="24"/>
                <w:lang w:eastAsia="zh-CN"/>
              </w:rPr>
              <w:fldChar w:fldCharType="end"/>
            </w:r>
            <w:r>
              <w:rPr>
                <w:rFonts w:hint="eastAsia" w:asciiTheme="minorEastAsia" w:hAnsiTheme="minorEastAsia" w:eastAsiaTheme="minorEastAsia" w:cstheme="minorEastAsia"/>
                <w:color w:val="auto"/>
                <w:sz w:val="24"/>
                <w:szCs w:val="24"/>
              </w:rPr>
              <w:t xml:space="preserve">不分开包装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分开包装</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投标文件电子版：单独包装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left"/>
              <w:rPr>
                <w:rFonts w:hint="eastAsia" w:asciiTheme="minorEastAsia" w:hAnsiTheme="minorEastAsia" w:eastAsiaTheme="minorEastAsia" w:cstheme="minorEastAsia"/>
                <w:color w:val="auto"/>
                <w:sz w:val="24"/>
                <w:szCs w:val="24"/>
                <w:shd w:val="clear" w:color="FFFFFF" w:fill="D9D9D9"/>
              </w:rPr>
            </w:pPr>
            <w:r>
              <w:rPr>
                <w:rFonts w:hint="eastAsia" w:asciiTheme="minorEastAsia" w:hAnsiTheme="minorEastAsia" w:eastAsiaTheme="minorEastAsia" w:cstheme="minorEastAsia"/>
                <w:color w:val="auto"/>
                <w:sz w:val="24"/>
                <w:szCs w:val="24"/>
              </w:rPr>
              <w:t>封套上应载明的信息</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w:t>
            </w:r>
            <w:bookmarkStart w:id="70" w:name="_Toc144974495"/>
            <w:bookmarkStart w:id="71" w:name="_Toc247513950"/>
            <w:bookmarkStart w:id="72" w:name="_Toc300834947"/>
            <w:bookmarkStart w:id="73" w:name="_Toc152045527"/>
            <w:bookmarkStart w:id="74" w:name="_Toc247527551"/>
            <w:bookmarkStart w:id="75" w:name="_Toc152042303"/>
            <w:bookmarkStart w:id="76" w:name="_Toc352691471"/>
            <w:bookmarkStart w:id="77" w:name="_Toc369531513"/>
            <w:bookmarkStart w:id="78" w:name="_Toc384308208"/>
            <w:bookmarkStart w:id="79" w:name="_Toc6783"/>
            <w:bookmarkStart w:id="80" w:name="_Toc361508583"/>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复旦大学附属中山医院</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招标代理机构名称：</w:t>
            </w:r>
            <w:r>
              <w:rPr>
                <w:rFonts w:hint="eastAsia" w:asciiTheme="minorEastAsia" w:hAnsiTheme="minorEastAsia" w:eastAsiaTheme="minorEastAsia" w:cstheme="minorEastAsia"/>
                <w:color w:val="auto"/>
                <w:sz w:val="24"/>
                <w:szCs w:val="24"/>
                <w:lang w:eastAsia="zh-CN"/>
              </w:rPr>
              <w:t>上海机电设备招标有限公司</w:t>
            </w:r>
          </w:p>
          <w:bookmarkEnd w:id="70"/>
          <w:bookmarkEnd w:id="71"/>
          <w:bookmarkEnd w:id="72"/>
          <w:bookmarkEnd w:id="73"/>
          <w:bookmarkEnd w:id="74"/>
          <w:bookmarkEnd w:id="75"/>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lang w:eastAsia="zh-CN"/>
              </w:rPr>
              <w:t>彩色多普勒超声诊断仪</w:t>
            </w:r>
            <w:r>
              <w:rPr>
                <w:rFonts w:hint="eastAsia" w:asciiTheme="minorEastAsia" w:hAnsiTheme="minorEastAsia" w:eastAsiaTheme="minorEastAsia" w:cstheme="minorEastAsia"/>
                <w:color w:val="auto"/>
                <w:sz w:val="24"/>
                <w:szCs w:val="24"/>
              </w:rPr>
              <w:t>采购招标项目投标文件</w:t>
            </w:r>
            <w:bookmarkEnd w:id="76"/>
            <w:bookmarkEnd w:id="77"/>
            <w:bookmarkEnd w:id="78"/>
            <w:bookmarkEnd w:id="79"/>
            <w:bookmarkEnd w:id="80"/>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0613-</w:t>
            </w:r>
            <w:r>
              <w:rPr>
                <w:rFonts w:hint="eastAsia" w:asciiTheme="minorEastAsia" w:hAnsiTheme="minorEastAsia" w:eastAsiaTheme="minorEastAsia" w:cstheme="minorEastAsia"/>
                <w:color w:val="auto"/>
                <w:sz w:val="24"/>
                <w:szCs w:val="24"/>
                <w:u w:val="single"/>
                <w:lang w:eastAsia="zh-CN"/>
              </w:rPr>
              <w:t>247123065821</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分（即开标时间）前不得开启</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投标文件电子版封套上应清楚标明“电子版”字样。</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投标文件</w:t>
            </w:r>
            <w:r>
              <w:rPr>
                <w:rFonts w:hint="eastAsia" w:asciiTheme="minorEastAsia" w:hAnsiTheme="minorEastAsia" w:eastAsiaTheme="minorEastAsia" w:cstheme="minorEastAsia"/>
                <w:color w:val="auto"/>
                <w:sz w:val="24"/>
                <w:szCs w:val="24"/>
              </w:rPr>
              <w:t>应清楚标明“正本”或“副本”字样。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2024</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u w:val="none"/>
                <w:lang w:val="en-US" w:eastAsia="zh-CN"/>
              </w:rPr>
              <w:t>9点30</w:t>
            </w:r>
            <w:r>
              <w:rPr>
                <w:rFonts w:hint="eastAsia" w:asciiTheme="minorEastAsia" w:hAnsiTheme="minorEastAsia" w:eastAsiaTheme="minorEastAsia" w:cstheme="minorEastAsia"/>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递交投标文件地点</w:t>
            </w:r>
          </w:p>
        </w:tc>
        <w:tc>
          <w:tcPr>
            <w:tcW w:w="5660" w:type="dxa"/>
            <w:tcBorders>
              <w:tl2br w:val="nil"/>
              <w:tr2bl w:val="nil"/>
            </w:tcBorders>
            <w:vAlign w:val="center"/>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上海市普陀区长寿路285号恒达大厦22楼开标大厅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4.2.3</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投标文件是否退还</w:t>
            </w:r>
          </w:p>
        </w:tc>
        <w:tc>
          <w:tcPr>
            <w:tcW w:w="5660" w:type="dxa"/>
            <w:tcBorders>
              <w:tl2br w:val="nil"/>
              <w:tr2bl w:val="nil"/>
            </w:tcBorders>
            <w:vAlign w:val="center"/>
          </w:tcPr>
          <w:p>
            <w:pPr>
              <w:pStyle w:val="11"/>
              <w:keepNext w:val="0"/>
              <w:keepLines w:val="0"/>
              <w:pageBreakBefore w:val="0"/>
              <w:kinsoku/>
              <w:overflowPunct/>
              <w:topLinePunct/>
              <w:bidi w:val="0"/>
              <w:spacing w:beforeAutospacing="0" w:afterAutospacing="0" w:line="400" w:lineRule="exact"/>
              <w:rPr>
                <w:rFonts w:hint="eastAsia" w:asciiTheme="minorEastAsia" w:hAnsiTheme="minorEastAsia" w:eastAsiaTheme="minorEastAsia" w:cstheme="minorEastAsia"/>
                <w:color w:val="auto"/>
                <w:szCs w:val="24"/>
                <w:u w:val="single"/>
                <w:lang w:val="en-US"/>
              </w:rPr>
            </w:pPr>
            <w:r>
              <w:rPr>
                <w:rFonts w:hint="eastAsia" w:asciiTheme="minorEastAsia" w:hAnsiTheme="minorEastAsia" w:eastAsiaTheme="minorEastAsia" w:cstheme="minorEastAsia"/>
                <w:color w:val="auto"/>
                <w:sz w:val="24"/>
                <w:szCs w:val="24"/>
                <w:lang w:val="en-US" w:eastAsia="zh-CN"/>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开标时间和地点</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开标时间：同投标截止时间</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开标地点：</w:t>
            </w:r>
            <w:r>
              <w:rPr>
                <w:rFonts w:hint="eastAsia" w:asciiTheme="minorEastAsia" w:hAnsiTheme="minorEastAsia" w:eastAsiaTheme="minorEastAsia" w:cstheme="minorEastAsia"/>
                <w:color w:val="auto"/>
                <w:sz w:val="24"/>
                <w:szCs w:val="24"/>
                <w:lang w:eastAsia="zh-CN"/>
              </w:rPr>
              <w:t>上海市普陀区长寿路285号恒达大厦22楼开标大厅</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snapToGrid w:val="0"/>
                <w:color w:val="auto"/>
                <w:kern w:val="0"/>
                <w:sz w:val="24"/>
                <w:szCs w:val="24"/>
              </w:rPr>
              <w:t>投标人代表应当参加开标，如投标人代表未出席开标大会及未在开标记录上签字的各方代表均视作对开标过程无异议。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开标程序</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开标顺序：先到先开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5.3</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参与开标的投标人代表要求</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1.出席开标会的投标人代表为投标人的法定代表人或被授权委托人。</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2.被授权委托人必须与投标文件中法定代表授权委托书中的人员一致。</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3.出席开标会需提交的材料：</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3.1法定代表人出席的需携带：</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（1）法定代表人身份的证明原件（格式见招标文件第六章投标文件格式）；</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（2）法定代表人身份证原件及复印件；</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3.2被授权委托人出席的需携带：</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（1）法定代表人授权委托书原件（格式见招标文件第六章投标文件格式）；</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（2）委托代理人身份证原件及复印件；</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（3）近三个月内任意一个月、由投标单位为其缴纳的社保证明材料，代缴社保不予认可。</w:t>
            </w: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p>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未提供或不符合上述要求的，拒收投标文件。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是否委托评标委员会直接确定中标人</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8.3.1</w:t>
            </w:r>
          </w:p>
        </w:tc>
        <w:tc>
          <w:tcPr>
            <w:tcW w:w="1821"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5660" w:type="dxa"/>
            <w:tcBorders>
              <w:tl2br w:val="nil"/>
              <w:tr2bl w:val="nil"/>
            </w:tcBorders>
            <w:vAlign w:val="center"/>
          </w:tcPr>
          <w:p>
            <w:pPr>
              <w:keepNext w:val="0"/>
              <w:keepLines w:val="0"/>
              <w:pageBreakBefore w:val="0"/>
              <w:kinsoku/>
              <w:overflowPunct/>
              <w:bidi w:val="0"/>
              <w:spacing w:beforeAutospacing="0" w:afterAutospacing="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w:t>
            </w:r>
          </w:p>
        </w:tc>
        <w:tc>
          <w:tcPr>
            <w:tcW w:w="1821" w:type="dxa"/>
            <w:tcBorders>
              <w:tl2br w:val="nil"/>
              <w:tr2bl w:val="nil"/>
            </w:tcBorders>
            <w:vAlign w:val="center"/>
          </w:tcPr>
          <w:p>
            <w:pPr>
              <w:spacing w:line="4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rPr>
              <w:t>质疑联系方式</w:t>
            </w:r>
          </w:p>
        </w:tc>
        <w:tc>
          <w:tcPr>
            <w:tcW w:w="5660" w:type="dxa"/>
            <w:tcBorders>
              <w:tl2br w:val="nil"/>
              <w:tr2bl w:val="nil"/>
            </w:tcBorders>
            <w:vAlign w:val="center"/>
          </w:tcPr>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联系单位：上海机电设备招标有限公司</w:t>
            </w:r>
          </w:p>
          <w:p>
            <w:pPr>
              <w:spacing w:line="400" w:lineRule="exact"/>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联 系 人：</w:t>
            </w:r>
            <w:r>
              <w:rPr>
                <w:rFonts w:hint="eastAsia" w:asciiTheme="minorEastAsia" w:hAnsiTheme="minorEastAsia" w:eastAsiaTheme="minorEastAsia" w:cstheme="minorEastAsia"/>
                <w:color w:val="auto"/>
                <w:sz w:val="24"/>
                <w:szCs w:val="24"/>
                <w:lang w:val="en-US" w:eastAsia="zh-CN"/>
              </w:rPr>
              <w:t>陆佳怡、李荣华</w:t>
            </w:r>
          </w:p>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宋体" w:hAnsi="宋体" w:cs="宋体"/>
                <w:color w:val="auto"/>
                <w:sz w:val="24"/>
                <w:szCs w:val="24"/>
              </w:rPr>
              <w:t>021-32557793、021-32557773</w:t>
            </w:r>
          </w:p>
          <w:p>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联系地址：上海市普陀区长寿路285号恒达大厦16楼</w:t>
            </w:r>
          </w:p>
          <w:p>
            <w:pPr>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提交形式：</w:t>
            </w:r>
            <w:r>
              <w:rPr>
                <w:rFonts w:hint="eastAsia" w:asciiTheme="minorEastAsia" w:hAnsiTheme="minorEastAsia" w:eastAsiaTheme="minorEastAsia" w:cstheme="minorEastAsia"/>
                <w:color w:val="auto"/>
                <w:sz w:val="24"/>
                <w:szCs w:val="24"/>
                <w:u w:val="single"/>
              </w:rPr>
              <w:t>盖有投标人单位公章的书面纸质材料。</w:t>
            </w:r>
          </w:p>
          <w:p>
            <w:pPr>
              <w:spacing w:line="4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olor w:val="auto"/>
                <w:sz w:val="24"/>
                <w:szCs w:val="24"/>
                <w:u w:val="none"/>
              </w:rPr>
              <w:t>请投标人将可编辑文件以电子邮件的形式发送至招标代理机构以下邮箱：</w:t>
            </w:r>
            <w:r>
              <w:rPr>
                <w:rFonts w:hint="eastAsia" w:asciiTheme="minorEastAsia" w:hAnsiTheme="minorEastAsia" w:eastAsiaTheme="minorEastAsia" w:cstheme="minorEastAsia"/>
                <w:i w:val="0"/>
                <w:iCs w:val="0"/>
                <w:color w:val="auto"/>
                <w:sz w:val="24"/>
                <w:szCs w:val="24"/>
                <w:u w:val="none"/>
                <w:lang w:val="en-US" w:eastAsia="zh-CN"/>
              </w:rPr>
              <w:t>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979" w:type="dxa"/>
            <w:tcBorders>
              <w:tl2br w:val="nil"/>
              <w:tr2bl w:val="nil"/>
            </w:tcBorders>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w:t>
            </w:r>
          </w:p>
        </w:tc>
        <w:tc>
          <w:tcPr>
            <w:tcW w:w="1821" w:type="dxa"/>
            <w:tcBorders>
              <w:tl2br w:val="nil"/>
              <w:tr2bl w:val="nil"/>
            </w:tcBorders>
            <w:vAlign w:val="center"/>
          </w:tcPr>
          <w:p>
            <w:pPr>
              <w:keepNext w:val="0"/>
              <w:keepLines w:val="0"/>
              <w:pageBreakBefore w:val="0"/>
              <w:kinsoku/>
              <w:overflowPunct/>
              <w:autoSpaceDE w:val="0"/>
              <w:autoSpaceDN w:val="0"/>
              <w:bidi w:val="0"/>
              <w:spacing w:beforeAutospacing="0" w:afterAutospacing="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招标代理服务费</w:t>
            </w:r>
          </w:p>
        </w:tc>
        <w:tc>
          <w:tcPr>
            <w:tcW w:w="5660" w:type="dxa"/>
            <w:tcBorders>
              <w:tl2br w:val="nil"/>
              <w:tr2bl w:val="nil"/>
            </w:tcBorders>
            <w:vAlign w:val="center"/>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招标代理服务费的金额：中标通知书发出后30天内，中标人须向招标代理机构一次性支付中标金额1.5%的招标代理服务费。</w:t>
            </w:r>
          </w:p>
          <w:p>
            <w:pPr>
              <w:keepNext w:val="0"/>
              <w:keepLines w:val="0"/>
              <w:pageBreakBefore w:val="0"/>
              <w:kinsoku/>
              <w:overflowPunct/>
              <w:autoSpaceDE w:val="0"/>
              <w:autoSpaceDN w:val="0"/>
              <w:bidi w:val="0"/>
              <w:spacing w:beforeAutospacing="0" w:afterAutospacing="0"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招标代理服务费的交纳方式：贷记凭证、电汇或网银支付。</w:t>
            </w:r>
          </w:p>
        </w:tc>
      </w:tr>
    </w:tbl>
    <w:p>
      <w:pPr>
        <w:keepNext w:val="0"/>
        <w:keepLines w:val="0"/>
        <w:pageBreakBefore w:val="0"/>
        <w:kinsoku/>
        <w:overflowPunct/>
        <w:bidi w:val="0"/>
        <w:spacing w:beforeAutospacing="0" w:afterAutospacing="0" w:line="360" w:lineRule="auto"/>
        <w:outlineLvl w:val="2"/>
        <w:rPr>
          <w:rFonts w:hint="eastAsia" w:asciiTheme="minorEastAsia" w:hAnsiTheme="minorEastAsia" w:eastAsiaTheme="minorEastAsia" w:cstheme="minorEastAsia"/>
          <w:color w:val="auto"/>
          <w:sz w:val="24"/>
          <w:szCs w:val="24"/>
        </w:rPr>
      </w:pPr>
      <w:bookmarkStart w:id="81" w:name="_Toc392227799"/>
      <w:r>
        <w:rPr>
          <w:rFonts w:hint="eastAsia" w:asciiTheme="minorEastAsia" w:hAnsiTheme="minorEastAsia" w:eastAsiaTheme="minorEastAsia" w:cstheme="minorEastAsia"/>
          <w:color w:val="auto"/>
          <w:sz w:val="24"/>
          <w:szCs w:val="24"/>
        </w:rPr>
        <w:br w:type="page"/>
      </w:r>
    </w:p>
    <w:tbl>
      <w:tblPr>
        <w:tblStyle w:val="33"/>
        <w:tblW w:w="8460" w:type="dxa"/>
        <w:tblInd w:w="0" w:type="dxa"/>
        <w:tblLayout w:type="fixed"/>
        <w:tblCellMar>
          <w:top w:w="0" w:type="dxa"/>
          <w:left w:w="108" w:type="dxa"/>
          <w:bottom w:w="0" w:type="dxa"/>
          <w:right w:w="108" w:type="dxa"/>
        </w:tblCellMar>
      </w:tblPr>
      <w:tblGrid>
        <w:gridCol w:w="1058"/>
        <w:gridCol w:w="157"/>
        <w:gridCol w:w="7245"/>
      </w:tblGrid>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color w:val="auto"/>
                <w:sz w:val="24"/>
                <w:szCs w:val="24"/>
              </w:rPr>
            </w:pPr>
            <w:bookmarkStart w:id="82" w:name="_Toc14824"/>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总则</w:t>
            </w:r>
            <w:bookmarkEnd w:id="82"/>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招标项目概况</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政府采购法》、《中华人民共和国政府采购法实施条例》、《政府采购货物和服务招标投标管理办法（财政部令2017年第87号）》等有关法律、法规和规章的规定，本招标项目已具备招标条件，现对本次货物采购进行招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1.1.2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招标人：见投标人须知前附表</w:t>
            </w:r>
            <w:r>
              <w:rPr>
                <w:rFonts w:hint="eastAsia" w:asciiTheme="minorEastAsia" w:hAnsiTheme="minorEastAsia" w:eastAsiaTheme="minorEastAsia" w:cstheme="minorEastAsia"/>
                <w:color w:val="auto"/>
                <w:sz w:val="24"/>
                <w:szCs w:val="24"/>
                <w:lang w:eastAsia="zh-CN"/>
              </w:rPr>
              <w:t>。</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1.1.3</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招标代理机构：见投标人须知前附表</w:t>
            </w:r>
            <w:r>
              <w:rPr>
                <w:rFonts w:hint="eastAsia" w:asciiTheme="minorEastAsia" w:hAnsiTheme="minorEastAsia" w:eastAsiaTheme="minorEastAsia" w:cstheme="minorEastAsia"/>
                <w:color w:val="auto"/>
                <w:sz w:val="24"/>
                <w:szCs w:val="24"/>
                <w:lang w:eastAsia="zh-CN"/>
              </w:rPr>
              <w:t>。</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1.1.4</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招标项目名称：见投标人须知前附表。</w:t>
            </w:r>
          </w:p>
        </w:tc>
      </w:tr>
      <w:tr>
        <w:tblPrEx>
          <w:tblCellMar>
            <w:top w:w="0" w:type="dxa"/>
            <w:left w:w="108" w:type="dxa"/>
            <w:bottom w:w="0" w:type="dxa"/>
            <w:right w:w="108" w:type="dxa"/>
          </w:tblCellMar>
        </w:tblPrEx>
        <w:tc>
          <w:tcPr>
            <w:tcW w:w="1058" w:type="dxa"/>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1.1.5</w:t>
            </w:r>
          </w:p>
        </w:tc>
        <w:tc>
          <w:tcPr>
            <w:tcW w:w="7402" w:type="dxa"/>
            <w:gridSpan w:val="2"/>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招标项目</w:t>
            </w:r>
            <w:r>
              <w:rPr>
                <w:rFonts w:hint="eastAsia" w:asciiTheme="minorEastAsia" w:hAnsiTheme="minorEastAsia" w:eastAsiaTheme="minorEastAsia" w:cstheme="minorEastAsia"/>
                <w:color w:val="auto"/>
                <w:sz w:val="24"/>
                <w:szCs w:val="24"/>
                <w:lang w:val="en-US" w:eastAsia="zh-CN"/>
              </w:rPr>
              <w:t>包件</w:t>
            </w:r>
            <w:r>
              <w:rPr>
                <w:rFonts w:hint="eastAsia" w:asciiTheme="minorEastAsia" w:hAnsiTheme="minorEastAsia" w:eastAsiaTheme="minorEastAsia" w:cstheme="minorEastAsia"/>
                <w:color w:val="auto"/>
                <w:sz w:val="24"/>
                <w:szCs w:val="24"/>
              </w:rPr>
              <w:t>划分情况：见投标人须知前附表。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1.2 </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bookmarkStart w:id="83" w:name="_Toc457747931"/>
            <w:bookmarkStart w:id="84" w:name="_Toc392227749"/>
            <w:r>
              <w:rPr>
                <w:rFonts w:hint="eastAsia" w:asciiTheme="minorEastAsia" w:hAnsiTheme="minorEastAsia" w:eastAsiaTheme="minorEastAsia" w:cstheme="minorEastAsia"/>
                <w:b/>
                <w:bCs/>
                <w:color w:val="auto"/>
                <w:sz w:val="24"/>
                <w:szCs w:val="24"/>
              </w:rPr>
              <w:t>招标项目的资金来源</w:t>
            </w:r>
            <w:bookmarkEnd w:id="83"/>
            <w:bookmarkEnd w:id="84"/>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资金来源及比例：见投标人须知前附表。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7402"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资金落实情况：见投标人须知前附表。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投标人资格要求</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投标人的资格要求见投标邀请，需要提交的相关证明材料见本章第 3.5 款的规定。</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投标邀请中规定接受联合体投标的，联合体除应符合投标邀请所列明的相关资格要求外，还应遵守以下规定：</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（1）联合体各方应按招标文件提供的格式签订联合体协议书，明确联合体牵头人和各方权利义务，并承诺就中标项目向招标人承担连带责任；</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由同一专业的单位组成的联合体，按照资质等级较低的单位确定资质等级；</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联合体各方不得再以自己名义单独或参加其他联合体在本招标项目中投标，否则各相关投标均无效。</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1.4</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费用承担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投标人准备和参加投标活动发生的费用自理。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1.5</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保密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参与招标投标活动的各方应对招标文件和投标文件中</w:t>
            </w:r>
            <w:bookmarkStart w:id="85" w:name="_Toc5326"/>
            <w:bookmarkStart w:id="86" w:name="_Toc361508589"/>
            <w:bookmarkStart w:id="87" w:name="_Toc384308214"/>
            <w:bookmarkStart w:id="88" w:name="_Toc369531519"/>
            <w:bookmarkStart w:id="89" w:name="_Toc352691477"/>
            <w:r>
              <w:rPr>
                <w:rFonts w:hint="eastAsia" w:asciiTheme="minorEastAsia" w:hAnsiTheme="minorEastAsia" w:eastAsiaTheme="minorEastAsia" w:cstheme="minorEastAsia"/>
                <w:color w:val="auto"/>
                <w:sz w:val="24"/>
                <w:szCs w:val="24"/>
              </w:rPr>
              <w:t>的商业和技术等秘密保密</w:t>
            </w:r>
            <w:bookmarkEnd w:id="85"/>
            <w:bookmarkEnd w:id="86"/>
            <w:bookmarkEnd w:id="87"/>
            <w:bookmarkEnd w:id="88"/>
            <w:bookmarkEnd w:id="89"/>
            <w:r>
              <w:rPr>
                <w:rFonts w:hint="eastAsia" w:asciiTheme="minorEastAsia" w:hAnsiTheme="minorEastAsia" w:eastAsiaTheme="minorEastAsia" w:cstheme="minorEastAsia"/>
                <w:color w:val="auto"/>
                <w:sz w:val="24"/>
                <w:szCs w:val="24"/>
              </w:rPr>
              <w:t>，否则应承担相应的法律责任。</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1.6</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语言文字</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招标投标文件使用的语言文字为中文。专用术语使用外文的，应附有中文注释。</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rPr>
              <w:t>1.7</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计量单位</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所有计量均采用中华人民共和国法定计量单位。</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rPr>
              <w:t>1.8</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现场考察</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1.8.1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 xml:space="preserve">投标人须知前附表规定组织现场考察的，投标人应按投标人须知前附表规定的现场考察时间、集中地点参加招标人组织的项目现场考察。 </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投标人现场考察发生的费用自理。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除招标人的原因外，投标人自行负责在现场考察中所发生的人员伤亡和财产损失。</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招标人在现场考察中介绍的相关的情况，仅供投标人在编制投标文件时参考，招标人不对投标人据此作出的判断和决策负责。</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1.9</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标前答疑会</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投标人须知前附表规定召开开标前答疑会的，招标人按投标人须知前附表规定的时间和地点召开标前答疑会，澄清投标人提出的问题。</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1.9.2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在投标人须知前附表规定的时间前，以书面形式（包括信件、电报、电传、传真、电子数据交换和电子邮件等可以有形地表现所载内容的形式，下同）将提出的问题送达招标人，以便招标人在会议期间澄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1.9.3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标前答疑会后，招标人将对投标人所提问题的澄清，以书面形式通知所有购买招标文件的投标人，但不指明澄清问题的来源。该澄清内容为招标文件的组成部分。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1.10</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分包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7402" w:type="dxa"/>
            <w:gridSpan w:val="2"/>
            <w:vAlign w:val="top"/>
          </w:tcPr>
          <w:p>
            <w:pPr>
              <w:pStyle w:val="12"/>
              <w:keepNext w:val="0"/>
              <w:keepLines w:val="0"/>
              <w:pageBreakBefore w:val="0"/>
              <w:kinsoku/>
              <w:overflowPunct/>
              <w:bidi w:val="0"/>
              <w:spacing w:beforeAutospacing="0" w:after="0" w:afterAutospacing="0" w:line="240" w:lineRule="auto"/>
              <w:ind w:right="214"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投标人拟在中标后将中标项目的非主体、非关键性工作分包的，应当在投标文件中载明分包承担主体，分包承担主体应当具备</w:t>
            </w:r>
            <w:r>
              <w:rPr>
                <w:rFonts w:hint="eastAsia" w:asciiTheme="minorEastAsia" w:hAnsiTheme="minorEastAsia" w:eastAsiaTheme="minorEastAsia" w:cstheme="minorEastAsia"/>
                <w:color w:val="auto"/>
                <w:spacing w:val="-1"/>
                <w:sz w:val="24"/>
                <w:szCs w:val="24"/>
              </w:rPr>
              <w:t>投标人须知前附表规定的</w:t>
            </w:r>
            <w:r>
              <w:rPr>
                <w:rFonts w:hint="eastAsia" w:asciiTheme="minorEastAsia" w:hAnsiTheme="minorEastAsia" w:eastAsiaTheme="minorEastAsia" w:cstheme="minorEastAsia"/>
                <w:color w:val="auto"/>
                <w:sz w:val="24"/>
                <w:szCs w:val="24"/>
              </w:rPr>
              <w:t>相应资质条件且不得再次分包，</w:t>
            </w:r>
            <w:r>
              <w:rPr>
                <w:rFonts w:hint="eastAsia" w:asciiTheme="minorEastAsia" w:hAnsiTheme="minorEastAsia" w:eastAsiaTheme="minorEastAsia" w:cstheme="minorEastAsia"/>
                <w:color w:val="auto"/>
                <w:spacing w:val="-1"/>
                <w:sz w:val="24"/>
                <w:szCs w:val="24"/>
              </w:rPr>
              <w:t>除投标人须知前附表</w:t>
            </w:r>
            <w:bookmarkStart w:id="90" w:name="_Hlk494297390"/>
            <w:r>
              <w:rPr>
                <w:rFonts w:hint="eastAsia" w:asciiTheme="minorEastAsia" w:hAnsiTheme="minorEastAsia" w:eastAsiaTheme="minorEastAsia" w:cstheme="minorEastAsia"/>
                <w:color w:val="auto"/>
                <w:spacing w:val="-1"/>
                <w:sz w:val="24"/>
                <w:szCs w:val="24"/>
              </w:rPr>
              <w:t>规定</w:t>
            </w:r>
            <w:bookmarkEnd w:id="90"/>
            <w:r>
              <w:rPr>
                <w:rFonts w:hint="eastAsia" w:asciiTheme="minorEastAsia" w:hAnsiTheme="minorEastAsia" w:eastAsiaTheme="minorEastAsia" w:cstheme="minorEastAsia"/>
                <w:color w:val="auto"/>
                <w:spacing w:val="-1"/>
                <w:sz w:val="24"/>
                <w:szCs w:val="24"/>
              </w:rPr>
              <w:t>的非主体</w:t>
            </w:r>
            <w:r>
              <w:rPr>
                <w:rFonts w:hint="eastAsia" w:asciiTheme="minorEastAsia" w:hAnsiTheme="minorEastAsia" w:eastAsiaTheme="minorEastAsia" w:cstheme="minorEastAsia"/>
                <w:color w:val="auto"/>
                <w:sz w:val="24"/>
                <w:szCs w:val="24"/>
              </w:rPr>
              <w:t>、非关键性工作外，其他工作不得分包。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1.10.2</w:t>
            </w:r>
          </w:p>
        </w:tc>
        <w:tc>
          <w:tcPr>
            <w:tcW w:w="7402" w:type="dxa"/>
            <w:gridSpan w:val="2"/>
            <w:vAlign w:val="top"/>
          </w:tcPr>
          <w:p>
            <w:pPr>
              <w:pStyle w:val="12"/>
              <w:keepNext w:val="0"/>
              <w:keepLines w:val="0"/>
              <w:pageBreakBefore w:val="0"/>
              <w:kinsoku/>
              <w:overflowPunct/>
              <w:bidi w:val="0"/>
              <w:spacing w:beforeAutospacing="0" w:after="0" w:afterAutospacing="0" w:line="24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中标人不得向他人转让中标项目。中标人应当就分包项目向招标人负责，接受分包的人就分包项目承担连带责任。</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1.11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rPr>
              <w:t>响应和偏差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1.11.1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投标文件应当对招标文件的实质性要求和条件作出满足性或更有利于招标人的响应，</w:t>
            </w:r>
            <w:r>
              <w:rPr>
                <w:rFonts w:hint="eastAsia" w:asciiTheme="minorEastAsia" w:hAnsiTheme="minorEastAsia" w:eastAsiaTheme="minorEastAsia" w:cstheme="minorEastAsia"/>
                <w:b w:val="0"/>
                <w:bCs/>
                <w:color w:val="auto"/>
                <w:sz w:val="24"/>
                <w:szCs w:val="24"/>
              </w:rPr>
              <w:t>否则，投标无效。</w:t>
            </w:r>
            <w:r>
              <w:rPr>
                <w:rFonts w:hint="eastAsia" w:asciiTheme="minorEastAsia" w:hAnsiTheme="minorEastAsia" w:eastAsiaTheme="minorEastAsia" w:cstheme="minorEastAsia"/>
                <w:color w:val="auto"/>
                <w:sz w:val="24"/>
                <w:szCs w:val="24"/>
              </w:rPr>
              <w:t>实质性要求和条件见投标人须知前附表。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投标人应根据招标文件的要求提供投标设备技术性能指标的详细描述、技术支持资料及技术服务和售后服务计划等内容以对招标文件作出响应。</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1.11.</w:t>
            </w:r>
            <w:r>
              <w:rPr>
                <w:rFonts w:hint="eastAsia" w:asciiTheme="minorEastAsia" w:hAnsiTheme="minorEastAsia" w:eastAsiaTheme="minorEastAsia" w:cstheme="minorEastAsia"/>
                <w:color w:val="auto"/>
                <w:sz w:val="24"/>
                <w:szCs w:val="24"/>
                <w:lang w:val="en-US" w:eastAsia="zh-CN"/>
              </w:rPr>
              <w:t>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投标文件对招标文件的全部偏差，均应在投标文件的</w:t>
            </w:r>
            <w:r>
              <w:rPr>
                <w:rFonts w:hint="eastAsia" w:asciiTheme="minorEastAsia" w:hAnsiTheme="minorEastAsia" w:eastAsiaTheme="minorEastAsia" w:cstheme="minorEastAsia"/>
                <w:b/>
                <w:color w:val="auto"/>
                <w:sz w:val="24"/>
                <w:szCs w:val="24"/>
              </w:rPr>
              <w:t>商务和技术偏差表</w:t>
            </w:r>
            <w:r>
              <w:rPr>
                <w:rFonts w:hint="eastAsia" w:asciiTheme="minorEastAsia" w:hAnsiTheme="minorEastAsia" w:eastAsiaTheme="minorEastAsia" w:cstheme="minorEastAsia"/>
                <w:color w:val="auto"/>
                <w:sz w:val="24"/>
                <w:szCs w:val="24"/>
              </w:rPr>
              <w:t>中列明，除列明的内容外，视为投标人响应招标文件的全部要求。</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1.12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同义词语</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构成招标文件组成部分的“合同格式”和“技术规格及要求”等章节中出现的措辞“买方”、“甲方”和“卖方”、“乙方”、“中标人”在招标投标阶段应当分别按“招标人”和“投标人”进行理解。</w:t>
            </w:r>
          </w:p>
        </w:tc>
      </w:tr>
      <w:tr>
        <w:tblPrEx>
          <w:tblCellMar>
            <w:top w:w="0" w:type="dxa"/>
            <w:left w:w="108" w:type="dxa"/>
            <w:bottom w:w="0" w:type="dxa"/>
            <w:right w:w="108" w:type="dxa"/>
          </w:tblCellMar>
        </w:tblPrEx>
        <w:trPr>
          <w:trHeight w:val="90" w:hRule="atLeast"/>
        </w:trPr>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91" w:name="_Toc31012"/>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招标文件</w:t>
            </w:r>
            <w:bookmarkEnd w:id="91"/>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招标文件的组成</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本招标文件包括：</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招标公告</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投标人须知；</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评标办法；</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合同格式；</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采购需求；</w:t>
            </w:r>
          </w:p>
          <w:p>
            <w:pPr>
              <w:keepNext w:val="0"/>
              <w:keepLines w:val="0"/>
              <w:pageBreakBefore w:val="0"/>
              <w:numPr>
                <w:ilvl w:val="0"/>
                <w:numId w:val="6"/>
              </w:numPr>
              <w:kinsoku/>
              <w:overflowPunct/>
              <w:bidi w:val="0"/>
              <w:spacing w:beforeAutospacing="0" w:afterAutospacing="0" w:line="240" w:lineRule="auto"/>
              <w:ind w:left="1068" w:leftChars="0" w:hanging="106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投标文件格式；</w:t>
            </w:r>
          </w:p>
          <w:p>
            <w:pPr>
              <w:keepNext w:val="0"/>
              <w:keepLines w:val="0"/>
              <w:pageBreakBefore w:val="0"/>
              <w:numPr>
                <w:ilvl w:val="0"/>
                <w:numId w:val="0"/>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 投标人须知前附表规定的其他资料。</w:t>
            </w:r>
          </w:p>
          <w:p>
            <w:pPr>
              <w:keepNext w:val="0"/>
              <w:keepLines w:val="0"/>
              <w:pageBreakBefore w:val="0"/>
              <w:numPr>
                <w:ilvl w:val="0"/>
                <w:numId w:val="0"/>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根据本章第1.9款、第2.2款和第2.3款对招标文件所作的澄清、修改，作为补充招标文件，构成招标文件的组成部分。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rPr>
              <w:t>2.2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招标文件的澄清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2.2.1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仔细阅读和检查招标文件的全部内容。如发现缺页或附件不全，应及时向招标人提出，以便补齐。如有疑问，应在投标人须知前附表规定的时间前以书面形式将提出的问题送达招标人，要求招标人对招标文件予以澄清。</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2.2.2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澄清以书面形式发给所有购买招标文件的投标人，但不指明澄清问题的来源。澄清发出的时间距本招标文件规定的投标截止时间不足15日的，并且澄清内容可能影响投标文件编制的，将相应延长投标截止时间。</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投标人在收到澄清后，应及时向招标代理机构办理签收手续或以书面方式确认其收到；否则，投标人将被视为已理解并接受招标文件及补充招标文件的所有内容。</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除非招标人认为确有必要答复，否则，招标人有权拒绝回复投标人在投标人须知前附表规定的时间后的任何澄清要求。</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rPr>
              <w:t>招标文件的修改</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招标人可以书面形式修改招标文件，并通知所有已</w:t>
            </w:r>
            <w:bookmarkStart w:id="92" w:name="_Toc352691480"/>
            <w:bookmarkStart w:id="93" w:name="_Toc369531522"/>
            <w:bookmarkStart w:id="94" w:name="_Toc26878"/>
            <w:r>
              <w:rPr>
                <w:rFonts w:hint="eastAsia" w:asciiTheme="minorEastAsia" w:hAnsiTheme="minorEastAsia" w:eastAsiaTheme="minorEastAsia" w:cstheme="minorEastAsia"/>
                <w:color w:val="auto"/>
                <w:sz w:val="24"/>
                <w:szCs w:val="24"/>
              </w:rPr>
              <w:t>购买招标文件</w:t>
            </w:r>
            <w:bookmarkEnd w:id="92"/>
            <w:bookmarkEnd w:id="93"/>
            <w:bookmarkEnd w:id="94"/>
            <w:r>
              <w:rPr>
                <w:rFonts w:hint="eastAsia" w:asciiTheme="minorEastAsia" w:hAnsiTheme="minorEastAsia" w:eastAsiaTheme="minorEastAsia" w:cstheme="minorEastAsia"/>
                <w:color w:val="auto"/>
                <w:sz w:val="24"/>
                <w:szCs w:val="24"/>
              </w:rPr>
              <w:t>的投标人。修改招标文件的时间距本招标文件规定的投标截止时间不足15日的，并且修改内容可</w:t>
            </w:r>
            <w:bookmarkStart w:id="95" w:name="_Toc144974505"/>
            <w:bookmarkStart w:id="96" w:name="_Toc247527561"/>
            <w:bookmarkStart w:id="97" w:name="_Toc369531523"/>
            <w:bookmarkStart w:id="98" w:name="_Toc247513960"/>
            <w:bookmarkStart w:id="99" w:name="_Toc8349"/>
            <w:bookmarkStart w:id="100" w:name="_Toc152042313"/>
            <w:bookmarkStart w:id="101" w:name="_Toc300834957"/>
            <w:bookmarkStart w:id="102" w:name="_Toc384308217"/>
            <w:bookmarkStart w:id="103" w:name="_Toc361508592"/>
            <w:bookmarkStart w:id="104" w:name="_Toc152045537"/>
            <w:bookmarkStart w:id="105" w:name="_Toc352691481"/>
            <w:r>
              <w:rPr>
                <w:rFonts w:hint="eastAsia" w:asciiTheme="minorEastAsia" w:hAnsiTheme="minorEastAsia" w:eastAsiaTheme="minorEastAsia" w:cstheme="minorEastAsia"/>
                <w:color w:val="auto"/>
                <w:sz w:val="24"/>
                <w:szCs w:val="24"/>
              </w:rPr>
              <w:t>能影响投标文</w:t>
            </w:r>
            <w:bookmarkEnd w:id="95"/>
            <w:r>
              <w:rPr>
                <w:rFonts w:hint="eastAsia" w:asciiTheme="minorEastAsia" w:hAnsiTheme="minorEastAsia" w:eastAsiaTheme="minorEastAsia" w:cstheme="minorEastAsia"/>
                <w:color w:val="auto"/>
                <w:sz w:val="24"/>
                <w:szCs w:val="24"/>
              </w:rPr>
              <w:t>件编</w:t>
            </w:r>
            <w:bookmarkEnd w:id="96"/>
            <w:bookmarkEnd w:id="97"/>
            <w:bookmarkEnd w:id="98"/>
            <w:bookmarkEnd w:id="99"/>
            <w:bookmarkEnd w:id="100"/>
            <w:bookmarkEnd w:id="101"/>
            <w:bookmarkEnd w:id="102"/>
            <w:bookmarkEnd w:id="103"/>
            <w:bookmarkEnd w:id="104"/>
            <w:bookmarkEnd w:id="105"/>
            <w:r>
              <w:rPr>
                <w:rFonts w:hint="eastAsia" w:asciiTheme="minorEastAsia" w:hAnsiTheme="minorEastAsia" w:eastAsiaTheme="minorEastAsia" w:cstheme="minorEastAsia"/>
                <w:color w:val="auto"/>
                <w:sz w:val="24"/>
                <w:szCs w:val="24"/>
              </w:rPr>
              <w:t>制的，将相应延长投标截止时间</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2.3.2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投标人收到修改内容</w:t>
            </w:r>
            <w:bookmarkStart w:id="106" w:name="_Toc369531524"/>
            <w:bookmarkStart w:id="107" w:name="_Toc247513961"/>
            <w:bookmarkStart w:id="108" w:name="_Toc384308218"/>
            <w:bookmarkStart w:id="109" w:name="_Toc247527562"/>
            <w:bookmarkStart w:id="110" w:name="_Toc300834958"/>
            <w:bookmarkStart w:id="111" w:name="_Toc24632"/>
            <w:bookmarkStart w:id="112" w:name="_Toc352691482"/>
            <w:bookmarkStart w:id="113" w:name="_Toc152045538"/>
            <w:bookmarkStart w:id="114" w:name="_Toc152042314"/>
            <w:bookmarkStart w:id="115" w:name="_Toc144974506"/>
            <w:bookmarkStart w:id="116" w:name="_Toc361508593"/>
            <w:r>
              <w:rPr>
                <w:rFonts w:hint="eastAsia" w:asciiTheme="minorEastAsia" w:hAnsiTheme="minorEastAsia" w:eastAsiaTheme="minorEastAsia" w:cstheme="minorEastAsia"/>
                <w:color w:val="auto"/>
                <w:sz w:val="24"/>
                <w:szCs w:val="24"/>
              </w:rPr>
              <w:t>后</w:t>
            </w:r>
            <w:bookmarkEnd w:id="106"/>
            <w:bookmarkEnd w:id="107"/>
            <w:bookmarkEnd w:id="108"/>
            <w:bookmarkEnd w:id="109"/>
            <w:bookmarkEnd w:id="110"/>
            <w:bookmarkEnd w:id="111"/>
            <w:bookmarkEnd w:id="112"/>
            <w:bookmarkEnd w:id="113"/>
            <w:bookmarkEnd w:id="114"/>
            <w:bookmarkEnd w:id="115"/>
            <w:bookmarkEnd w:id="116"/>
            <w:r>
              <w:rPr>
                <w:rFonts w:hint="eastAsia" w:asciiTheme="minorEastAsia" w:hAnsiTheme="minorEastAsia" w:eastAsiaTheme="minorEastAsia" w:cstheme="minorEastAsia"/>
                <w:color w:val="auto"/>
                <w:sz w:val="24"/>
                <w:szCs w:val="24"/>
              </w:rPr>
              <w:t>，应及时向招标代理机构办理签收手续或以书面方式确认其收到；否则，投标人将被视为已理解并接受招标文件及补充招标文件的所有内容。</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17" w:name="_Toc19290"/>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投标文件</w:t>
            </w:r>
            <w:bookmarkEnd w:id="117"/>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3.1</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投标文件的组成</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投标文件应包括下列内容：</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val="0"/>
                <w:bCs/>
                <w:color w:val="auto"/>
                <w:sz w:val="24"/>
                <w:szCs w:val="24"/>
              </w:rPr>
              <w:t>3.1.1.1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sz w:val="24"/>
                <w:szCs w:val="24"/>
              </w:rPr>
              <w:t>商务部分：</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投标函；</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投标保证金；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法定代表人（单位负责人）证明</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授权委托书；</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联合体协议书（联合体投标时适用）；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开标一览表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分项报价表；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商务偏差表；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资格和履约能力证明资料；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p>
        </w:tc>
        <w:tc>
          <w:tcPr>
            <w:tcW w:w="7245" w:type="dxa"/>
            <w:vAlign w:val="top"/>
          </w:tcPr>
          <w:p>
            <w:pPr>
              <w:keepNext w:val="0"/>
              <w:keepLines w:val="0"/>
              <w:pageBreakBefore w:val="0"/>
              <w:numPr>
                <w:ilvl w:val="0"/>
                <w:numId w:val="7"/>
              </w:numPr>
              <w:kinsoku/>
              <w:overflowPunct/>
              <w:bidi w:val="0"/>
              <w:spacing w:beforeAutospacing="0" w:afterAutospacing="0" w:line="240" w:lineRule="auto"/>
              <w:ind w:left="0" w:leftChars="0" w:firstLine="0" w:firstLineChars="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投标人须知前附表规定的构成投标文件商务部分的其他资料。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3.1.1.2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技术部分：</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8"/>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技术偏差表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8"/>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投标设备技术</w:t>
            </w:r>
            <w:r>
              <w:rPr>
                <w:rFonts w:hint="eastAsia" w:asciiTheme="minorEastAsia" w:hAnsiTheme="minorEastAsia" w:eastAsiaTheme="minorEastAsia" w:cstheme="minorEastAsia"/>
                <w:b w:val="0"/>
                <w:bCs w:val="0"/>
                <w:color w:val="auto"/>
                <w:sz w:val="24"/>
                <w:szCs w:val="24"/>
              </w:rPr>
              <w:t>性能</w:t>
            </w:r>
            <w:r>
              <w:rPr>
                <w:rFonts w:hint="eastAsia" w:asciiTheme="minorEastAsia" w:hAnsiTheme="minorEastAsia" w:eastAsiaTheme="minorEastAsia" w:cstheme="minorEastAsia"/>
                <w:color w:val="auto"/>
                <w:sz w:val="24"/>
                <w:szCs w:val="24"/>
              </w:rPr>
              <w:t>指标的详细描述；</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8"/>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技术服务和</w:t>
            </w:r>
            <w:r>
              <w:rPr>
                <w:rFonts w:hint="eastAsia" w:asciiTheme="minorEastAsia" w:hAnsiTheme="minorEastAsia" w:eastAsiaTheme="minorEastAsia" w:cstheme="minorEastAsia"/>
                <w:b w:val="0"/>
                <w:bCs w:val="0"/>
                <w:color w:val="auto"/>
                <w:sz w:val="24"/>
                <w:szCs w:val="24"/>
              </w:rPr>
              <w:t>售后服务</w:t>
            </w:r>
            <w:r>
              <w:rPr>
                <w:rFonts w:hint="eastAsia" w:asciiTheme="minorEastAsia" w:hAnsiTheme="minorEastAsia" w:eastAsiaTheme="minorEastAsia" w:cstheme="minorEastAsia"/>
                <w:color w:val="auto"/>
                <w:sz w:val="24"/>
                <w:szCs w:val="24"/>
              </w:rPr>
              <w:t>计划；</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8"/>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技术支持资料；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numPr>
                <w:ilvl w:val="0"/>
                <w:numId w:val="8"/>
              </w:numPr>
              <w:kinsoku/>
              <w:overflowPunct/>
              <w:bidi w:val="0"/>
              <w:spacing w:beforeAutospacing="0" w:afterAutospacing="0" w:line="24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投标人须知前附表规定的构成投标文件技术部分的其他资料。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3.1.1.3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样品：</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投标人须知前附表要求投标人提供样品的，样品制作的标准和要求见第</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章《采购需求》、样品的评审方法以及评审标准见第三章《评标办法》。需要随样品提交检测报告的，检测机构的要求、检测内容等见本须知前附表。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采购活动结束后，对于未中标人提供的样品，招标人将及时退还或者经未中标人同意后自行处理；对于中标人提供的样品，应当按照招标文件的规定进行保管、封存，并作为履约验收的参考。</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投标人须知前附表规定不接受联合体投标的，或投标人没有组成联合体的，投标文件不包括本章第3.1.1款中所指的联合体协议书。</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投标人须知前附表未要求提交投标保证金的，投标文件不包括本章第3.1.1款中所指的投标保证金。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3.2</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投标报价 </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rPr>
              <w:t>投标人应充分了解本项目的总体情况以及考虑影响投标报价的各项要素后进行报价。</w:t>
            </w:r>
            <w:r>
              <w:rPr>
                <w:rFonts w:hint="eastAsia" w:asciiTheme="minorEastAsia" w:hAnsiTheme="minorEastAsia" w:eastAsiaTheme="minorEastAsia" w:cstheme="minorEastAsia"/>
                <w:b w:val="0"/>
                <w:bCs/>
                <w:color w:val="auto"/>
                <w:spacing w:val="-4"/>
                <w:sz w:val="24"/>
                <w:szCs w:val="24"/>
              </w:rPr>
              <w:t>投标报价不得有缺漏项，且应包括国家规定的增值税等各项税金</w:t>
            </w:r>
            <w:r>
              <w:rPr>
                <w:rFonts w:hint="eastAsia" w:asciiTheme="minorEastAsia" w:hAnsiTheme="minorEastAsia" w:eastAsiaTheme="minorEastAsia" w:cstheme="minorEastAsia"/>
                <w:b w:val="0"/>
                <w:bCs/>
                <w:color w:val="auto"/>
                <w:sz w:val="24"/>
                <w:szCs w:val="24"/>
              </w:rPr>
              <w:t>。</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投标人应按第六章“投标文件格式”填写投标函、开标一览表及分项报价表等。</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投标人在投标截止时间前修改投标函中的投标报价总额，应同时修</w:t>
            </w:r>
            <w:bookmarkStart w:id="118" w:name="_Toc152042318"/>
            <w:bookmarkStart w:id="119" w:name="_Toc247527567"/>
            <w:bookmarkStart w:id="120" w:name="_Toc384308223"/>
            <w:bookmarkStart w:id="121" w:name="_Toc152045542"/>
            <w:bookmarkStart w:id="122" w:name="_Toc144974510"/>
            <w:bookmarkStart w:id="123" w:name="_Toc369531529"/>
            <w:bookmarkStart w:id="124" w:name="_Toc361508598"/>
            <w:bookmarkStart w:id="125" w:name="_Toc352691486"/>
            <w:bookmarkStart w:id="126" w:name="_Toc247513966"/>
            <w:bookmarkStart w:id="127" w:name="_Toc25772"/>
            <w:bookmarkStart w:id="128" w:name="_Toc300834963"/>
            <w:r>
              <w:rPr>
                <w:rFonts w:hint="eastAsia" w:asciiTheme="minorEastAsia" w:hAnsiTheme="minorEastAsia" w:eastAsiaTheme="minorEastAsia" w:cstheme="minorEastAsia"/>
                <w:color w:val="auto"/>
                <w:sz w:val="24"/>
                <w:szCs w:val="24"/>
              </w:rPr>
              <w:t>改投标文件“</w:t>
            </w:r>
            <w:bookmarkEnd w:id="118"/>
            <w:bookmarkEnd w:id="119"/>
            <w:bookmarkEnd w:id="120"/>
            <w:bookmarkEnd w:id="121"/>
            <w:bookmarkEnd w:id="122"/>
            <w:bookmarkEnd w:id="123"/>
            <w:bookmarkEnd w:id="124"/>
            <w:bookmarkEnd w:id="125"/>
            <w:bookmarkEnd w:id="126"/>
            <w:bookmarkEnd w:id="127"/>
            <w:bookmarkEnd w:id="128"/>
            <w:bookmarkStart w:id="129" w:name="_Toc144974511"/>
            <w:bookmarkStart w:id="130" w:name="_Toc384308224"/>
            <w:bookmarkStart w:id="131" w:name="_Toc152045543"/>
            <w:bookmarkStart w:id="132" w:name="_Toc352691487"/>
            <w:bookmarkStart w:id="133" w:name="_Toc369531530"/>
            <w:bookmarkStart w:id="134" w:name="_Toc247527568"/>
            <w:bookmarkStart w:id="135" w:name="_Toc15242"/>
            <w:bookmarkStart w:id="136" w:name="_Toc247513967"/>
            <w:bookmarkStart w:id="137" w:name="_Toc361508599"/>
            <w:bookmarkStart w:id="138" w:name="_Toc152042319"/>
            <w:bookmarkStart w:id="139" w:name="_Toc300834964"/>
            <w:r>
              <w:rPr>
                <w:rFonts w:hint="eastAsia" w:asciiTheme="minorEastAsia" w:hAnsiTheme="minorEastAsia" w:eastAsiaTheme="minorEastAsia" w:cstheme="minorEastAsia"/>
                <w:color w:val="auto"/>
                <w:sz w:val="24"/>
                <w:szCs w:val="24"/>
              </w:rPr>
              <w:t>分项报价表”中的相应报价。此修</w:t>
            </w:r>
            <w:bookmarkEnd w:id="129"/>
            <w:bookmarkEnd w:id="130"/>
            <w:bookmarkEnd w:id="131"/>
            <w:bookmarkEnd w:id="132"/>
            <w:bookmarkEnd w:id="133"/>
            <w:bookmarkEnd w:id="134"/>
            <w:bookmarkEnd w:id="135"/>
            <w:bookmarkEnd w:id="136"/>
            <w:bookmarkEnd w:id="137"/>
            <w:bookmarkEnd w:id="138"/>
            <w:bookmarkEnd w:id="139"/>
            <w:r>
              <w:rPr>
                <w:rFonts w:hint="eastAsia" w:asciiTheme="minorEastAsia" w:hAnsiTheme="minorEastAsia" w:eastAsiaTheme="minorEastAsia" w:cstheme="minorEastAsia"/>
                <w:color w:val="auto"/>
                <w:sz w:val="24"/>
                <w:szCs w:val="24"/>
              </w:rPr>
              <w:t>改须符合本章第4.1款的有关要求。</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3.2.4</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若投标人的开标一览表报价与投标函报价不一致，开标时以其开标一览表报价为准。</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3.2.5</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投标报价为各分项报价金额之和，投标报价与分项报价的合价不一致的，以分项报价的合价为准；如分项报价中存在缺漏项，则视为缺漏项价格已包含在其他分项报价之中，并在评审时作不利于该评标人的处理。</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3.2.6</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招标人设有最高投标限价的，投标人的投标报价不得超过最高投标限价，最高投标限价在投标人须知前附表中载明。</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3.2.7</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各项投标价格均以人民币报价。</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3.2.8</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汇率风险全部由投标人承担。</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en-US" w:eastAsia="zh-CN"/>
              </w:rPr>
              <w:t>9</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投标报价的其他要求见投标人须知前附表。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3.3</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投标有效期</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投标有效期见投标人须知前附表。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在投标有效期内，投标人撤销投标文件的，应承担招标文件和法律规定的责任。</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3.3.3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3.4</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投标保证金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投标人在递交投标文件的同时，应按投标人须知前附表规定的金额</w:t>
            </w:r>
            <w:bookmarkStart w:id="140" w:name="_Toc352691489"/>
            <w:bookmarkStart w:id="141" w:name="_Toc152042321"/>
            <w:bookmarkStart w:id="142" w:name="_Toc144974513"/>
            <w:bookmarkStart w:id="143" w:name="_Toc4592"/>
            <w:bookmarkStart w:id="144" w:name="_Toc369531532"/>
            <w:bookmarkStart w:id="145" w:name="_Toc247513969"/>
            <w:bookmarkStart w:id="146" w:name="_Toc361508601"/>
            <w:bookmarkStart w:id="147" w:name="_Toc384308226"/>
            <w:bookmarkStart w:id="148" w:name="_Toc300834966"/>
            <w:bookmarkStart w:id="149" w:name="_Toc247527570"/>
            <w:bookmarkStart w:id="150" w:name="_Toc152045545"/>
            <w:r>
              <w:rPr>
                <w:rFonts w:hint="eastAsia" w:asciiTheme="minorEastAsia" w:hAnsiTheme="minorEastAsia" w:eastAsiaTheme="minorEastAsia" w:cstheme="minorEastAsia"/>
                <w:b w:val="0"/>
                <w:bCs w:val="0"/>
                <w:color w:val="auto"/>
                <w:sz w:val="24"/>
                <w:szCs w:val="24"/>
              </w:rPr>
              <w:t>、形式</w:t>
            </w:r>
            <w:bookmarkEnd w:id="140"/>
            <w:bookmarkEnd w:id="141"/>
            <w:bookmarkEnd w:id="142"/>
            <w:bookmarkEnd w:id="143"/>
            <w:bookmarkEnd w:id="144"/>
            <w:bookmarkEnd w:id="145"/>
            <w:bookmarkEnd w:id="146"/>
            <w:bookmarkEnd w:id="147"/>
            <w:bookmarkEnd w:id="148"/>
            <w:bookmarkEnd w:id="149"/>
            <w:bookmarkEnd w:id="150"/>
            <w:r>
              <w:rPr>
                <w:rFonts w:hint="eastAsia" w:asciiTheme="minorEastAsia" w:hAnsiTheme="minorEastAsia" w:eastAsiaTheme="minorEastAsia" w:cstheme="minorEastAsia"/>
                <w:b w:val="0"/>
                <w:bCs w:val="0"/>
                <w:color w:val="auto"/>
                <w:sz w:val="24"/>
                <w:szCs w:val="24"/>
              </w:rPr>
              <w:t>递交投标保证金，并作为其投标文件的组成部分。</w:t>
            </w:r>
            <w:r>
              <w:rPr>
                <w:rFonts w:hint="eastAsia" w:asciiTheme="minorEastAsia" w:hAnsiTheme="minorEastAsia" w:eastAsiaTheme="minorEastAsia" w:cstheme="minorEastAsia"/>
                <w:b w:val="0"/>
                <w:bCs w:val="0"/>
                <w:color w:val="auto"/>
                <w:sz w:val="24"/>
              </w:rPr>
              <w:t>投标保证金的有效期与投标有效期一致。</w:t>
            </w:r>
            <w:r>
              <w:rPr>
                <w:rFonts w:hint="eastAsia" w:asciiTheme="minorEastAsia" w:hAnsiTheme="minorEastAsia" w:eastAsiaTheme="minorEastAsia" w:cstheme="minorEastAsia"/>
                <w:b w:val="0"/>
                <w:bCs w:val="0"/>
                <w:color w:val="auto"/>
                <w:sz w:val="24"/>
                <w:szCs w:val="24"/>
              </w:rPr>
              <w:t>联合体投标的，其投标保证金应当由联合体一方或多方共同递交，且所提交的投标保证金应对联合体的所有成员均具有约束力，并应符合投标人须知前附表的规定。</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3.4.2</w:t>
            </w:r>
          </w:p>
        </w:tc>
        <w:tc>
          <w:tcPr>
            <w:tcW w:w="7245" w:type="dxa"/>
            <w:vAlign w:val="top"/>
          </w:tcPr>
          <w:p>
            <w:pPr>
              <w:keepNext w:val="0"/>
              <w:keepLines w:val="0"/>
              <w:pageBreakBefore w:val="0"/>
              <w:kinsoku/>
              <w:overflowPunct/>
              <w:bidi w:val="0"/>
              <w:spacing w:beforeAutospacing="0" w:afterAutospacing="0" w:line="24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rPr>
              <w:t>投标保证金是用于保护本次招标免受投标人的不当行为而引起的风险。</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保证金的退还：</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（1）投标人在投标截止时间前撤回已提交的投标文件的，将在收到投标人书面撤回通知之日起5个工作日内，退还已收取的投标保证金，但因投标人自身原因导致无法及时退还的除外。</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（2）未中标人的投标保证金，将在中标通知书发出后5个工作日内退还。</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（3）中标人的投标保证金，在中标人按招标文件规定签订合同后5个工作日内退还。</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3.4.4</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有下列情形之一的，投标保证金将不予退还： </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（1）投标人在投标有效期内撤销投标文件；</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（2）中标人在收到中标通知书后，无正当理由不与招标人订立合同，在签订合同时向招标人提出附加条件，或者不按照招标文件要求提交履约保证金；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 xml:space="preserve">（3）中标人将中标项目转让给他人或者在投标文件中未说明且未经招标人同意，将中标项目分包给他人的； </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（4）投标人有串通投标、弄虚作假、行贿或其他严重违背公平竞争和诚实信用原则、扰乱招标投标正常秩序行为的；</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（5）发生投标人须知前附表规定的其他可以不予退还投标保证金的情形。</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3.5</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资格和履约能力证明资料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投标人须按照《政府采购法实施条例》以及招标文件的要求，按第</w:t>
            </w: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章“投标文件格式”填写关于资格和履约能力的相关信息，并提供相关证明材料。包括但不限于：</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法人或者其他组织的营业执照等证明文件，自然人的身份证明；</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财务状况报告，依法缴纳税收和社会保障资金的相关材料；如：</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a)投标人是法人的，应提供本须知前附表规定年份的经审计的财务报告，或</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开户银行出具的资信证明。部分其他组织和自然人，没有经审计的财务报告，可以提供银行出具的资信证明。</w:t>
            </w:r>
          </w:p>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投标人如提供了财政部门认可的政府采购专业担保机构出具的投标担保函，则不需再提供上述财务状况报告。</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b)投标人应提供税务登记证和本须知前附表规定时间内的</w:t>
            </w:r>
            <w:r>
              <w:rPr>
                <w:rFonts w:hint="eastAsia" w:asciiTheme="minorEastAsia" w:hAnsiTheme="minorEastAsia" w:eastAsiaTheme="minorEastAsia" w:cstheme="minorEastAsia"/>
                <w:color w:val="auto"/>
                <w:sz w:val="24"/>
                <w:szCs w:val="24"/>
                <w:lang w:val="en-US" w:eastAsia="zh-CN"/>
              </w:rPr>
              <w:t>纳税证明</w:t>
            </w:r>
            <w:r>
              <w:rPr>
                <w:rFonts w:hint="eastAsia" w:asciiTheme="minorEastAsia" w:hAnsiTheme="minorEastAsia" w:eastAsiaTheme="minorEastAsia" w:cstheme="minorEastAsia"/>
                <w:color w:val="auto"/>
                <w:sz w:val="24"/>
                <w:szCs w:val="24"/>
              </w:rPr>
              <w:t>。</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 投标人应提供社会保险登记证和本须知前附表规定时间内的缴纳社会保险的</w:t>
            </w:r>
            <w:r>
              <w:rPr>
                <w:rFonts w:hint="eastAsia" w:asciiTheme="minorEastAsia" w:hAnsiTheme="minorEastAsia" w:eastAsiaTheme="minorEastAsia" w:cstheme="minorEastAsia"/>
                <w:color w:val="auto"/>
                <w:sz w:val="24"/>
                <w:szCs w:val="24"/>
                <w:lang w:val="en-US" w:eastAsia="zh-CN"/>
              </w:rPr>
              <w:t>证明</w:t>
            </w:r>
            <w:r>
              <w:rPr>
                <w:rFonts w:hint="eastAsia" w:asciiTheme="minorEastAsia" w:hAnsiTheme="minorEastAsia" w:eastAsiaTheme="minorEastAsia" w:cstheme="minorEastAsia"/>
                <w:color w:val="auto"/>
                <w:sz w:val="24"/>
                <w:szCs w:val="24"/>
              </w:rPr>
              <w:t>。</w:t>
            </w:r>
          </w:p>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依法免税或不需要缴纳社会保障资金的投标人，应提供相应证明文件证明其依法免税或不需要缴纳社会保障资金。</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3.5.1.3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具备履行合同所必需的设备和专业技术能力的证明材料；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3.5.1.4</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参加本次政府采购活动前3年内在经营活动中没有重大违法记录的书面声明，</w:t>
            </w:r>
            <w:r>
              <w:rPr>
                <w:rFonts w:hint="eastAsia" w:asciiTheme="minorEastAsia" w:hAnsiTheme="minorEastAsia" w:eastAsiaTheme="minorEastAsia" w:cstheme="minorEastAsia"/>
                <w:b/>
                <w:color w:val="auto"/>
                <w:sz w:val="24"/>
                <w:szCs w:val="24"/>
              </w:rPr>
              <w:t>重大违法记录指投标人因违法经营受到刑事处罚或者责令停产停业、吊销许可证或者执照、较大数额罚款等行政处罚</w:t>
            </w:r>
            <w:r>
              <w:rPr>
                <w:rFonts w:hint="eastAsia" w:asciiTheme="minorEastAsia" w:hAnsiTheme="minorEastAsia" w:eastAsiaTheme="minorEastAsia" w:cstheme="minorEastAsia"/>
                <w:color w:val="auto"/>
                <w:sz w:val="24"/>
                <w:szCs w:val="24"/>
              </w:rPr>
              <w:t>；</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3.5.1.5</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投标人须知前附表规定的其他证明材料。</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如投标人为小微企业，</w:t>
            </w:r>
            <w:r>
              <w:rPr>
                <w:rFonts w:hint="eastAsia" w:asciiTheme="minorEastAsia" w:hAnsiTheme="minorEastAsia" w:eastAsiaTheme="minorEastAsia" w:cstheme="minorEastAsia"/>
                <w:bCs/>
                <w:color w:val="auto"/>
                <w:sz w:val="24"/>
                <w:szCs w:val="24"/>
              </w:rPr>
              <w:t>应</w:t>
            </w:r>
            <w:r>
              <w:rPr>
                <w:rFonts w:hint="eastAsia" w:asciiTheme="minorEastAsia" w:hAnsiTheme="minorEastAsia" w:eastAsiaTheme="minorEastAsia" w:cstheme="minorEastAsia"/>
                <w:color w:val="auto"/>
                <w:sz w:val="24"/>
                <w:szCs w:val="24"/>
              </w:rPr>
              <w:t>提供符合《政府采购促进中小企业发展管理办法》（财库﹝2020﹞46号）文格式要求的《中小企业声明函》。</w:t>
            </w:r>
          </w:p>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如投标人为残疾人福利性单位，</w:t>
            </w:r>
            <w:r>
              <w:rPr>
                <w:rFonts w:hint="eastAsia" w:asciiTheme="minorEastAsia" w:hAnsiTheme="minorEastAsia" w:eastAsiaTheme="minorEastAsia" w:cstheme="minorEastAsia"/>
                <w:bCs/>
                <w:color w:val="auto"/>
                <w:sz w:val="24"/>
                <w:szCs w:val="24"/>
              </w:rPr>
              <w:t>应</w:t>
            </w:r>
            <w:r>
              <w:rPr>
                <w:rFonts w:hint="eastAsia" w:asciiTheme="minorEastAsia" w:hAnsiTheme="minorEastAsia" w:eastAsiaTheme="minorEastAsia" w:cstheme="minorEastAsia"/>
                <w:color w:val="auto"/>
                <w:sz w:val="24"/>
                <w:szCs w:val="24"/>
              </w:rPr>
              <w:t>提供符合财库〔2017〕141号文格式要求的《残疾人福利性单位声明函》，</w:t>
            </w:r>
            <w:r>
              <w:rPr>
                <w:rFonts w:hint="eastAsia" w:asciiTheme="minorEastAsia" w:hAnsiTheme="minorEastAsia" w:eastAsiaTheme="minorEastAsia" w:cstheme="minorEastAsia"/>
                <w:color w:val="auto"/>
                <w:kern w:val="0"/>
                <w:sz w:val="24"/>
                <w:szCs w:val="24"/>
              </w:rPr>
              <w:t>并对声明的真实性负责。</w:t>
            </w:r>
            <w:r>
              <w:rPr>
                <w:rFonts w:hint="eastAsia" w:asciiTheme="minorEastAsia" w:hAnsiTheme="minorEastAsia" w:eastAsiaTheme="minorEastAsia" w:cstheme="minorEastAsia"/>
                <w:color w:val="auto"/>
                <w:sz w:val="24"/>
                <w:szCs w:val="24"/>
              </w:rPr>
              <w:t>一旦中标将在中标结果公告中公告其声明函，接受社会监督。</w:t>
            </w:r>
          </w:p>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如投标人为监狱或戒毒企业，应提供由省级以上监狱管理局、戒毒管理局（含新疆生产建设兵团）出具的属于监狱或戒毒企业的证明文件。</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b w:val="0"/>
                <w:bCs/>
                <w:color w:val="auto"/>
                <w:sz w:val="24"/>
                <w:szCs w:val="24"/>
              </w:rPr>
            </w:pPr>
            <w:bookmarkStart w:id="151" w:name="_Toc457747936"/>
            <w:bookmarkStart w:id="152" w:name="_Toc392227755"/>
            <w:r>
              <w:rPr>
                <w:rFonts w:hint="eastAsia" w:asciiTheme="minorEastAsia" w:hAnsiTheme="minorEastAsia" w:eastAsiaTheme="minorEastAsia" w:cstheme="minorEastAsia"/>
                <w:b w:val="0"/>
                <w:bCs/>
                <w:color w:val="auto"/>
                <w:sz w:val="24"/>
                <w:szCs w:val="24"/>
              </w:rPr>
              <w:t>3.5.3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投标人未如实提交上述证明材料或提供的资料不符合招标文件要求的，将承担在资格审查或符合性检查中被判定为不合格的风险，或在详细评审中不能享受相关政府采购政策的优惠。</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3.6</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备选投标方案</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除投标人须知前附表规定允许外，投标人不得递交备选投标方案，否则其投标无效。</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但备选投标方案的报价不得高于投标报价。</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投标人提供两个或两个以上投标报价，或者在投标文件中提供一个报价，但同时提供两个或两个以上供</w:t>
            </w:r>
            <w:bookmarkStart w:id="153" w:name="_Toc29902"/>
            <w:bookmarkStart w:id="154" w:name="_Toc247513974"/>
            <w:bookmarkStart w:id="155" w:name="_Toc247527575"/>
            <w:bookmarkStart w:id="156" w:name="_Toc152042326"/>
            <w:bookmarkStart w:id="157" w:name="_Toc144974518"/>
            <w:bookmarkStart w:id="158" w:name="_Toc361508607"/>
            <w:bookmarkStart w:id="159" w:name="_Toc300834971"/>
            <w:bookmarkStart w:id="160" w:name="_Toc152045550"/>
            <w:bookmarkStart w:id="161" w:name="_Toc384308232"/>
            <w:bookmarkStart w:id="162" w:name="_Toc369531538"/>
            <w:bookmarkStart w:id="163" w:name="_Toc352691495"/>
            <w:r>
              <w:rPr>
                <w:rFonts w:hint="eastAsia" w:asciiTheme="minorEastAsia" w:hAnsiTheme="minorEastAsia" w:eastAsiaTheme="minorEastAsia" w:cstheme="minorEastAsia"/>
                <w:color w:val="auto"/>
                <w:sz w:val="24"/>
                <w:szCs w:val="24"/>
              </w:rPr>
              <w:t>货方案的</w:t>
            </w:r>
            <w:bookmarkEnd w:id="153"/>
            <w:bookmarkEnd w:id="154"/>
            <w:bookmarkEnd w:id="155"/>
            <w:bookmarkEnd w:id="156"/>
            <w:bookmarkEnd w:id="157"/>
            <w:bookmarkEnd w:id="158"/>
            <w:bookmarkEnd w:id="159"/>
            <w:bookmarkEnd w:id="160"/>
            <w:bookmarkEnd w:id="161"/>
            <w:bookmarkEnd w:id="162"/>
            <w:bookmarkEnd w:id="163"/>
            <w:r>
              <w:rPr>
                <w:rFonts w:hint="eastAsia" w:asciiTheme="minorEastAsia" w:hAnsiTheme="minorEastAsia" w:eastAsiaTheme="minorEastAsia" w:cstheme="minorEastAsia"/>
                <w:color w:val="auto"/>
                <w:sz w:val="24"/>
                <w:szCs w:val="24"/>
              </w:rPr>
              <w:t>，视为提供备选方案。</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3.7</w:t>
            </w:r>
          </w:p>
        </w:tc>
        <w:tc>
          <w:tcPr>
            <w:tcW w:w="7245" w:type="dxa"/>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投标文件的编制</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3.7.1</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投标文件应按第</w:t>
            </w: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章“投标文件格式”进行编写，如有必要，可以增加附页，作为投标文件的组成部分。</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3.7.2</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应用不褪色的材料书写或打印，投标函应由投标人的法定代表人（单位负责人）或其委托代理人签字（或盖章）或盖单位公章。由投标人的法定代表人（单位负责人）签字（或盖章）的，应附法定代表人（单位负责人）身份证明，由其委托代理人签字（或盖章）的，应附授权委托书，身份证明或授权委托书应符合第六章“投标文件格式”的要求。投标文件应尽量避免涂改、行间插字或删除。如果出现上述情况，改动之处应由投标人的法定代表人（单位负责人）或其委托代理人签字（或盖章）或盖单位公章。</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投标文件的制作要求参照投标人须知前附表。</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3.7.4</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投标文件正本一份，副本份数见投标人须知前附表。正本和副本的封面</w:t>
            </w:r>
            <w:r>
              <w:rPr>
                <w:rStyle w:val="39"/>
                <w:rFonts w:hint="eastAsia" w:asciiTheme="minorEastAsia" w:hAnsiTheme="minorEastAsia" w:eastAsiaTheme="minorEastAsia" w:cstheme="minorEastAsia"/>
                <w:color w:val="auto"/>
                <w:kern w:val="0"/>
                <w:sz w:val="24"/>
                <w:szCs w:val="24"/>
              </w:rPr>
              <w:t>右上角</w:t>
            </w:r>
            <w:r>
              <w:rPr>
                <w:rFonts w:hint="eastAsia" w:asciiTheme="minorEastAsia" w:hAnsiTheme="minorEastAsia" w:eastAsiaTheme="minorEastAsia" w:cstheme="minorEastAsia"/>
                <w:color w:val="auto"/>
                <w:sz w:val="24"/>
                <w:szCs w:val="24"/>
              </w:rPr>
              <w:t>上应清楚地标记“正本”或“副本”的字样。投标人应根据投标人须知前附表要求提供电子版文件。</w:t>
            </w:r>
            <w:r>
              <w:rPr>
                <w:rFonts w:hint="eastAsia" w:asciiTheme="minorEastAsia" w:hAnsiTheme="minorEastAsia" w:eastAsiaTheme="minorEastAsia" w:cstheme="minorEastAsia"/>
                <w:b/>
                <w:color w:val="auto"/>
                <w:sz w:val="24"/>
                <w:szCs w:val="24"/>
              </w:rPr>
              <w:t>当副本和正本不一致或电子版文件与</w:t>
            </w:r>
            <w:r>
              <w:rPr>
                <w:rFonts w:hint="eastAsia" w:asciiTheme="minorEastAsia" w:hAnsiTheme="minorEastAsia" w:eastAsiaTheme="minorEastAsia" w:cstheme="minorEastAsia"/>
                <w:b/>
                <w:color w:val="auto"/>
                <w:sz w:val="24"/>
                <w:szCs w:val="24"/>
                <w:lang w:eastAsia="zh-CN"/>
              </w:rPr>
              <w:t>纸质</w:t>
            </w:r>
            <w:r>
              <w:rPr>
                <w:rFonts w:hint="eastAsia" w:asciiTheme="minorEastAsia" w:hAnsiTheme="minorEastAsia" w:eastAsiaTheme="minorEastAsia" w:cstheme="minorEastAsia"/>
                <w:b/>
                <w:color w:val="auto"/>
                <w:sz w:val="24"/>
                <w:szCs w:val="24"/>
              </w:rPr>
              <w:t>正本文件不一致时，以</w:t>
            </w:r>
            <w:r>
              <w:rPr>
                <w:rFonts w:hint="eastAsia" w:asciiTheme="minorEastAsia" w:hAnsiTheme="minorEastAsia" w:eastAsiaTheme="minorEastAsia" w:cstheme="minorEastAsia"/>
                <w:b/>
                <w:color w:val="auto"/>
                <w:sz w:val="24"/>
                <w:szCs w:val="24"/>
                <w:lang w:eastAsia="zh-CN"/>
              </w:rPr>
              <w:t>纸质</w:t>
            </w:r>
            <w:r>
              <w:rPr>
                <w:rFonts w:hint="eastAsia" w:asciiTheme="minorEastAsia" w:hAnsiTheme="minorEastAsia" w:eastAsiaTheme="minorEastAsia" w:cstheme="minorEastAsia"/>
                <w:b/>
                <w:color w:val="auto"/>
                <w:sz w:val="24"/>
                <w:szCs w:val="24"/>
              </w:rPr>
              <w:t>正本文件为准</w:t>
            </w:r>
            <w:r>
              <w:rPr>
                <w:rFonts w:hint="eastAsia" w:asciiTheme="minorEastAsia" w:hAnsiTheme="minorEastAsia" w:eastAsiaTheme="minorEastAsia" w:cstheme="minorEastAsia"/>
                <w:color w:val="auto"/>
                <w:sz w:val="24"/>
                <w:szCs w:val="24"/>
              </w:rPr>
              <w:t>。</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3.7.5</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投标文件的正本与副本应分别装订，并编制目录，投标文件需分册装订的，具体分册装订要求见投标人须知前附表规定。</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3.7.6</w:t>
            </w: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投标文件的签署：</w:t>
            </w:r>
          </w:p>
        </w:tc>
      </w:tr>
      <w:tr>
        <w:tblPrEx>
          <w:tblCellMar>
            <w:top w:w="0" w:type="dxa"/>
            <w:left w:w="108" w:type="dxa"/>
            <w:bottom w:w="0" w:type="dxa"/>
            <w:right w:w="108" w:type="dxa"/>
          </w:tblCellMar>
        </w:tblPrEx>
        <w:tc>
          <w:tcPr>
            <w:tcW w:w="1215" w:type="dxa"/>
            <w:gridSpan w:val="2"/>
            <w:vAlign w:val="top"/>
          </w:tcPr>
          <w:p>
            <w:pPr>
              <w:spacing w:line="240" w:lineRule="auto"/>
              <w:rPr>
                <w:rFonts w:hint="eastAsia" w:asciiTheme="minorEastAsia" w:hAnsiTheme="minorEastAsia" w:eastAsiaTheme="minorEastAsia" w:cstheme="minorEastAsia"/>
                <w:color w:val="auto"/>
                <w:sz w:val="24"/>
                <w:szCs w:val="24"/>
              </w:rPr>
            </w:pPr>
          </w:p>
        </w:tc>
        <w:tc>
          <w:tcPr>
            <w:tcW w:w="7245" w:type="dxa"/>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需盖章和签字处应由投标人的法定代表人（单位负责人）或其委托代理人签字或盖章并加盖单位公章。</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64" w:name="_Toc7658"/>
            <w:r>
              <w:rPr>
                <w:rFonts w:hint="eastAsia" w:asciiTheme="minorEastAsia" w:hAnsiTheme="minorEastAsia" w:eastAsiaTheme="minorEastAsia" w:cstheme="minorEastAsia"/>
                <w:b/>
                <w:bCs/>
                <w:color w:val="auto"/>
                <w:sz w:val="24"/>
                <w:szCs w:val="24"/>
              </w:rPr>
              <w:t>4.</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投标</w:t>
            </w:r>
            <w:bookmarkEnd w:id="164"/>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投标文件的密封和标记</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投标文件应密封包装，包装要求见投标人须知前附表。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投标文件封套上应写明的内容见投标人须知前附表。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投标文件的递交</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投标人应在投标人须知前附表规定的投标截止时间前递交投标文件。</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投标人递交投标文件的地点：见投标人须知前附表。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除投标人须知前附表另有规定外，投标人所递交的投标文件不予退还。</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招标人接收投标文件后，向投标人出具签收凭证。</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投标文件的拒收</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有下列情形之一的，投标文件应当被拒收。</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投标文件逾期送达或者未送达指定地点的；</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投标文件未按照招标文件要求密封的。</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4.4</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投标文件的修改与撤回</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在本章第4.2.1项规定的投标截止时间前，投标人可以修改或撤回已递交的投标文件，但应以书面形式通知招标人。</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投标人修改或撤回已递交投标文件的书面通知应按照本章第3.7.2项的要求签字或盖章。招标人收到书面通知后，向投标人出具签收凭证。</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投标人撤回投标文件的，招标人自收到投标人书面撤回通知之日起5日内退还已收取的投标保证金。</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修改的内容为投标文件的组成部分。修改的投标文件应按照本章第3条、第4条的规定进行编制、密封、标记和递交，并标明“修改”字样。</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4.5</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投标人必须保证投标资料的真实性，招标人、招标代理机构或评标委员会保留进一步核查投标资料原件的权力，对于弄虚作假的行为，投标人将自行承担由此而引起的各种法律后果和责任。</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65" w:name="_Toc8145"/>
            <w:r>
              <w:rPr>
                <w:rFonts w:hint="eastAsia"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开标</w:t>
            </w:r>
            <w:bookmarkEnd w:id="165"/>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开标时间和地点</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招标人在本章第4.2.1项规定的投标截止时间（开标时间）和投标人须知前附表规定的地点公开开标，并邀请所有投标人的法定代表人（单位负责人）或其委托代理人准时参加。</w:t>
            </w:r>
            <w:r>
              <w:rPr>
                <w:rFonts w:hint="eastAsia" w:asciiTheme="minorEastAsia" w:hAnsiTheme="minorEastAsia" w:eastAsiaTheme="minorEastAsia" w:cstheme="minorEastAsia"/>
                <w:b/>
                <w:snapToGrid w:val="0"/>
                <w:color w:val="auto"/>
                <w:kern w:val="0"/>
                <w:sz w:val="24"/>
                <w:szCs w:val="24"/>
              </w:rPr>
              <w:t>投标人代表应当参加开标，如投标人代表未出席开标大会及未在开标记录上签字的各方代表均视作对开标过程无异议。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开标程序</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主持人按下列程序进行开标：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宣布开标纪律；</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宣布开标人、唱标人、记录人等有关人员姓名；</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公布在投标截止时间前递交投标文件的投标人名称；</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宣布对投标文件的密封情况查验结果；</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按照投标人须知前附表的规定确定并宣布投标文件开标顺序；</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按照宣布的开标顺序当众开标，公布投标人名称、投标报价及其他内容，并记录在案；</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投标人代表、记录人等有关人员在开标记录上签字确认；</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未出席开标大会以及未在开标记录上签字的各方代表均视为对开标过程无异议。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numPr>
                <w:ilvl w:val="0"/>
                <w:numId w:val="9"/>
              </w:numPr>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开标结束。</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66" w:name="_Toc28107"/>
            <w:r>
              <w:rPr>
                <w:rFonts w:hint="eastAsia" w:asciiTheme="minorEastAsia" w:hAnsiTheme="minorEastAsia" w:eastAsiaTheme="minorEastAsia" w:cstheme="minorEastAsia"/>
                <w:b/>
                <w:bCs/>
                <w:color w:val="auto"/>
                <w:sz w:val="24"/>
                <w:szCs w:val="24"/>
              </w:rPr>
              <w:t>6.</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资格审查</w:t>
            </w:r>
            <w:bookmarkEnd w:id="166"/>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6.1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开标结束后，招标人和招标代理机构将对投标人的资格进行审查，检查投标人资格是否符合本项目投标邀请中列明的对投标人的资格要求。</w:t>
            </w:r>
            <w:r>
              <w:rPr>
                <w:rFonts w:hint="eastAsia" w:asciiTheme="minorEastAsia" w:hAnsiTheme="minorEastAsia" w:eastAsiaTheme="minorEastAsia" w:cstheme="minorEastAsia"/>
                <w:b/>
                <w:color w:val="auto"/>
                <w:sz w:val="24"/>
                <w:szCs w:val="24"/>
              </w:rPr>
              <w:t>合格投标人不足3家的，不再进行评标，本项目流标。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招标人和招标代理机构在对投标人的资格进行审查的同时，在“信用中国”网站（www.creditchina.gov.cn）查询投标人的信用信息，</w:t>
            </w:r>
            <w:r>
              <w:rPr>
                <w:rFonts w:hint="eastAsia" w:asciiTheme="minorEastAsia" w:hAnsiTheme="minorEastAsia" w:eastAsiaTheme="minorEastAsia" w:cstheme="minorEastAsia"/>
                <w:b/>
                <w:color w:val="auto"/>
                <w:sz w:val="24"/>
                <w:szCs w:val="24"/>
              </w:rPr>
              <w:t>信用信息查询记录和证据留存的方式采用网页截屏打印</w:t>
            </w:r>
            <w:r>
              <w:rPr>
                <w:rFonts w:hint="eastAsia" w:asciiTheme="minorEastAsia" w:hAnsiTheme="minorEastAsia" w:eastAsiaTheme="minorEastAsia" w:cstheme="minorEastAsia"/>
                <w:color w:val="auto"/>
                <w:sz w:val="24"/>
                <w:szCs w:val="24"/>
              </w:rPr>
              <w:t>，与采购文件等一并归档。</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提供相同品牌产品（包括同一制造商生产的相同品牌产品和不同制造商生产的相同品牌产品）的不同投标人参加同一合同项下投标的，按一家投标人计算。认定后投标品牌不足3个的，不再进行评标，本项目流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6.4</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投标人须知前附表规定了核心产品的，不同投标人提供的核心产品品牌相同的，按前款规定处理。</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67" w:name="_Toc1918"/>
            <w:r>
              <w:rPr>
                <w:rFonts w:hint="eastAsia" w:asciiTheme="minorEastAsia" w:hAnsiTheme="minorEastAsia" w:eastAsiaTheme="minorEastAsia" w:cstheme="minorEastAsia"/>
                <w:b/>
                <w:bCs/>
                <w:color w:val="auto"/>
                <w:sz w:val="24"/>
                <w:szCs w:val="24"/>
              </w:rPr>
              <w:t>7.</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评标</w:t>
            </w:r>
            <w:bookmarkEnd w:id="167"/>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评标委员会</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评标由招标人依法组建的评标委员会负责。</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评标原则</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评标活动遵循公平、公正、科学和择优的原则。</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评标委员会按照第三章“评标办法”规定的方法、评审因素、标准和程序对投标文件进行评审。第三章“评标办法”没有规定的方法、评审因素和标准，不作为评标依据。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除投标人须知前附表规定评标委员会直接确定中标人外，评标委员会应当向招标人提交推荐中标候选人名单，推荐中标候选人的人数见投标人须知前附表。</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评标完成后，评标委员会应当向招标人提交书面评标报告。</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68" w:name="_Toc29555"/>
            <w:r>
              <w:rPr>
                <w:rFonts w:hint="eastAsia" w:asciiTheme="minorEastAsia" w:hAnsiTheme="minorEastAsia" w:eastAsiaTheme="minorEastAsia" w:cstheme="minorEastAsia"/>
                <w:b/>
                <w:bCs/>
                <w:color w:val="auto"/>
                <w:sz w:val="24"/>
                <w:szCs w:val="24"/>
              </w:rPr>
              <w:t>8.</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合同授予</w:t>
            </w:r>
            <w:bookmarkEnd w:id="168"/>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8.1</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定标</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由招标人或招标人委托评标委员会依法确定中标人。</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8.2</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中标结果公告及中标通知</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章第3.3款规定的投标有效期内，招标人确认中标人后，招标代理机构通过发布招标公告的同一媒介对中标结果进行公告，公告期限为1个工作日。中标结果公告的同时，招标人或招标代理机构将向中标人发出中标通知书</w:t>
            </w:r>
            <w:bookmarkStart w:id="169" w:name="_Toc5668"/>
            <w:bookmarkStart w:id="170" w:name="_Toc352691506"/>
            <w:bookmarkStart w:id="171" w:name="_Toc361508619"/>
            <w:bookmarkStart w:id="172" w:name="_Toc369531550"/>
            <w:bookmarkStart w:id="173" w:name="_Toc300834983"/>
            <w:bookmarkStart w:id="174" w:name="_Toc384308244"/>
            <w:r>
              <w:rPr>
                <w:rFonts w:hint="eastAsia" w:asciiTheme="minorEastAsia" w:hAnsiTheme="minorEastAsia" w:eastAsiaTheme="minorEastAsia" w:cstheme="minorEastAsia"/>
                <w:color w:val="auto"/>
                <w:sz w:val="24"/>
                <w:szCs w:val="24"/>
              </w:rPr>
              <w:t>，同时将中</w:t>
            </w:r>
            <w:bookmarkEnd w:id="169"/>
            <w:bookmarkEnd w:id="170"/>
            <w:bookmarkEnd w:id="171"/>
            <w:bookmarkEnd w:id="172"/>
            <w:bookmarkEnd w:id="173"/>
            <w:bookmarkEnd w:id="174"/>
            <w:r>
              <w:rPr>
                <w:rFonts w:hint="eastAsia" w:asciiTheme="minorEastAsia" w:hAnsiTheme="minorEastAsia" w:eastAsiaTheme="minorEastAsia" w:cstheme="minorEastAsia"/>
                <w:color w:val="auto"/>
                <w:sz w:val="24"/>
                <w:szCs w:val="24"/>
              </w:rPr>
              <w:t>标结果通知未中标的投标人。</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8.3</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履约保证金</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应按投标人须知前附表规定的形式、金额、提交时间和招标文件第四章“合同格式”规定的或者事先经过招标人书面认可的履约保证金格式向招标人提交履约保证金。除投标人须知前附表另有规定外，履约保证金金额为中标合同金额的10%。联合体中标的，其履约保证金以联合体各方或者联合体中牵头人的名义提交。</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中标人不能按本章第8.4.1项要求提交履约保证金的，视为放弃中标，其投标保证金不予退还，给招标人造成的损失超过投标保证金数额的，中标人还应当对超过部分予以赔偿。</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8.4</w:t>
            </w:r>
          </w:p>
        </w:tc>
        <w:tc>
          <w:tcPr>
            <w:tcW w:w="7402" w:type="dxa"/>
            <w:gridSpan w:val="2"/>
            <w:vAlign w:val="top"/>
          </w:tcPr>
          <w:p>
            <w:pPr>
              <w:pStyle w:val="5"/>
              <w:keepNext w:val="0"/>
              <w:keepLines w:val="0"/>
              <w:pageBreakBefore w:val="0"/>
              <w:kinsoku/>
              <w:overflowPunct/>
              <w:bidi w:val="0"/>
              <w:spacing w:before="0" w:beforeLines="0" w:beforeAutospacing="0" w:after="0" w:afterLines="0" w:afterAutospacing="0" w:line="24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签订合同</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招标人和中标人应当在</w:t>
            </w:r>
            <w:r>
              <w:rPr>
                <w:rFonts w:hint="eastAsia" w:asciiTheme="minorEastAsia" w:hAnsiTheme="minorEastAsia" w:eastAsiaTheme="minorEastAsia" w:cstheme="minorEastAsia"/>
                <w:color w:val="auto"/>
                <w:sz w:val="24"/>
              </w:rPr>
              <w:t>投标有效期内以及</w:t>
            </w:r>
            <w:r>
              <w:rPr>
                <w:rFonts w:hint="eastAsia" w:asciiTheme="minorEastAsia" w:hAnsiTheme="minorEastAsia" w:eastAsiaTheme="minorEastAsia" w:cstheme="minorEastAsia"/>
                <w:color w:val="auto"/>
                <w:sz w:val="24"/>
                <w:szCs w:val="24"/>
              </w:rPr>
              <w:t>中标通知书发出之日起</w:t>
            </w:r>
            <w:bookmarkStart w:id="175" w:name="_Toc361508622"/>
            <w:bookmarkStart w:id="176" w:name="_Toc300834986"/>
            <w:bookmarkStart w:id="177" w:name="_Toc152045564"/>
            <w:bookmarkStart w:id="178" w:name="_Toc369531553"/>
            <w:bookmarkStart w:id="179" w:name="_Toc247513988"/>
            <w:bookmarkStart w:id="180" w:name="_Toc152042340"/>
            <w:bookmarkStart w:id="181" w:name="_Toc247527589"/>
            <w:bookmarkStart w:id="182" w:name="_Toc384308247"/>
            <w:bookmarkStart w:id="183" w:name="_Toc352691509"/>
            <w:bookmarkStart w:id="184" w:name="_Toc144974532"/>
            <w:bookmarkStart w:id="185" w:name="_Toc4656"/>
            <w:r>
              <w:rPr>
                <w:rFonts w:hint="eastAsia" w:asciiTheme="minorEastAsia" w:hAnsiTheme="minorEastAsia" w:eastAsiaTheme="minorEastAsia" w:cstheme="minorEastAsia"/>
                <w:color w:val="auto"/>
                <w:sz w:val="24"/>
                <w:szCs w:val="24"/>
              </w:rPr>
              <w:t>30日内，根据招</w:t>
            </w:r>
            <w:bookmarkEnd w:id="175"/>
            <w:bookmarkEnd w:id="176"/>
            <w:bookmarkEnd w:id="177"/>
            <w:bookmarkEnd w:id="178"/>
            <w:bookmarkEnd w:id="179"/>
            <w:bookmarkEnd w:id="180"/>
            <w:bookmarkEnd w:id="181"/>
            <w:bookmarkEnd w:id="182"/>
            <w:bookmarkEnd w:id="183"/>
            <w:bookmarkEnd w:id="184"/>
            <w:bookmarkEnd w:id="185"/>
            <w:r>
              <w:rPr>
                <w:rFonts w:hint="eastAsia" w:asciiTheme="minorEastAsia" w:hAnsiTheme="minorEastAsia" w:eastAsiaTheme="minorEastAsia" w:cstheme="minorEastAsia"/>
                <w:color w:val="auto"/>
                <w:sz w:val="24"/>
                <w:szCs w:val="24"/>
              </w:rPr>
              <w:t>标文件和中标人的投标文件订立书面合同。中标人无正</w:t>
            </w:r>
            <w:bookmarkStart w:id="186" w:name="_Toc144974533"/>
            <w:bookmarkStart w:id="187" w:name="_Toc384308248"/>
            <w:bookmarkStart w:id="188" w:name="_Toc369531554"/>
            <w:bookmarkStart w:id="189" w:name="_Toc247527590"/>
            <w:bookmarkStart w:id="190" w:name="_Toc18247"/>
            <w:bookmarkStart w:id="191" w:name="_Toc152045565"/>
            <w:bookmarkStart w:id="192" w:name="_Toc247513989"/>
            <w:bookmarkStart w:id="193" w:name="_Toc361508623"/>
            <w:bookmarkStart w:id="194" w:name="_Toc152042341"/>
            <w:bookmarkStart w:id="195" w:name="_Toc300834987"/>
            <w:bookmarkStart w:id="196" w:name="_Toc352691510"/>
            <w:r>
              <w:rPr>
                <w:rFonts w:hint="eastAsia" w:asciiTheme="minorEastAsia" w:hAnsiTheme="minorEastAsia" w:eastAsiaTheme="minorEastAsia" w:cstheme="minorEastAsia"/>
                <w:color w:val="auto"/>
                <w:sz w:val="24"/>
                <w:szCs w:val="24"/>
              </w:rPr>
              <w:t>当理由拒签合</w:t>
            </w:r>
            <w:bookmarkEnd w:id="186"/>
            <w:bookmarkEnd w:id="187"/>
            <w:bookmarkEnd w:id="188"/>
            <w:bookmarkEnd w:id="189"/>
            <w:bookmarkEnd w:id="190"/>
            <w:bookmarkEnd w:id="191"/>
            <w:bookmarkEnd w:id="192"/>
            <w:bookmarkEnd w:id="193"/>
            <w:bookmarkEnd w:id="194"/>
            <w:bookmarkEnd w:id="195"/>
            <w:bookmarkEnd w:id="196"/>
            <w:r>
              <w:rPr>
                <w:rFonts w:hint="eastAsia" w:asciiTheme="minorEastAsia" w:hAnsiTheme="minorEastAsia" w:eastAsiaTheme="minorEastAsia" w:cstheme="minorEastAsia"/>
                <w:color w:val="auto"/>
                <w:sz w:val="24"/>
                <w:szCs w:val="24"/>
              </w:rPr>
              <w:t>同，或者提出其他附加条件的，招标人有权取消其中标资格，其投标保证金不予退还；给招标人造成的损失超过投标保证金数额的，中标人还应当对超过部分予以赔偿。</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发出中标通知书后，招标人无正当理由拒签合同的，或者提出其他附加条件的，招标人向中标人退还投标保证金；给中标人造成损失的，还应当赔偿损失。</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联合体中标的，联合体各方应当共同与招标人签订合同，就中标项目向招标人承担连带责任。</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97" w:name="_Toc30871"/>
            <w:r>
              <w:rPr>
                <w:rFonts w:hint="eastAsia" w:asciiTheme="minorEastAsia" w:hAnsiTheme="minorEastAsia" w:eastAsiaTheme="minorEastAsia" w:cstheme="minorEastAsia"/>
                <w:b/>
                <w:bCs/>
                <w:color w:val="auto"/>
                <w:sz w:val="24"/>
                <w:szCs w:val="24"/>
              </w:rPr>
              <w:t>9.</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质疑</w:t>
            </w:r>
            <w:bookmarkEnd w:id="197"/>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本次政府采购活动的供应商认为招标文件、招标过程和中标结果使自己的权益受到损害的，可以在知道或者应当知道其权益受到损害之日起7个工作日内，以书面纸质原件形式向投标人须知前附表中载明的联系单位、联系人、联系电话和联系地址，一次性提出针对同一采购环节的质疑。</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质疑函内容应当包括以下主要内容：</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9.2.1</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供应商的姓名或者名称、地址、邮编、联系人及联系电话；</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9.2.2</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质疑项目的名称、编号；</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具体、明确的质疑事项和与质疑事项相关的请求；</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9.2.</w:t>
            </w:r>
            <w:r>
              <w:rPr>
                <w:rFonts w:hint="eastAsia" w:asciiTheme="minorEastAsia" w:hAnsiTheme="minorEastAsia" w:eastAsiaTheme="minorEastAsia" w:cstheme="minorEastAsia"/>
                <w:color w:val="auto"/>
                <w:sz w:val="24"/>
                <w:szCs w:val="24"/>
                <w:lang w:val="en-US" w:eastAsia="zh-CN"/>
              </w:rPr>
              <w:t>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事实依据；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9.2.</w:t>
            </w:r>
            <w:r>
              <w:rPr>
                <w:rFonts w:hint="eastAsia" w:asciiTheme="minorEastAsia" w:hAnsiTheme="minorEastAsia" w:eastAsiaTheme="minorEastAsia" w:cstheme="minorEastAsia"/>
                <w:color w:val="auto"/>
                <w:sz w:val="24"/>
                <w:szCs w:val="24"/>
                <w:lang w:val="en-US" w:eastAsia="zh-CN"/>
              </w:rPr>
              <w:t>5</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必要的法律依据；</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9.2.</w:t>
            </w:r>
            <w:r>
              <w:rPr>
                <w:rFonts w:hint="eastAsia" w:asciiTheme="minorEastAsia" w:hAnsiTheme="minorEastAsia" w:eastAsiaTheme="minorEastAsia" w:cstheme="minorEastAsia"/>
                <w:color w:val="auto"/>
                <w:sz w:val="24"/>
                <w:szCs w:val="24"/>
                <w:lang w:val="en-US" w:eastAsia="zh-CN"/>
              </w:rPr>
              <w:t>6</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提出质疑的日期。</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函应当署名，一式叁份。由法定代表人或者授权代表签字并加盖公章后生效；其他组织或者自然人提出质疑的，质疑函必须由其主要负责人或者质疑提起人本人签字，并附有效身份证明复印件。代理人办理质疑事务时，还应当提交授权委托书，授权委托书应当载明代理人的姓名或者名称、代理事项、具体权限、期限和相关事项。否则招标人或者招标代理机构不予受理。</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9.4</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书面纸质原件形式外的其他任何方式的质疑，或者质疑函的内容不全的，招标人或者招标代理机构均不予接受和回复。</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9.5</w:t>
            </w: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招标人或者招标代理机构在收到质疑函后7个工作日内作出书面答复，并以书面形式通知质疑供应商和其他有关供应商，但答复内容涉及商业秘密的除外。</w:t>
            </w:r>
          </w:p>
        </w:tc>
      </w:tr>
      <w:tr>
        <w:tblPrEx>
          <w:tblCellMar>
            <w:top w:w="0" w:type="dxa"/>
            <w:left w:w="108" w:type="dxa"/>
            <w:bottom w:w="0" w:type="dxa"/>
            <w:right w:w="108" w:type="dxa"/>
          </w:tblCellMar>
        </w:tblPrEx>
        <w:tc>
          <w:tcPr>
            <w:tcW w:w="8460" w:type="dxa"/>
            <w:gridSpan w:val="3"/>
            <w:vAlign w:val="top"/>
          </w:tcPr>
          <w:p>
            <w:pPr>
              <w:spacing w:line="240" w:lineRule="auto"/>
              <w:outlineLvl w:val="1"/>
              <w:rPr>
                <w:rFonts w:hint="eastAsia" w:asciiTheme="minorEastAsia" w:hAnsiTheme="minorEastAsia" w:eastAsiaTheme="minorEastAsia" w:cstheme="minorEastAsia"/>
                <w:b/>
                <w:bCs/>
                <w:color w:val="auto"/>
                <w:sz w:val="24"/>
                <w:szCs w:val="24"/>
              </w:rPr>
            </w:pPr>
            <w:bookmarkStart w:id="198" w:name="_Toc29077"/>
            <w:r>
              <w:rPr>
                <w:rFonts w:hint="eastAsia" w:asciiTheme="minorEastAsia" w:hAnsiTheme="minorEastAsia" w:eastAsiaTheme="minorEastAsia" w:cstheme="minorEastAsia"/>
                <w:b/>
                <w:bCs/>
                <w:color w:val="auto"/>
                <w:sz w:val="24"/>
                <w:szCs w:val="24"/>
              </w:rPr>
              <w:t>10.</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需要补充的其他内容</w:t>
            </w:r>
            <w:bookmarkEnd w:id="198"/>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w:t>
            </w:r>
          </w:p>
        </w:tc>
        <w:tc>
          <w:tcPr>
            <w:tcW w:w="7402" w:type="dxa"/>
            <w:gridSpan w:val="2"/>
            <w:vAlign w:val="top"/>
          </w:tcPr>
          <w:p>
            <w:pPr>
              <w:keepNext w:val="0"/>
              <w:keepLines w:val="0"/>
              <w:pageBreakBefore w:val="0"/>
              <w:kinsoku/>
              <w:overflowPunct/>
              <w:bidi w:val="0"/>
              <w:spacing w:beforeAutospacing="0" w:afterAutospacing="0" w:line="240" w:lineRule="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争议的解决</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p>
        </w:tc>
        <w:tc>
          <w:tcPr>
            <w:tcW w:w="7402" w:type="dxa"/>
            <w:gridSpan w:val="2"/>
            <w:vAlign w:val="top"/>
          </w:tcPr>
          <w:p>
            <w:pPr>
              <w:keepNext w:val="0"/>
              <w:keepLines w:val="0"/>
              <w:pageBreakBefore w:val="0"/>
              <w:kinsoku/>
              <w:overflowPunct/>
              <w:bidi w:val="0"/>
              <w:spacing w:beforeAutospacing="0" w:afterAutospacing="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在招投标过程中发生的争议，招投标各方当事人应及时沟通、协商解决。</w:t>
            </w:r>
          </w:p>
        </w:tc>
      </w:tr>
      <w:tr>
        <w:tblPrEx>
          <w:tblCellMar>
            <w:top w:w="0" w:type="dxa"/>
            <w:left w:w="108" w:type="dxa"/>
            <w:bottom w:w="0" w:type="dxa"/>
            <w:right w:w="108" w:type="dxa"/>
          </w:tblCellMar>
        </w:tblPrEx>
        <w:tc>
          <w:tcPr>
            <w:tcW w:w="1058" w:type="dxa"/>
            <w:vAlign w:val="top"/>
          </w:tcPr>
          <w:p>
            <w:p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10.2 </w:t>
            </w:r>
          </w:p>
        </w:tc>
        <w:tc>
          <w:tcPr>
            <w:tcW w:w="7402" w:type="dxa"/>
            <w:gridSpan w:val="2"/>
            <w:vAlign w:val="top"/>
          </w:tcPr>
          <w:p>
            <w:pPr>
              <w:keepNext w:val="0"/>
              <w:keepLines w:val="0"/>
              <w:pageBreakBefore w:val="0"/>
              <w:kinsoku/>
              <w:overflowPunct/>
              <w:bidi w:val="0"/>
              <w:spacing w:beforeAutospacing="0" w:afterAutospacing="0" w:line="240" w:lineRule="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其他补充内容见投标人须知前附表。</w:t>
            </w:r>
          </w:p>
        </w:tc>
      </w:tr>
      <w:bookmarkEnd w:id="151"/>
      <w:bookmarkEnd w:id="152"/>
    </w:tbl>
    <w:p>
      <w:pPr>
        <w:keepNext w:val="0"/>
        <w:keepLines w:val="0"/>
        <w:pageBreakBefore w:val="0"/>
        <w:kinsoku/>
        <w:overflowPunct/>
        <w:bidi w:val="0"/>
        <w:spacing w:beforeAutospacing="0" w:afterAutospacing="0" w:line="360" w:lineRule="auto"/>
        <w:ind w:firstLine="480" w:firstLineChars="200"/>
        <w:outlineLvl w:val="2"/>
        <w:rPr>
          <w:rFonts w:hint="eastAsia" w:asciiTheme="minorEastAsia" w:hAnsiTheme="minorEastAsia" w:eastAsiaTheme="minorEastAsia" w:cstheme="minorEastAsia"/>
          <w:color w:val="auto"/>
          <w:sz w:val="24"/>
          <w:szCs w:val="24"/>
        </w:rPr>
      </w:pPr>
    </w:p>
    <w:p>
      <w:pPr>
        <w:spacing w:line="400" w:lineRule="exact"/>
        <w:ind w:firstLine="480" w:firstLineChars="200"/>
        <w:rPr>
          <w:rFonts w:ascii="宋体" w:hAnsi="宋体"/>
          <w:color w:val="auto"/>
          <w:sz w:val="24"/>
          <w:szCs w:val="24"/>
          <w:highlight w:val="none"/>
        </w:rPr>
      </w:pPr>
      <w:r>
        <w:rPr>
          <w:rFonts w:hint="eastAsia" w:asciiTheme="minorEastAsia" w:hAnsiTheme="minorEastAsia" w:eastAsiaTheme="minorEastAsia" w:cstheme="minorEastAsia"/>
          <w:snapToGrid w:val="0"/>
          <w:color w:val="auto"/>
          <w:kern w:val="0"/>
          <w:sz w:val="24"/>
          <w:szCs w:val="21"/>
        </w:rPr>
        <w:br w:type="page"/>
      </w:r>
      <w:bookmarkEnd w:id="81"/>
      <w:r>
        <w:rPr>
          <w:rFonts w:ascii="宋体" w:hAnsi="宋体"/>
          <w:color w:val="auto"/>
          <w:sz w:val="24"/>
          <w:szCs w:val="24"/>
          <w:highlight w:val="none"/>
        </w:rPr>
        <w:t>附件：</w:t>
      </w:r>
    </w:p>
    <w:p>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《投标保证金提交与退还操作须知》</w:t>
      </w:r>
    </w:p>
    <w:p>
      <w:pPr>
        <w:spacing w:after="156" w:line="360"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为使投标保证金能及时提交和</w:t>
      </w:r>
      <w:r>
        <w:rPr>
          <w:rFonts w:hint="eastAsia" w:ascii="宋体" w:hAnsi="宋体"/>
          <w:snapToGrid w:val="0"/>
          <w:color w:val="auto"/>
          <w:kern w:val="0"/>
          <w:sz w:val="24"/>
          <w:szCs w:val="24"/>
          <w:highlight w:val="none"/>
        </w:rPr>
        <w:t>得到</w:t>
      </w:r>
      <w:r>
        <w:rPr>
          <w:rFonts w:ascii="宋体" w:hAnsi="宋体"/>
          <w:snapToGrid w:val="0"/>
          <w:color w:val="auto"/>
          <w:kern w:val="0"/>
          <w:sz w:val="24"/>
          <w:szCs w:val="24"/>
          <w:highlight w:val="none"/>
        </w:rPr>
        <w:t>退还，</w:t>
      </w:r>
      <w:r>
        <w:rPr>
          <w:rFonts w:hint="eastAsia" w:ascii="宋体" w:hAnsi="宋体"/>
          <w:snapToGrid w:val="0"/>
          <w:color w:val="auto"/>
          <w:kern w:val="0"/>
          <w:sz w:val="24"/>
          <w:szCs w:val="24"/>
          <w:highlight w:val="none"/>
        </w:rPr>
        <w:t>上海机电设备招标有限公司（以下简称“招标代理机构”）</w:t>
      </w:r>
      <w:r>
        <w:rPr>
          <w:rFonts w:ascii="宋体" w:hAnsi="宋体"/>
          <w:snapToGrid w:val="0"/>
          <w:color w:val="auto"/>
          <w:kern w:val="0"/>
          <w:sz w:val="24"/>
          <w:szCs w:val="24"/>
          <w:highlight w:val="none"/>
        </w:rPr>
        <w:t>特制定本操作须知。</w:t>
      </w:r>
    </w:p>
    <w:p>
      <w:pPr>
        <w:spacing w:line="360" w:lineRule="auto"/>
        <w:ind w:firstLine="480" w:firstLineChars="200"/>
        <w:rPr>
          <w:rFonts w:ascii="宋体" w:hAnsi="宋体"/>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一</w:t>
      </w:r>
      <w:r>
        <w:rPr>
          <w:rFonts w:ascii="宋体" w:hAnsi="宋体"/>
          <w:b/>
          <w:bCs/>
          <w:snapToGrid w:val="0"/>
          <w:color w:val="auto"/>
          <w:kern w:val="0"/>
          <w:sz w:val="24"/>
          <w:szCs w:val="24"/>
          <w:highlight w:val="none"/>
        </w:rPr>
        <w:t>、提交投标保证金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时间</w:t>
      </w:r>
    </w:p>
    <w:p>
      <w:pPr>
        <w:spacing w:line="360"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报名成功后至投标截止时间前。</w:t>
      </w:r>
    </w:p>
    <w:p>
      <w:pPr>
        <w:spacing w:line="360" w:lineRule="auto"/>
        <w:ind w:firstLine="480" w:firstLineChars="200"/>
        <w:rPr>
          <w:rFonts w:ascii="宋体" w:hAnsi="宋体"/>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二、提交投标保证金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方式</w:t>
      </w:r>
    </w:p>
    <w:p>
      <w:pPr>
        <w:spacing w:after="156" w:line="360" w:lineRule="auto"/>
        <w:ind w:firstLine="480" w:firstLineChars="200"/>
        <w:rPr>
          <w:rFonts w:ascii="宋体" w:hAnsi="宋体"/>
          <w:bCs/>
          <w:snapToGrid w:val="0"/>
          <w:color w:val="auto"/>
          <w:kern w:val="0"/>
          <w:sz w:val="24"/>
          <w:szCs w:val="24"/>
          <w:highlight w:val="none"/>
        </w:rPr>
      </w:pPr>
      <w:bookmarkStart w:id="199" w:name="OLE_LINK40"/>
      <w:r>
        <w:rPr>
          <w:rFonts w:hint="eastAsia" w:ascii="宋体" w:hAnsi="宋体"/>
          <w:bCs/>
          <w:snapToGrid w:val="0"/>
          <w:color w:val="auto"/>
          <w:kern w:val="0"/>
          <w:sz w:val="24"/>
          <w:szCs w:val="24"/>
          <w:highlight w:val="none"/>
        </w:rPr>
        <w:t>投标人通过中招联合招标采购平台（以下简称“平台”）完成项目报名后以线上方式提交投标保证金（保证金账号为14位虚拟数字账号，仅针对本投标人本项目及本分包有效，对其他投标人、其他项目或分包无效）。</w:t>
      </w:r>
    </w:p>
    <w:p>
      <w:pPr>
        <w:numPr>
          <w:ilvl w:val="0"/>
          <w:numId w:val="10"/>
        </w:numPr>
        <w:spacing w:line="360" w:lineRule="auto"/>
        <w:ind w:left="785" w:hanging="367"/>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中国境内投标人</w:t>
      </w:r>
      <w:bookmarkEnd w:id="199"/>
      <w:r>
        <w:rPr>
          <w:rFonts w:hint="eastAsia" w:ascii="宋体" w:hAnsi="宋体"/>
          <w:bCs/>
          <w:snapToGrid w:val="0"/>
          <w:color w:val="auto"/>
          <w:kern w:val="0"/>
          <w:sz w:val="24"/>
          <w:szCs w:val="24"/>
          <w:highlight w:val="none"/>
        </w:rPr>
        <w:t>的</w:t>
      </w:r>
      <w:bookmarkStart w:id="200" w:name="OLE_LINK38"/>
      <w:r>
        <w:rPr>
          <w:rFonts w:hint="eastAsia" w:ascii="宋体" w:hAnsi="宋体"/>
          <w:bCs/>
          <w:snapToGrid w:val="0"/>
          <w:color w:val="auto"/>
          <w:kern w:val="0"/>
          <w:sz w:val="24"/>
          <w:szCs w:val="24"/>
          <w:highlight w:val="none"/>
        </w:rPr>
        <w:t>保证金以电汇、银行转账或银行保函的方式提交。</w:t>
      </w:r>
    </w:p>
    <w:bookmarkEnd w:id="200"/>
    <w:p>
      <w:pPr>
        <w:numPr>
          <w:ilvl w:val="0"/>
          <w:numId w:val="10"/>
        </w:numPr>
        <w:spacing w:line="360" w:lineRule="auto"/>
        <w:ind w:left="785" w:leftChars="199" w:hanging="367" w:hangingChars="153"/>
        <w:rPr>
          <w:rFonts w:ascii="宋体" w:hAnsi="宋体"/>
          <w:bCs/>
          <w:snapToGrid w:val="0"/>
          <w:color w:val="auto"/>
          <w:kern w:val="0"/>
          <w:sz w:val="24"/>
          <w:szCs w:val="24"/>
          <w:highlight w:val="none"/>
        </w:rPr>
      </w:pPr>
      <w:bookmarkStart w:id="201" w:name="OLE_LINK41"/>
      <w:r>
        <w:rPr>
          <w:rFonts w:hint="eastAsia" w:ascii="宋体" w:hAnsi="宋体"/>
          <w:bCs/>
          <w:snapToGrid w:val="0"/>
          <w:color w:val="auto"/>
          <w:kern w:val="0"/>
          <w:sz w:val="24"/>
          <w:szCs w:val="24"/>
          <w:highlight w:val="none"/>
        </w:rPr>
        <w:t>中国境外（含中国台湾、香港和澳门地区）投标人</w:t>
      </w:r>
      <w:bookmarkEnd w:id="201"/>
      <w:r>
        <w:rPr>
          <w:rFonts w:hint="eastAsia" w:ascii="宋体" w:hAnsi="宋体"/>
          <w:bCs/>
          <w:snapToGrid w:val="0"/>
          <w:color w:val="auto"/>
          <w:kern w:val="0"/>
          <w:sz w:val="24"/>
          <w:szCs w:val="24"/>
          <w:highlight w:val="none"/>
        </w:rPr>
        <w:t>的保证金一般采用</w:t>
      </w:r>
      <w:r>
        <w:rPr>
          <w:rFonts w:ascii="宋体" w:hAnsi="宋体"/>
          <w:bCs/>
          <w:snapToGrid w:val="0"/>
          <w:color w:val="auto"/>
          <w:kern w:val="0"/>
          <w:sz w:val="24"/>
          <w:szCs w:val="24"/>
          <w:highlight w:val="none"/>
        </w:rPr>
        <w:t>银行保函</w:t>
      </w:r>
      <w:r>
        <w:rPr>
          <w:rFonts w:hint="eastAsia" w:ascii="宋体" w:hAnsi="宋体"/>
          <w:bCs/>
          <w:snapToGrid w:val="0"/>
          <w:color w:val="auto"/>
          <w:kern w:val="0"/>
          <w:sz w:val="24"/>
          <w:szCs w:val="24"/>
          <w:highlight w:val="none"/>
        </w:rPr>
        <w:t>的</w:t>
      </w:r>
      <w:r>
        <w:rPr>
          <w:rFonts w:ascii="宋体" w:hAnsi="宋体"/>
          <w:bCs/>
          <w:snapToGrid w:val="0"/>
          <w:color w:val="auto"/>
          <w:kern w:val="0"/>
          <w:sz w:val="24"/>
          <w:szCs w:val="24"/>
          <w:highlight w:val="none"/>
        </w:rPr>
        <w:t>方式提交</w:t>
      </w:r>
      <w:r>
        <w:rPr>
          <w:rFonts w:hint="eastAsia" w:ascii="宋体" w:hAnsi="宋体"/>
          <w:bCs/>
          <w:snapToGrid w:val="0"/>
          <w:color w:val="auto"/>
          <w:kern w:val="0"/>
          <w:sz w:val="24"/>
          <w:szCs w:val="24"/>
          <w:highlight w:val="none"/>
        </w:rPr>
        <w:t>。</w:t>
      </w:r>
    </w:p>
    <w:p>
      <w:pPr>
        <w:spacing w:line="360" w:lineRule="auto"/>
        <w:ind w:left="97" w:leftChars="46"/>
        <w:rPr>
          <w:rFonts w:ascii="宋体" w:hAnsi="宋体"/>
          <w:bCs/>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三、提交投标保证金的注意事项</w:t>
      </w:r>
    </w:p>
    <w:p>
      <w:pPr>
        <w:numPr>
          <w:ilvl w:val="0"/>
          <w:numId w:val="11"/>
        </w:numPr>
        <w:spacing w:line="360" w:lineRule="auto"/>
        <w:ind w:left="798" w:leftChars="202" w:hanging="374" w:hangingChars="156"/>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应当</w:t>
      </w:r>
      <w:r>
        <w:rPr>
          <w:rFonts w:ascii="宋体" w:hAnsi="宋体"/>
          <w:snapToGrid w:val="0"/>
          <w:color w:val="auto"/>
          <w:kern w:val="0"/>
          <w:sz w:val="24"/>
          <w:szCs w:val="24"/>
          <w:highlight w:val="none"/>
        </w:rPr>
        <w:t>按照招标文件的要求足额提交投标保证金，不得提供虚假、无效的缴纳凭证。</w:t>
      </w:r>
    </w:p>
    <w:p>
      <w:pPr>
        <w:numPr>
          <w:ilvl w:val="0"/>
          <w:numId w:val="11"/>
        </w:numPr>
        <w:spacing w:line="360" w:lineRule="auto"/>
        <w:ind w:left="798" w:leftChars="202" w:hanging="374" w:hangingChars="156"/>
        <w:rPr>
          <w:rFonts w:ascii="宋体" w:hAnsi="宋体"/>
          <w:snapToGrid w:val="0"/>
          <w:color w:val="auto"/>
          <w:kern w:val="0"/>
          <w:sz w:val="24"/>
          <w:szCs w:val="24"/>
          <w:highlight w:val="none"/>
        </w:rPr>
      </w:pPr>
      <w:r>
        <w:rPr>
          <w:rFonts w:hint="eastAsia" w:ascii="宋体" w:hAnsi="宋体"/>
          <w:bCs/>
          <w:snapToGrid w:val="0"/>
          <w:color w:val="auto"/>
          <w:kern w:val="0"/>
          <w:sz w:val="24"/>
          <w:szCs w:val="24"/>
          <w:highlight w:val="none"/>
        </w:rPr>
        <w:t>当投标人投多个招标项目或一个招标项目的多个包件或标段时，每个项目、包件或标段的投标保证金应当分别提交</w:t>
      </w:r>
      <w:r>
        <w:rPr>
          <w:rFonts w:hint="eastAsia"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投标保证金的付款人</w:t>
      </w:r>
      <w:r>
        <w:rPr>
          <w:rFonts w:hint="eastAsia" w:ascii="宋体" w:hAnsi="宋体"/>
          <w:snapToGrid w:val="0"/>
          <w:color w:val="auto"/>
          <w:kern w:val="0"/>
          <w:sz w:val="24"/>
          <w:szCs w:val="24"/>
          <w:highlight w:val="none"/>
        </w:rPr>
        <w:t>应当</w:t>
      </w:r>
      <w:r>
        <w:rPr>
          <w:rFonts w:ascii="宋体" w:hAnsi="宋体"/>
          <w:snapToGrid w:val="0"/>
          <w:color w:val="auto"/>
          <w:kern w:val="0"/>
          <w:sz w:val="24"/>
          <w:szCs w:val="24"/>
          <w:highlight w:val="none"/>
        </w:rPr>
        <w:t>与投标人名称一致，不得委托分支机构代为提交</w:t>
      </w:r>
      <w:r>
        <w:rPr>
          <w:rFonts w:hint="eastAsia"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ascii="宋体" w:hAnsi="宋体"/>
          <w:bCs/>
          <w:snapToGrid w:val="0"/>
          <w:color w:val="auto"/>
          <w:kern w:val="0"/>
          <w:sz w:val="24"/>
          <w:szCs w:val="24"/>
          <w:highlight w:val="none"/>
        </w:rPr>
      </w:pPr>
      <w:r>
        <w:rPr>
          <w:rFonts w:ascii="宋体" w:hAnsi="宋体"/>
          <w:bCs/>
          <w:snapToGrid w:val="0"/>
          <w:color w:val="auto"/>
          <w:kern w:val="0"/>
          <w:sz w:val="24"/>
          <w:szCs w:val="24"/>
          <w:highlight w:val="none"/>
        </w:rPr>
        <w:t>银行保函的申请人必须是投标人，</w:t>
      </w:r>
      <w:r>
        <w:rPr>
          <w:rFonts w:hint="eastAsia" w:ascii="宋体" w:hAnsi="宋体"/>
          <w:bCs/>
          <w:snapToGrid w:val="0"/>
          <w:color w:val="auto"/>
          <w:kern w:val="0"/>
          <w:sz w:val="24"/>
          <w:szCs w:val="24"/>
          <w:highlight w:val="none"/>
        </w:rPr>
        <w:t>中国境内投标人的</w:t>
      </w:r>
      <w:r>
        <w:rPr>
          <w:rFonts w:ascii="宋体" w:hAnsi="宋体"/>
          <w:bCs/>
          <w:snapToGrid w:val="0"/>
          <w:color w:val="auto"/>
          <w:kern w:val="0"/>
          <w:sz w:val="24"/>
          <w:szCs w:val="24"/>
          <w:highlight w:val="none"/>
        </w:rPr>
        <w:t>保证人必须是投标人的开户银行</w:t>
      </w:r>
      <w:r>
        <w:rPr>
          <w:rFonts w:hint="eastAsia" w:ascii="宋体" w:hAnsi="宋体"/>
          <w:bCs/>
          <w:snapToGrid w:val="0"/>
          <w:color w:val="auto"/>
          <w:kern w:val="0"/>
          <w:sz w:val="24"/>
          <w:szCs w:val="24"/>
          <w:highlight w:val="none"/>
        </w:rPr>
        <w:t>；中国境外投标人可通过一家在中国境内或境外信誉好的银行直接开具投标保证金银行保函</w:t>
      </w:r>
      <w:r>
        <w:rPr>
          <w:rFonts w:ascii="宋体" w:hAnsi="宋体"/>
          <w:bCs/>
          <w:snapToGrid w:val="0"/>
          <w:color w:val="auto"/>
          <w:kern w:val="0"/>
          <w:sz w:val="24"/>
          <w:szCs w:val="24"/>
          <w:highlight w:val="none"/>
        </w:rPr>
        <w:t>。</w:t>
      </w:r>
    </w:p>
    <w:p>
      <w:pPr>
        <w:numPr>
          <w:ilvl w:val="0"/>
          <w:numId w:val="11"/>
        </w:numPr>
        <w:spacing w:line="360" w:lineRule="auto"/>
        <w:ind w:left="798" w:leftChars="202" w:hanging="374" w:hangingChars="156"/>
        <w:rPr>
          <w:rFonts w:ascii="宋体" w:hAnsi="宋体"/>
          <w:snapToGrid w:val="0"/>
          <w:color w:val="auto"/>
          <w:kern w:val="0"/>
          <w:sz w:val="24"/>
          <w:szCs w:val="24"/>
          <w:highlight w:val="none"/>
        </w:rPr>
      </w:pPr>
      <w:r>
        <w:rPr>
          <w:rFonts w:ascii="宋体" w:hAnsi="宋体"/>
          <w:snapToGrid w:val="0"/>
          <w:color w:val="auto"/>
          <w:kern w:val="0"/>
          <w:sz w:val="24"/>
          <w:szCs w:val="24"/>
          <w:highlight w:val="none"/>
        </w:rPr>
        <w:t>银行保函采用</w:t>
      </w:r>
      <w:r>
        <w:rPr>
          <w:rFonts w:hint="eastAsia" w:ascii="宋体" w:hAnsi="宋体"/>
          <w:snapToGrid w:val="0"/>
          <w:color w:val="auto"/>
          <w:kern w:val="0"/>
          <w:sz w:val="24"/>
          <w:szCs w:val="24"/>
          <w:highlight w:val="none"/>
        </w:rPr>
        <w:t>招标文件提供的格式，或采用事先为招标代理机构接受的其他格式</w:t>
      </w:r>
      <w:r>
        <w:rPr>
          <w:rFonts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ascii="宋体" w:hAnsi="宋体"/>
          <w:b/>
          <w:bCs/>
          <w:snapToGrid w:val="0"/>
          <w:color w:val="auto"/>
          <w:kern w:val="0"/>
          <w:sz w:val="24"/>
          <w:szCs w:val="24"/>
          <w:highlight w:val="none"/>
        </w:rPr>
      </w:pPr>
      <w:r>
        <w:rPr>
          <w:rFonts w:hint="eastAsia" w:ascii="宋体" w:hAnsi="宋体"/>
          <w:bCs/>
          <w:snapToGrid w:val="0"/>
          <w:color w:val="auto"/>
          <w:kern w:val="0"/>
          <w:sz w:val="24"/>
          <w:szCs w:val="24"/>
          <w:highlight w:val="none"/>
        </w:rPr>
        <w:t>当投标人为两家或两家以上单位组成的联合体时（招标文件中明确接受联合体投标的），</w:t>
      </w:r>
      <w:r>
        <w:rPr>
          <w:rFonts w:hint="eastAsia" w:ascii="宋体" w:hAnsi="宋体"/>
          <w:color w:val="auto"/>
          <w:sz w:val="24"/>
          <w:szCs w:val="24"/>
          <w:highlight w:val="none"/>
        </w:rPr>
        <w:t>应由联合体的一方或多方共同提交投标保证金，且所提交的投标保证金应对联合体的所有成员均具有约束力。</w:t>
      </w:r>
    </w:p>
    <w:p>
      <w:pPr>
        <w:spacing w:line="360" w:lineRule="auto"/>
        <w:ind w:left="97" w:leftChars="46"/>
        <w:rPr>
          <w:rFonts w:ascii="宋体" w:hAnsi="宋体"/>
          <w:b/>
          <w:bCs/>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四</w:t>
      </w:r>
      <w:r>
        <w:rPr>
          <w:rFonts w:ascii="宋体" w:hAnsi="宋体"/>
          <w:b/>
          <w:bCs/>
          <w:snapToGrid w:val="0"/>
          <w:color w:val="auto"/>
          <w:kern w:val="0"/>
          <w:sz w:val="24"/>
          <w:szCs w:val="24"/>
          <w:highlight w:val="none"/>
        </w:rPr>
        <w:t>、提交投标保证金程序</w:t>
      </w:r>
    </w:p>
    <w:p>
      <w:pPr>
        <w:spacing w:line="360" w:lineRule="auto"/>
        <w:ind w:firstLine="480" w:firstLineChars="200"/>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一</w:t>
      </w:r>
      <w:r>
        <w:rPr>
          <w:rFonts w:hint="eastAsia" w:ascii="宋体" w:hAnsi="宋体"/>
          <w:snapToGrid w:val="0"/>
          <w:color w:val="auto"/>
          <w:kern w:val="0"/>
          <w:sz w:val="24"/>
          <w:szCs w:val="24"/>
          <w:highlight w:val="none"/>
        </w:rPr>
        <w:t>）</w:t>
      </w:r>
      <w:bookmarkStart w:id="202" w:name="OLE_LINK8"/>
      <w:bookmarkStart w:id="203" w:name="OLE_LINK26"/>
      <w:bookmarkStart w:id="204" w:name="OLE_LINK9"/>
      <w:r>
        <w:rPr>
          <w:rFonts w:ascii="宋体" w:hAnsi="宋体"/>
          <w:snapToGrid w:val="0"/>
          <w:color w:val="auto"/>
          <w:kern w:val="0"/>
          <w:sz w:val="24"/>
          <w:szCs w:val="24"/>
          <w:highlight w:val="none"/>
        </w:rPr>
        <w:t>采用</w:t>
      </w:r>
      <w:bookmarkStart w:id="205" w:name="OLE_LINK47"/>
      <w:r>
        <w:rPr>
          <w:rFonts w:ascii="宋体" w:hAnsi="宋体"/>
          <w:snapToGrid w:val="0"/>
          <w:color w:val="auto"/>
          <w:kern w:val="0"/>
          <w:sz w:val="24"/>
          <w:szCs w:val="24"/>
          <w:highlight w:val="none"/>
        </w:rPr>
        <w:t>电汇、银行转账方式</w:t>
      </w:r>
      <w:bookmarkEnd w:id="205"/>
      <w:r>
        <w:rPr>
          <w:rFonts w:ascii="宋体" w:hAnsi="宋体"/>
          <w:snapToGrid w:val="0"/>
          <w:color w:val="auto"/>
          <w:kern w:val="0"/>
          <w:sz w:val="24"/>
          <w:szCs w:val="24"/>
          <w:highlight w:val="none"/>
        </w:rPr>
        <w:t>提交</w:t>
      </w:r>
      <w:bookmarkEnd w:id="202"/>
      <w:r>
        <w:rPr>
          <w:rFonts w:ascii="宋体" w:hAnsi="宋体"/>
          <w:snapToGrid w:val="0"/>
          <w:color w:val="auto"/>
          <w:kern w:val="0"/>
          <w:sz w:val="24"/>
          <w:szCs w:val="24"/>
          <w:highlight w:val="none"/>
        </w:rPr>
        <w:t>的</w:t>
      </w:r>
      <w:bookmarkEnd w:id="203"/>
      <w:r>
        <w:rPr>
          <w:rFonts w:ascii="宋体" w:hAnsi="宋体"/>
          <w:snapToGrid w:val="0"/>
          <w:color w:val="auto"/>
          <w:kern w:val="0"/>
          <w:sz w:val="24"/>
          <w:szCs w:val="24"/>
          <w:highlight w:val="none"/>
        </w:rPr>
        <w:t>：</w:t>
      </w:r>
    </w:p>
    <w:p>
      <w:pPr>
        <w:spacing w:line="360" w:lineRule="auto"/>
        <w:ind w:firstLine="470" w:firstLineChars="196"/>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投标人在招标文件规定的投标截止时间前通过平台（我参与的项目-主控台-缴纳保证金）汇至相关虚拟保证金账户</w:t>
      </w:r>
      <w:r>
        <w:rPr>
          <w:rFonts w:ascii="宋体" w:hAnsi="宋体"/>
          <w:snapToGrid w:val="0"/>
          <w:color w:val="auto"/>
          <w:kern w:val="0"/>
          <w:sz w:val="24"/>
          <w:szCs w:val="24"/>
          <w:highlight w:val="none"/>
        </w:rPr>
        <w:t>，并在制作投标文件时附上保证金支付状态的截图（</w:t>
      </w:r>
      <w:r>
        <w:rPr>
          <w:rFonts w:hint="eastAsia" w:ascii="宋体" w:hAnsi="宋体"/>
          <w:snapToGrid w:val="0"/>
          <w:color w:val="auto"/>
          <w:kern w:val="0"/>
          <w:sz w:val="24"/>
          <w:szCs w:val="24"/>
          <w:highlight w:val="none"/>
        </w:rPr>
        <w:t>我参与的项目-主控台-缴纳保证金-交易记录</w:t>
      </w:r>
      <w:r>
        <w:rPr>
          <w:rFonts w:ascii="宋体" w:hAnsi="宋体"/>
          <w:snapToGrid w:val="0"/>
          <w:color w:val="auto"/>
          <w:kern w:val="0"/>
          <w:sz w:val="24"/>
          <w:szCs w:val="24"/>
          <w:highlight w:val="none"/>
        </w:rPr>
        <w:t>）。</w:t>
      </w:r>
    </w:p>
    <w:bookmarkEnd w:id="204"/>
    <w:p>
      <w:pPr>
        <w:spacing w:line="360" w:lineRule="auto"/>
        <w:ind w:firstLine="480" w:firstLineChars="200"/>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w:t>
      </w:r>
      <w:r>
        <w:rPr>
          <w:rFonts w:ascii="宋体" w:hAnsi="宋体"/>
          <w:snapToGrid w:val="0"/>
          <w:color w:val="auto"/>
          <w:kern w:val="0"/>
          <w:sz w:val="24"/>
          <w:szCs w:val="24"/>
          <w:highlight w:val="none"/>
        </w:rPr>
        <w:t>采用银行保函方式提交的：</w:t>
      </w:r>
    </w:p>
    <w:p>
      <w:pPr>
        <w:spacing w:line="360" w:lineRule="auto"/>
        <w:ind w:firstLine="470" w:firstLineChars="196"/>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投标人应当将银行保函正本随投标文件一起递交（若为</w:t>
      </w:r>
      <w:r>
        <w:rPr>
          <w:rFonts w:ascii="宋体" w:hAnsi="宋体"/>
          <w:snapToGrid w:val="0"/>
          <w:color w:val="auto"/>
          <w:kern w:val="0"/>
          <w:sz w:val="24"/>
          <w:szCs w:val="24"/>
          <w:highlight w:val="none"/>
        </w:rPr>
        <w:t>全流程电子标项目，</w:t>
      </w:r>
      <w:r>
        <w:rPr>
          <w:rFonts w:hint="eastAsia" w:ascii="宋体" w:hAnsi="宋体"/>
          <w:snapToGrid w:val="0"/>
          <w:color w:val="auto"/>
          <w:kern w:val="0"/>
          <w:sz w:val="24"/>
          <w:szCs w:val="24"/>
          <w:highlight w:val="none"/>
        </w:rPr>
        <w:t>银行保函应与投标文件一起上传）。</w:t>
      </w:r>
    </w:p>
    <w:p>
      <w:pPr>
        <w:spacing w:line="360" w:lineRule="auto"/>
        <w:ind w:left="567" w:leftChars="270" w:firstLine="480" w:firstLineChars="200"/>
        <w:rPr>
          <w:rFonts w:ascii="宋体" w:hAnsi="宋体"/>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五、投标保证金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利息计算和划付</w:t>
      </w:r>
    </w:p>
    <w:p>
      <w:pPr>
        <w:spacing w:line="360" w:lineRule="auto"/>
        <w:ind w:left="1230" w:leftChars="201" w:hanging="808" w:hangingChars="337"/>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一</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计息利率：</w:t>
      </w:r>
    </w:p>
    <w:p>
      <w:pPr>
        <w:spacing w:line="360" w:lineRule="auto"/>
        <w:ind w:firstLine="470" w:firstLineChars="196"/>
        <w:rPr>
          <w:rFonts w:ascii="宋体" w:hAnsi="宋体"/>
          <w:snapToGrid w:val="0"/>
          <w:color w:val="auto"/>
          <w:kern w:val="0"/>
          <w:sz w:val="24"/>
          <w:szCs w:val="24"/>
          <w:highlight w:val="none"/>
        </w:rPr>
      </w:pPr>
      <w:r>
        <w:rPr>
          <w:rFonts w:ascii="宋体" w:hAnsi="宋体"/>
          <w:bCs/>
          <w:snapToGrid w:val="0"/>
          <w:color w:val="auto"/>
          <w:kern w:val="0"/>
          <w:sz w:val="24"/>
          <w:szCs w:val="24"/>
          <w:highlight w:val="none"/>
        </w:rPr>
        <w:t>保证金入账后至退还保证金之日期间，按</w:t>
      </w:r>
      <w:r>
        <w:rPr>
          <w:rFonts w:hint="eastAsia" w:ascii="宋体" w:hAnsi="宋体"/>
          <w:bCs/>
          <w:snapToGrid w:val="0"/>
          <w:color w:val="auto"/>
          <w:kern w:val="0"/>
          <w:sz w:val="24"/>
          <w:szCs w:val="24"/>
          <w:highlight w:val="none"/>
        </w:rPr>
        <w:t>中国</w:t>
      </w:r>
      <w:r>
        <w:rPr>
          <w:rFonts w:ascii="宋体" w:hAnsi="宋体"/>
          <w:bCs/>
          <w:snapToGrid w:val="0"/>
          <w:color w:val="auto"/>
          <w:kern w:val="0"/>
          <w:sz w:val="24"/>
          <w:szCs w:val="24"/>
          <w:highlight w:val="none"/>
        </w:rPr>
        <w:t>人民银行规定的活期存款利率计息（若利率调整，将分段计算）</w:t>
      </w:r>
      <w:r>
        <w:rPr>
          <w:rFonts w:hint="eastAsia" w:ascii="宋体" w:hAnsi="宋体"/>
          <w:bCs/>
          <w:snapToGrid w:val="0"/>
          <w:color w:val="auto"/>
          <w:kern w:val="0"/>
          <w:sz w:val="24"/>
          <w:szCs w:val="24"/>
          <w:highlight w:val="none"/>
        </w:rPr>
        <w:t>；但以银行保函</w:t>
      </w:r>
      <w:r>
        <w:rPr>
          <w:rFonts w:ascii="宋体" w:hAnsi="宋体"/>
          <w:bCs/>
          <w:snapToGrid w:val="0"/>
          <w:color w:val="auto"/>
          <w:kern w:val="0"/>
          <w:sz w:val="24"/>
          <w:szCs w:val="24"/>
          <w:highlight w:val="none"/>
        </w:rPr>
        <w:t>方式提交的</w:t>
      </w:r>
      <w:r>
        <w:rPr>
          <w:rFonts w:hint="eastAsia" w:ascii="宋体" w:hAnsi="宋体"/>
          <w:bCs/>
          <w:snapToGrid w:val="0"/>
          <w:color w:val="auto"/>
          <w:kern w:val="0"/>
          <w:sz w:val="24"/>
          <w:szCs w:val="24"/>
          <w:highlight w:val="none"/>
        </w:rPr>
        <w:t>投标保证金将不计利息</w:t>
      </w:r>
      <w:r>
        <w:rPr>
          <w:rFonts w:ascii="宋体" w:hAnsi="宋体"/>
          <w:snapToGrid w:val="0"/>
          <w:color w:val="auto"/>
          <w:kern w:val="0"/>
          <w:sz w:val="24"/>
          <w:szCs w:val="24"/>
          <w:highlight w:val="none"/>
        </w:rPr>
        <w:t>。</w:t>
      </w:r>
    </w:p>
    <w:p>
      <w:pPr>
        <w:spacing w:line="360" w:lineRule="auto"/>
        <w:ind w:left="1230" w:leftChars="201" w:hanging="808" w:hangingChars="337"/>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二</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划付方式：</w:t>
      </w:r>
    </w:p>
    <w:p>
      <w:pPr>
        <w:spacing w:line="360" w:lineRule="auto"/>
        <w:ind w:firstLine="470" w:firstLineChars="196"/>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按投标保证金存放期间计算利息，退</w:t>
      </w:r>
      <w:r>
        <w:rPr>
          <w:rFonts w:hint="eastAsia" w:ascii="宋体" w:hAnsi="宋体"/>
          <w:snapToGrid w:val="0"/>
          <w:color w:val="auto"/>
          <w:kern w:val="0"/>
          <w:sz w:val="24"/>
          <w:szCs w:val="24"/>
          <w:highlight w:val="none"/>
        </w:rPr>
        <w:t>还</w:t>
      </w:r>
      <w:r>
        <w:rPr>
          <w:rFonts w:ascii="宋体" w:hAnsi="宋体"/>
          <w:snapToGrid w:val="0"/>
          <w:color w:val="auto"/>
          <w:kern w:val="0"/>
          <w:sz w:val="24"/>
          <w:szCs w:val="24"/>
          <w:highlight w:val="none"/>
        </w:rPr>
        <w:t>投标保证金同时将利息划付至投标保证金的付款人账户。</w:t>
      </w:r>
    </w:p>
    <w:p>
      <w:pPr>
        <w:spacing w:line="360" w:lineRule="auto"/>
        <w:ind w:left="567" w:leftChars="270" w:firstLine="648" w:firstLineChars="270"/>
        <w:rPr>
          <w:rFonts w:ascii="宋体" w:hAnsi="宋体"/>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六、</w:t>
      </w:r>
      <w:r>
        <w:rPr>
          <w:rFonts w:ascii="宋体" w:hAnsi="宋体"/>
          <w:b/>
          <w:bCs/>
          <w:snapToGrid w:val="0"/>
          <w:color w:val="auto"/>
          <w:kern w:val="0"/>
          <w:sz w:val="24"/>
          <w:szCs w:val="24"/>
          <w:highlight w:val="none"/>
        </w:rPr>
        <w:t>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退还</w:t>
      </w:r>
    </w:p>
    <w:p>
      <w:pPr>
        <w:spacing w:line="360" w:lineRule="auto"/>
        <w:ind w:firstLine="470" w:firstLineChars="196"/>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投标保证金最迟在招标人与中标人签订书面合同后的5日内退还</w:t>
      </w:r>
      <w:r>
        <w:rPr>
          <w:rFonts w:hint="eastAsia" w:ascii="宋体" w:hAnsi="宋体"/>
          <w:snapToGrid w:val="0"/>
          <w:color w:val="auto"/>
          <w:kern w:val="0"/>
          <w:sz w:val="24"/>
          <w:szCs w:val="24"/>
          <w:highlight w:val="none"/>
        </w:rPr>
        <w:t>。</w:t>
      </w:r>
      <w:r>
        <w:rPr>
          <w:rFonts w:hint="eastAsia" w:ascii="宋体" w:hAnsi="宋体"/>
          <w:bCs/>
          <w:snapToGrid w:val="0"/>
          <w:color w:val="auto"/>
          <w:kern w:val="0"/>
          <w:sz w:val="24"/>
          <w:szCs w:val="24"/>
          <w:highlight w:val="none"/>
        </w:rPr>
        <w:t>在未发生招标文件规定的不予退还投标保证金的情况时，招标代理机构按以下程序和方式办理投标保证金退还手续。</w:t>
      </w:r>
    </w:p>
    <w:p>
      <w:pPr>
        <w:spacing w:line="360" w:lineRule="auto"/>
        <w:ind w:firstLine="480" w:firstLineChars="200"/>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w:t>
      </w:r>
      <w:r>
        <w:rPr>
          <w:rFonts w:ascii="宋体" w:hAnsi="宋体"/>
          <w:snapToGrid w:val="0"/>
          <w:color w:val="auto"/>
          <w:kern w:val="0"/>
          <w:sz w:val="24"/>
          <w:szCs w:val="24"/>
          <w:highlight w:val="none"/>
        </w:rPr>
        <w:t>未中标</w:t>
      </w:r>
      <w:r>
        <w:rPr>
          <w:rFonts w:hint="eastAsia" w:ascii="宋体" w:hAnsi="宋体"/>
          <w:snapToGrid w:val="0"/>
          <w:color w:val="auto"/>
          <w:kern w:val="0"/>
          <w:sz w:val="24"/>
          <w:szCs w:val="24"/>
          <w:highlight w:val="none"/>
        </w:rPr>
        <w:t>人</w:t>
      </w:r>
    </w:p>
    <w:p>
      <w:pPr>
        <w:spacing w:line="360" w:lineRule="auto"/>
        <w:ind w:firstLine="480" w:firstLineChars="200"/>
        <w:outlineLvl w:val="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bookmarkStart w:id="206" w:name="OLE_LINK44"/>
      <w:r>
        <w:rPr>
          <w:rFonts w:ascii="宋体" w:hAnsi="宋体"/>
          <w:snapToGrid w:val="0"/>
          <w:color w:val="auto"/>
          <w:kern w:val="0"/>
          <w:sz w:val="24"/>
          <w:szCs w:val="24"/>
          <w:highlight w:val="none"/>
        </w:rPr>
        <w:t>采用电汇</w:t>
      </w:r>
      <w:bookmarkStart w:id="207" w:name="OLE_LINK31"/>
      <w:r>
        <w:rPr>
          <w:rFonts w:ascii="宋体" w:hAnsi="宋体"/>
          <w:snapToGrid w:val="0"/>
          <w:color w:val="auto"/>
          <w:kern w:val="0"/>
          <w:sz w:val="24"/>
          <w:szCs w:val="24"/>
          <w:highlight w:val="none"/>
        </w:rPr>
        <w:t>、银行转账方式</w:t>
      </w:r>
      <w:bookmarkEnd w:id="206"/>
      <w:bookmarkEnd w:id="207"/>
      <w:r>
        <w:rPr>
          <w:rFonts w:ascii="宋体" w:hAnsi="宋体"/>
          <w:snapToGrid w:val="0"/>
          <w:color w:val="auto"/>
          <w:kern w:val="0"/>
          <w:sz w:val="24"/>
          <w:szCs w:val="24"/>
          <w:highlight w:val="none"/>
        </w:rPr>
        <w:t>提交的：</w:t>
      </w:r>
    </w:p>
    <w:p>
      <w:pPr>
        <w:spacing w:line="360" w:lineRule="auto"/>
        <w:ind w:firstLine="470" w:firstLineChars="196"/>
        <w:rPr>
          <w:rFonts w:ascii="宋体" w:hAnsi="宋体"/>
          <w:snapToGrid w:val="0"/>
          <w:color w:val="auto"/>
          <w:kern w:val="0"/>
          <w:sz w:val="24"/>
          <w:szCs w:val="24"/>
          <w:highlight w:val="none"/>
        </w:rPr>
      </w:pPr>
      <w:bookmarkStart w:id="208" w:name="OLE_LINK32"/>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未</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w:t>
      </w:r>
      <w:bookmarkStart w:id="209" w:name="OLE_LINK14"/>
      <w:r>
        <w:rPr>
          <w:rFonts w:hint="eastAsia" w:ascii="宋体" w:hAnsi="宋体"/>
          <w:snapToGrid w:val="0"/>
          <w:color w:val="auto"/>
          <w:kern w:val="0"/>
          <w:sz w:val="24"/>
          <w:szCs w:val="24"/>
          <w:highlight w:val="none"/>
        </w:rPr>
        <w:t>招标代理机构本项目的负责人</w:t>
      </w:r>
      <w:bookmarkEnd w:id="209"/>
      <w:r>
        <w:rPr>
          <w:rFonts w:hint="eastAsia" w:ascii="宋体" w:hAnsi="宋体"/>
          <w:snapToGrid w:val="0"/>
          <w:color w:val="auto"/>
          <w:kern w:val="0"/>
          <w:sz w:val="24"/>
          <w:szCs w:val="24"/>
          <w:highlight w:val="none"/>
        </w:rPr>
        <w:t>申请退还</w:t>
      </w:r>
      <w:bookmarkEnd w:id="208"/>
      <w:r>
        <w:rPr>
          <w:rFonts w:hint="eastAsia" w:ascii="宋体" w:hAnsi="宋体"/>
          <w:snapToGrid w:val="0"/>
          <w:color w:val="auto"/>
          <w:kern w:val="0"/>
          <w:sz w:val="24"/>
          <w:szCs w:val="24"/>
          <w:highlight w:val="none"/>
        </w:rPr>
        <w:t>，</w:t>
      </w:r>
      <w:bookmarkStart w:id="210" w:name="OLE_LINK42"/>
      <w:r>
        <w:rPr>
          <w:rFonts w:hint="eastAsia" w:ascii="宋体" w:hAnsi="宋体"/>
          <w:snapToGrid w:val="0"/>
          <w:color w:val="auto"/>
          <w:kern w:val="0"/>
          <w:sz w:val="24"/>
          <w:szCs w:val="24"/>
          <w:highlight w:val="none"/>
        </w:rPr>
        <w:t>招标代理机构的项目负责人在平台申请退还保证金，待财务</w:t>
      </w:r>
      <w:r>
        <w:rPr>
          <w:rFonts w:ascii="宋体" w:hAnsi="宋体"/>
          <w:snapToGrid w:val="0"/>
          <w:color w:val="auto"/>
          <w:kern w:val="0"/>
          <w:sz w:val="24"/>
          <w:szCs w:val="24"/>
          <w:highlight w:val="none"/>
        </w:rPr>
        <w:t>审核后，银行将</w:t>
      </w:r>
      <w:r>
        <w:rPr>
          <w:rFonts w:hint="eastAsia" w:ascii="宋体" w:hAnsi="宋体"/>
          <w:snapToGrid w:val="0"/>
          <w:color w:val="auto"/>
          <w:kern w:val="0"/>
          <w:sz w:val="24"/>
          <w:szCs w:val="24"/>
          <w:highlight w:val="none"/>
        </w:rPr>
        <w:t>采用</w:t>
      </w:r>
      <w:r>
        <w:rPr>
          <w:rFonts w:ascii="宋体" w:hAnsi="宋体"/>
          <w:snapToGrid w:val="0"/>
          <w:color w:val="auto"/>
          <w:kern w:val="0"/>
          <w:sz w:val="24"/>
          <w:szCs w:val="24"/>
          <w:highlight w:val="none"/>
        </w:rPr>
        <w:t>网上支付方式退还</w:t>
      </w:r>
      <w:bookmarkEnd w:id="210"/>
      <w:r>
        <w:rPr>
          <w:rFonts w:ascii="宋体" w:hAnsi="宋体"/>
          <w:snapToGrid w:val="0"/>
          <w:color w:val="auto"/>
          <w:kern w:val="0"/>
          <w:sz w:val="24"/>
          <w:szCs w:val="24"/>
          <w:highlight w:val="none"/>
        </w:rPr>
        <w:t>。</w:t>
      </w:r>
    </w:p>
    <w:p>
      <w:pPr>
        <w:spacing w:line="360" w:lineRule="auto"/>
        <w:ind w:firstLine="480" w:firstLineChars="200"/>
        <w:outlineLvl w:val="4"/>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采用银行保函</w:t>
      </w:r>
      <w:bookmarkStart w:id="211" w:name="OLE_LINK13"/>
      <w:r>
        <w:rPr>
          <w:rFonts w:ascii="宋体" w:hAnsi="宋体"/>
          <w:snapToGrid w:val="0"/>
          <w:color w:val="auto"/>
          <w:kern w:val="0"/>
          <w:sz w:val="24"/>
          <w:szCs w:val="24"/>
          <w:highlight w:val="none"/>
        </w:rPr>
        <w:t>方式提交的</w:t>
      </w:r>
      <w:bookmarkEnd w:id="211"/>
      <w:r>
        <w:rPr>
          <w:rFonts w:ascii="宋体" w:hAnsi="宋体"/>
          <w:snapToGrid w:val="0"/>
          <w:color w:val="auto"/>
          <w:kern w:val="0"/>
          <w:sz w:val="24"/>
          <w:szCs w:val="24"/>
          <w:highlight w:val="none"/>
        </w:rPr>
        <w:t>：</w:t>
      </w:r>
    </w:p>
    <w:p>
      <w:pPr>
        <w:spacing w:line="360" w:lineRule="auto"/>
        <w:ind w:firstLine="470" w:firstLineChars="196"/>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未</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》后，向招标代理机构本项目的负责人申请，招标代理机构的项目负责人将银行保函原件予以</w:t>
      </w:r>
      <w:r>
        <w:rPr>
          <w:rFonts w:ascii="宋体" w:hAnsi="宋体"/>
          <w:snapToGrid w:val="0"/>
          <w:color w:val="auto"/>
          <w:kern w:val="0"/>
          <w:sz w:val="24"/>
          <w:szCs w:val="24"/>
          <w:highlight w:val="none"/>
        </w:rPr>
        <w:t>退还（全流程电子标项目无退还操作）</w:t>
      </w:r>
      <w:r>
        <w:rPr>
          <w:rFonts w:hint="eastAsia" w:ascii="宋体" w:hAnsi="宋体"/>
          <w:snapToGrid w:val="0"/>
          <w:color w:val="auto"/>
          <w:kern w:val="0"/>
          <w:sz w:val="24"/>
          <w:szCs w:val="24"/>
          <w:highlight w:val="none"/>
        </w:rPr>
        <w:t>。</w:t>
      </w:r>
    </w:p>
    <w:p>
      <w:pPr>
        <w:spacing w:line="360" w:lineRule="auto"/>
        <w:ind w:firstLine="480" w:firstLineChars="200"/>
        <w:outlineLvl w:val="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w:t>
      </w:r>
      <w:r>
        <w:rPr>
          <w:rFonts w:ascii="宋体" w:hAnsi="宋体"/>
          <w:snapToGrid w:val="0"/>
          <w:color w:val="auto"/>
          <w:kern w:val="0"/>
          <w:sz w:val="24"/>
          <w:szCs w:val="24"/>
          <w:highlight w:val="none"/>
        </w:rPr>
        <w:t>中标</w:t>
      </w:r>
      <w:r>
        <w:rPr>
          <w:rFonts w:hint="eastAsia" w:ascii="宋体" w:hAnsi="宋体"/>
          <w:snapToGrid w:val="0"/>
          <w:color w:val="auto"/>
          <w:kern w:val="0"/>
          <w:sz w:val="24"/>
          <w:szCs w:val="24"/>
          <w:highlight w:val="none"/>
        </w:rPr>
        <w:t>人</w:t>
      </w:r>
    </w:p>
    <w:p>
      <w:pPr>
        <w:spacing w:line="360" w:lineRule="auto"/>
        <w:ind w:firstLine="480" w:firstLineChars="200"/>
        <w:outlineLvl w:val="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ascii="宋体" w:hAnsi="宋体"/>
          <w:snapToGrid w:val="0"/>
          <w:color w:val="auto"/>
          <w:kern w:val="0"/>
          <w:sz w:val="24"/>
          <w:szCs w:val="24"/>
          <w:highlight w:val="none"/>
        </w:rPr>
        <w:t>采用电汇、银行转账方式提交的：</w:t>
      </w:r>
    </w:p>
    <w:p>
      <w:pPr>
        <w:spacing w:line="360" w:lineRule="auto"/>
        <w:ind w:firstLine="470" w:firstLineChars="196"/>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中</w:t>
      </w:r>
      <w:r>
        <w:rPr>
          <w:rFonts w:ascii="宋体" w:hAnsi="宋体"/>
          <w:snapToGrid w:val="0"/>
          <w:color w:val="auto"/>
          <w:kern w:val="0"/>
          <w:sz w:val="24"/>
          <w:szCs w:val="24"/>
          <w:highlight w:val="none"/>
        </w:rPr>
        <w:t>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》后，向招标代理机构本项目的负责人申请退还，</w:t>
      </w:r>
      <w:bookmarkStart w:id="212" w:name="OLE_LINK43"/>
      <w:r>
        <w:rPr>
          <w:rFonts w:hint="eastAsia" w:ascii="宋体" w:hAnsi="宋体"/>
          <w:snapToGrid w:val="0"/>
          <w:color w:val="auto"/>
          <w:kern w:val="0"/>
          <w:sz w:val="24"/>
          <w:szCs w:val="24"/>
          <w:highlight w:val="none"/>
        </w:rPr>
        <w:t>招标代理机构的项目负责人在平台申请退还保证金，待财务审核后，银行将采用网上支付方式退还。</w:t>
      </w:r>
      <w:bookmarkEnd w:id="212"/>
      <w:bookmarkStart w:id="213" w:name="OLE_LINK21"/>
    </w:p>
    <w:bookmarkEnd w:id="213"/>
    <w:p>
      <w:pPr>
        <w:spacing w:line="360" w:lineRule="auto"/>
        <w:ind w:firstLine="480" w:firstLineChars="200"/>
        <w:outlineLvl w:val="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采用</w:t>
      </w:r>
      <w:r>
        <w:rPr>
          <w:rFonts w:hint="eastAsia" w:ascii="宋体" w:hAnsi="宋体"/>
          <w:snapToGrid w:val="0"/>
          <w:color w:val="auto"/>
          <w:kern w:val="0"/>
          <w:sz w:val="24"/>
          <w:szCs w:val="24"/>
          <w:highlight w:val="none"/>
        </w:rPr>
        <w:t>书面</w:t>
      </w:r>
      <w:r>
        <w:rPr>
          <w:rFonts w:ascii="宋体" w:hAnsi="宋体"/>
          <w:snapToGrid w:val="0"/>
          <w:color w:val="auto"/>
          <w:kern w:val="0"/>
          <w:sz w:val="24"/>
          <w:szCs w:val="24"/>
          <w:highlight w:val="none"/>
        </w:rPr>
        <w:t>银行保函方式提交的：</w:t>
      </w:r>
    </w:p>
    <w:p>
      <w:pPr>
        <w:spacing w:line="360" w:lineRule="auto"/>
        <w:ind w:firstLine="470" w:firstLineChars="196"/>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中</w:t>
      </w:r>
      <w:r>
        <w:rPr>
          <w:rFonts w:ascii="宋体" w:hAnsi="宋体"/>
          <w:snapToGrid w:val="0"/>
          <w:color w:val="auto"/>
          <w:kern w:val="0"/>
          <w:sz w:val="24"/>
          <w:szCs w:val="24"/>
          <w:highlight w:val="none"/>
        </w:rPr>
        <w:t>标人在收到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》后，向招标代理机构本项目的负责人申请，招标代理机构的项目负责人将</w:t>
      </w:r>
      <w:bookmarkStart w:id="214" w:name="OLE_LINK22"/>
      <w:r>
        <w:rPr>
          <w:rFonts w:hint="eastAsia" w:ascii="宋体" w:hAnsi="宋体"/>
          <w:snapToGrid w:val="0"/>
          <w:color w:val="auto"/>
          <w:kern w:val="0"/>
          <w:sz w:val="24"/>
          <w:szCs w:val="24"/>
          <w:highlight w:val="none"/>
        </w:rPr>
        <w:t>银行保函原件</w:t>
      </w:r>
      <w:bookmarkEnd w:id="214"/>
      <w:r>
        <w:rPr>
          <w:rFonts w:hint="eastAsia" w:ascii="宋体" w:hAnsi="宋体"/>
          <w:snapToGrid w:val="0"/>
          <w:color w:val="auto"/>
          <w:kern w:val="0"/>
          <w:sz w:val="24"/>
          <w:szCs w:val="24"/>
          <w:highlight w:val="none"/>
        </w:rPr>
        <w:t>予以</w:t>
      </w:r>
      <w:r>
        <w:rPr>
          <w:rFonts w:ascii="宋体" w:hAnsi="宋体"/>
          <w:snapToGrid w:val="0"/>
          <w:color w:val="auto"/>
          <w:kern w:val="0"/>
          <w:sz w:val="24"/>
          <w:szCs w:val="24"/>
          <w:highlight w:val="none"/>
        </w:rPr>
        <w:t>退还（全流程电子标项目无退还操作）</w:t>
      </w:r>
      <w:r>
        <w:rPr>
          <w:rFonts w:hint="eastAsia" w:ascii="宋体" w:hAnsi="宋体"/>
          <w:snapToGrid w:val="0"/>
          <w:color w:val="auto"/>
          <w:kern w:val="0"/>
          <w:sz w:val="24"/>
          <w:szCs w:val="24"/>
          <w:highlight w:val="none"/>
        </w:rPr>
        <w:t>。</w:t>
      </w:r>
    </w:p>
    <w:p>
      <w:pPr>
        <w:spacing w:line="360" w:lineRule="auto"/>
        <w:ind w:firstLine="480" w:firstLineChars="200"/>
        <w:outlineLvl w:val="4"/>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3、如</w:t>
      </w:r>
      <w:bookmarkStart w:id="215" w:name="OLE_LINK52"/>
      <w:r>
        <w:rPr>
          <w:rFonts w:hint="eastAsia" w:ascii="宋体" w:hAnsi="宋体"/>
          <w:bCs/>
          <w:snapToGrid w:val="0"/>
          <w:color w:val="auto"/>
          <w:kern w:val="0"/>
          <w:sz w:val="24"/>
          <w:szCs w:val="24"/>
          <w:highlight w:val="none"/>
        </w:rPr>
        <w:t>招标文件规定</w:t>
      </w:r>
      <w:bookmarkEnd w:id="215"/>
      <w:r>
        <w:rPr>
          <w:rFonts w:hint="eastAsia" w:ascii="宋体" w:hAnsi="宋体"/>
          <w:bCs/>
          <w:snapToGrid w:val="0"/>
          <w:color w:val="auto"/>
          <w:kern w:val="0"/>
          <w:sz w:val="24"/>
          <w:szCs w:val="24"/>
          <w:highlight w:val="none"/>
        </w:rPr>
        <w:t>由中</w:t>
      </w:r>
      <w:r>
        <w:rPr>
          <w:rFonts w:ascii="宋体" w:hAnsi="宋体"/>
          <w:bCs/>
          <w:snapToGrid w:val="0"/>
          <w:color w:val="auto"/>
          <w:kern w:val="0"/>
          <w:sz w:val="24"/>
          <w:szCs w:val="24"/>
          <w:highlight w:val="none"/>
        </w:rPr>
        <w:t>标人</w:t>
      </w:r>
      <w:r>
        <w:rPr>
          <w:rFonts w:hint="eastAsia" w:ascii="宋体" w:hAnsi="宋体"/>
          <w:bCs/>
          <w:snapToGrid w:val="0"/>
          <w:color w:val="auto"/>
          <w:kern w:val="0"/>
          <w:sz w:val="24"/>
          <w:szCs w:val="24"/>
          <w:highlight w:val="none"/>
        </w:rPr>
        <w:t>缴纳招标代理服务费的，中标人须先向招标代理机构缴纳招标代理服务费后，招标代理机构再办理退还投标保证金手续。</w:t>
      </w:r>
    </w:p>
    <w:p>
      <w:pPr>
        <w:spacing w:line="360" w:lineRule="auto"/>
        <w:outlineLvl w:val="4"/>
        <w:rPr>
          <w:rFonts w:ascii="宋体" w:hAnsi="宋体"/>
          <w:b/>
          <w:bCs/>
          <w:snapToGrid w:val="0"/>
          <w:color w:val="auto"/>
          <w:kern w:val="0"/>
          <w:sz w:val="24"/>
          <w:szCs w:val="24"/>
          <w:highlight w:val="none"/>
        </w:rPr>
      </w:pPr>
    </w:p>
    <w:p>
      <w:pPr>
        <w:spacing w:line="360" w:lineRule="auto"/>
        <w:outlineLvl w:val="2"/>
        <w:rPr>
          <w:rFonts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七</w:t>
      </w:r>
      <w:r>
        <w:rPr>
          <w:rFonts w:ascii="宋体" w:hAnsi="宋体"/>
          <w:b/>
          <w:bCs/>
          <w:snapToGrid w:val="0"/>
          <w:color w:val="auto"/>
          <w:kern w:val="0"/>
          <w:sz w:val="24"/>
          <w:szCs w:val="24"/>
          <w:highlight w:val="none"/>
        </w:rPr>
        <w:t>、其他事项</w:t>
      </w:r>
    </w:p>
    <w:p>
      <w:pPr>
        <w:spacing w:line="360" w:lineRule="auto"/>
        <w:ind w:firstLine="480" w:firstLineChars="200"/>
        <w:rPr>
          <w:rFonts w:ascii="宋体" w:hAnsi="宋体"/>
          <w:snapToGrid w:val="0"/>
          <w:color w:val="auto"/>
          <w:kern w:val="0"/>
          <w:sz w:val="24"/>
          <w:szCs w:val="24"/>
          <w:highlight w:val="none"/>
        </w:rPr>
      </w:pPr>
      <w:r>
        <w:rPr>
          <w:rFonts w:ascii="宋体" w:hAnsi="宋体"/>
          <w:color w:val="auto"/>
          <w:sz w:val="24"/>
          <w:szCs w:val="24"/>
          <w:highlight w:val="none"/>
        </w:rPr>
        <w:t>1、</w:t>
      </w:r>
      <w:r>
        <w:rPr>
          <w:rFonts w:ascii="宋体" w:hAnsi="宋体"/>
          <w:snapToGrid w:val="0"/>
          <w:color w:val="auto"/>
          <w:kern w:val="0"/>
          <w:sz w:val="24"/>
          <w:szCs w:val="24"/>
          <w:highlight w:val="none"/>
        </w:rPr>
        <w:t>如投标人对</w:t>
      </w:r>
      <w:r>
        <w:rPr>
          <w:rFonts w:ascii="宋体" w:hAnsi="宋体"/>
          <w:color w:val="auto"/>
          <w:sz w:val="24"/>
          <w:szCs w:val="24"/>
          <w:highlight w:val="none"/>
        </w:rPr>
        <w:t>本须知</w:t>
      </w:r>
      <w:r>
        <w:rPr>
          <w:rFonts w:ascii="宋体" w:hAnsi="宋体"/>
          <w:snapToGrid w:val="0"/>
          <w:color w:val="auto"/>
          <w:kern w:val="0"/>
          <w:sz w:val="24"/>
          <w:szCs w:val="24"/>
          <w:highlight w:val="none"/>
        </w:rPr>
        <w:t>中的相关内容作进一步咨询，可按招标文件“投标人须知”的相关规定以书面形式向招标代理机构提出，</w:t>
      </w:r>
      <w:r>
        <w:rPr>
          <w:rFonts w:hint="eastAsia" w:ascii="宋体" w:hAnsi="宋体"/>
          <w:snapToGrid w:val="0"/>
          <w:color w:val="auto"/>
          <w:kern w:val="0"/>
          <w:sz w:val="24"/>
          <w:szCs w:val="24"/>
          <w:highlight w:val="none"/>
        </w:rPr>
        <w:t>或</w:t>
      </w:r>
      <w:r>
        <w:rPr>
          <w:rFonts w:ascii="宋体" w:hAnsi="宋体"/>
          <w:snapToGrid w:val="0"/>
          <w:color w:val="auto"/>
          <w:kern w:val="0"/>
          <w:sz w:val="24"/>
          <w:szCs w:val="24"/>
          <w:highlight w:val="none"/>
        </w:rPr>
        <w:t>向招标文件中列明的招标代理机构的项目负责人或平台客服（010-86397110）</w:t>
      </w:r>
      <w:r>
        <w:rPr>
          <w:rFonts w:hint="eastAsia" w:ascii="宋体" w:hAnsi="宋体"/>
          <w:snapToGrid w:val="0"/>
          <w:color w:val="auto"/>
          <w:kern w:val="0"/>
          <w:sz w:val="24"/>
          <w:szCs w:val="24"/>
          <w:highlight w:val="none"/>
        </w:rPr>
        <w:t>电话</w:t>
      </w:r>
      <w:r>
        <w:rPr>
          <w:rFonts w:ascii="宋体" w:hAnsi="宋体"/>
          <w:snapToGrid w:val="0"/>
          <w:color w:val="auto"/>
          <w:kern w:val="0"/>
          <w:sz w:val="24"/>
          <w:szCs w:val="24"/>
          <w:highlight w:val="none"/>
        </w:rPr>
        <w:t>咨询。</w:t>
      </w:r>
    </w:p>
    <w:p>
      <w:pPr>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对竞争性谈判、竞争性磋商</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询价、</w:t>
      </w:r>
      <w:r>
        <w:rPr>
          <w:rFonts w:hint="eastAsia" w:ascii="宋体" w:hAnsi="宋体"/>
          <w:snapToGrid w:val="0"/>
          <w:color w:val="auto"/>
          <w:kern w:val="0"/>
          <w:sz w:val="24"/>
          <w:szCs w:val="24"/>
          <w:highlight w:val="none"/>
        </w:rPr>
        <w:t>比选或单一来源</w:t>
      </w:r>
      <w:r>
        <w:rPr>
          <w:rFonts w:ascii="宋体" w:hAnsi="宋体"/>
          <w:snapToGrid w:val="0"/>
          <w:color w:val="auto"/>
          <w:kern w:val="0"/>
          <w:sz w:val="24"/>
          <w:szCs w:val="24"/>
          <w:highlight w:val="none"/>
        </w:rPr>
        <w:t>采购项目，如果在竞争性谈判文件</w:t>
      </w:r>
      <w:r>
        <w:rPr>
          <w:rFonts w:hint="eastAsia" w:ascii="宋体" w:hAnsi="宋体"/>
          <w:snapToGrid w:val="0"/>
          <w:color w:val="auto"/>
          <w:kern w:val="0"/>
          <w:sz w:val="24"/>
          <w:szCs w:val="24"/>
          <w:highlight w:val="none"/>
        </w:rPr>
        <w:t>、竞争性磋商文件、</w:t>
      </w:r>
      <w:r>
        <w:rPr>
          <w:rFonts w:ascii="宋体" w:hAnsi="宋体"/>
          <w:snapToGrid w:val="0"/>
          <w:color w:val="auto"/>
          <w:kern w:val="0"/>
          <w:sz w:val="24"/>
          <w:szCs w:val="24"/>
          <w:highlight w:val="none"/>
        </w:rPr>
        <w:t>询价文件</w:t>
      </w:r>
      <w:r>
        <w:rPr>
          <w:rFonts w:hint="eastAsia" w:ascii="宋体" w:hAnsi="宋体"/>
          <w:snapToGrid w:val="0"/>
          <w:color w:val="auto"/>
          <w:kern w:val="0"/>
          <w:sz w:val="24"/>
          <w:szCs w:val="24"/>
          <w:highlight w:val="none"/>
        </w:rPr>
        <w:t>、比选文件、单一来源采购文件</w:t>
      </w:r>
      <w:r>
        <w:rPr>
          <w:rFonts w:ascii="宋体" w:hAnsi="宋体"/>
          <w:snapToGrid w:val="0"/>
          <w:color w:val="auto"/>
          <w:kern w:val="0"/>
          <w:sz w:val="24"/>
          <w:szCs w:val="24"/>
          <w:highlight w:val="none"/>
        </w:rPr>
        <w:t>中要求供应商提交</w:t>
      </w:r>
      <w:r>
        <w:rPr>
          <w:rFonts w:ascii="宋体" w:hAnsi="宋体"/>
          <w:bCs/>
          <w:snapToGrid w:val="0"/>
          <w:color w:val="auto"/>
          <w:kern w:val="0"/>
          <w:sz w:val="24"/>
          <w:szCs w:val="24"/>
          <w:highlight w:val="none"/>
        </w:rPr>
        <w:t>保证金</w:t>
      </w:r>
      <w:r>
        <w:rPr>
          <w:rFonts w:hint="eastAsia" w:ascii="宋体" w:hAnsi="宋体"/>
          <w:bCs/>
          <w:snapToGrid w:val="0"/>
          <w:color w:val="auto"/>
          <w:kern w:val="0"/>
          <w:sz w:val="24"/>
          <w:szCs w:val="24"/>
          <w:highlight w:val="none"/>
        </w:rPr>
        <w:t>的</w:t>
      </w:r>
      <w:r>
        <w:rPr>
          <w:rFonts w:ascii="宋体" w:hAnsi="宋体"/>
          <w:snapToGrid w:val="0"/>
          <w:color w:val="auto"/>
          <w:kern w:val="0"/>
          <w:sz w:val="24"/>
          <w:szCs w:val="24"/>
          <w:highlight w:val="none"/>
        </w:rPr>
        <w:t>，则表示</w:t>
      </w:r>
      <w:r>
        <w:rPr>
          <w:rFonts w:ascii="宋体" w:hAnsi="宋体"/>
          <w:color w:val="auto"/>
          <w:sz w:val="24"/>
          <w:szCs w:val="24"/>
          <w:highlight w:val="none"/>
        </w:rPr>
        <w:t>本须知</w:t>
      </w:r>
      <w:r>
        <w:rPr>
          <w:rFonts w:ascii="宋体" w:hAnsi="宋体"/>
          <w:snapToGrid w:val="0"/>
          <w:color w:val="auto"/>
          <w:kern w:val="0"/>
          <w:sz w:val="24"/>
          <w:szCs w:val="24"/>
          <w:highlight w:val="none"/>
        </w:rPr>
        <w:t>有关投标保证金提交和退还的规定将同样适用于对应的竞争性谈判</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询价</w:t>
      </w:r>
      <w:r>
        <w:rPr>
          <w:rFonts w:hint="eastAsia" w:ascii="宋体" w:hAnsi="宋体"/>
          <w:snapToGrid w:val="0"/>
          <w:color w:val="auto"/>
          <w:kern w:val="0"/>
          <w:sz w:val="24"/>
          <w:szCs w:val="24"/>
          <w:highlight w:val="none"/>
        </w:rPr>
        <w:t>或比选</w:t>
      </w:r>
      <w:r>
        <w:rPr>
          <w:rFonts w:ascii="宋体" w:hAnsi="宋体"/>
          <w:snapToGrid w:val="0"/>
          <w:color w:val="auto"/>
          <w:kern w:val="0"/>
          <w:sz w:val="24"/>
          <w:szCs w:val="24"/>
          <w:highlight w:val="none"/>
        </w:rPr>
        <w:t>采购项目</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此时，</w:t>
      </w:r>
      <w:r>
        <w:rPr>
          <w:rFonts w:ascii="宋体" w:hAnsi="宋体"/>
          <w:color w:val="auto"/>
          <w:sz w:val="24"/>
          <w:szCs w:val="24"/>
          <w:highlight w:val="none"/>
        </w:rPr>
        <w:t>本须知</w:t>
      </w:r>
      <w:r>
        <w:rPr>
          <w:rFonts w:ascii="宋体" w:hAnsi="宋体"/>
          <w:snapToGrid w:val="0"/>
          <w:color w:val="auto"/>
          <w:kern w:val="0"/>
          <w:sz w:val="24"/>
          <w:szCs w:val="24"/>
          <w:highlight w:val="none"/>
        </w:rPr>
        <w:t>中的“投标人”应理解为参加谈判</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报价的“供应商”；“中标人”应理解为“成交人”；“未中标人”应理解为“未成交人”；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中标通知书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应理解为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成交通知书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《未</w:t>
      </w:r>
      <w:r>
        <w:rPr>
          <w:rFonts w:ascii="宋体" w:hAnsi="宋体"/>
          <w:snapToGrid w:val="0"/>
          <w:color w:val="auto"/>
          <w:kern w:val="0"/>
          <w:sz w:val="24"/>
          <w:szCs w:val="24"/>
          <w:highlight w:val="none"/>
        </w:rPr>
        <w:t>中标通知书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应理解为</w:t>
      </w:r>
      <w:r>
        <w:rPr>
          <w:rFonts w:hint="eastAsia" w:ascii="宋体" w:hAnsi="宋体"/>
          <w:snapToGrid w:val="0"/>
          <w:color w:val="auto"/>
          <w:kern w:val="0"/>
          <w:sz w:val="24"/>
          <w:szCs w:val="24"/>
          <w:highlight w:val="none"/>
        </w:rPr>
        <w:t>《未成交</w:t>
      </w:r>
      <w:r>
        <w:rPr>
          <w:rFonts w:ascii="宋体" w:hAnsi="宋体"/>
          <w:snapToGrid w:val="0"/>
          <w:color w:val="auto"/>
          <w:kern w:val="0"/>
          <w:sz w:val="24"/>
          <w:szCs w:val="24"/>
          <w:highlight w:val="none"/>
        </w:rPr>
        <w:t>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w:t>
      </w:r>
    </w:p>
    <w:p>
      <w:pPr>
        <w:pStyle w:val="41"/>
        <w:keepNext w:val="0"/>
        <w:keepLines w:val="0"/>
        <w:pageBreakBefore w:val="0"/>
        <w:kinsoku/>
        <w:overflowPunct/>
        <w:bidi w:val="0"/>
        <w:spacing w:beforeAutospacing="0" w:afterAutospacing="0" w:line="360" w:lineRule="auto"/>
        <w:ind w:firstLine="420"/>
        <w:rPr>
          <w:rFonts w:hint="eastAsia" w:asciiTheme="minorEastAsia" w:hAnsiTheme="minorEastAsia" w:eastAsiaTheme="minorEastAsia" w:cstheme="minorEastAsia"/>
          <w:color w:val="auto"/>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Cs w:val="44"/>
        </w:rPr>
      </w:pPr>
      <w:bookmarkStart w:id="216" w:name="_Toc762"/>
      <w:bookmarkEnd w:id="216"/>
      <w:bookmarkStart w:id="217" w:name="_Toc19353"/>
      <w:bookmarkEnd w:id="217"/>
      <w:bookmarkStart w:id="218" w:name="_Toc388529348"/>
      <w:bookmarkEnd w:id="218"/>
      <w:bookmarkStart w:id="219" w:name="_Toc288164077"/>
      <w:bookmarkEnd w:id="219"/>
      <w:bookmarkStart w:id="220" w:name="_Toc18847"/>
      <w:bookmarkEnd w:id="220"/>
      <w:bookmarkStart w:id="221" w:name="_Toc375213739"/>
      <w:bookmarkEnd w:id="221"/>
      <w:bookmarkStart w:id="222" w:name="_Toc388529347"/>
      <w:bookmarkEnd w:id="222"/>
      <w:bookmarkStart w:id="223" w:name="_Toc295339643"/>
      <w:bookmarkEnd w:id="223"/>
      <w:bookmarkStart w:id="224" w:name="_Toc294383740"/>
      <w:bookmarkEnd w:id="224"/>
      <w:bookmarkStart w:id="225" w:name="_Toc402466058"/>
      <w:bookmarkEnd w:id="225"/>
      <w:bookmarkStart w:id="226" w:name="_Toc372754680"/>
      <w:bookmarkEnd w:id="226"/>
      <w:bookmarkStart w:id="227" w:name="_Toc294383742"/>
      <w:bookmarkEnd w:id="227"/>
      <w:bookmarkStart w:id="228" w:name="_Toc388529349"/>
      <w:bookmarkEnd w:id="228"/>
      <w:r>
        <w:rPr>
          <w:rFonts w:hint="eastAsia" w:asciiTheme="minorEastAsia" w:hAnsiTheme="minorEastAsia" w:eastAsiaTheme="minorEastAsia" w:cstheme="minorEastAsia"/>
          <w:color w:val="auto"/>
          <w:sz w:val="24"/>
          <w:szCs w:val="24"/>
        </w:rPr>
        <w:br w:type="page"/>
      </w:r>
      <w:bookmarkStart w:id="229" w:name="_Toc457747979"/>
      <w:bookmarkStart w:id="230" w:name="_Toc8374"/>
      <w:bookmarkStart w:id="231" w:name="_Toc781"/>
      <w:bookmarkStart w:id="232" w:name="_Toc26241"/>
      <w:bookmarkStart w:id="233" w:name="_Toc392227805"/>
      <w:r>
        <w:rPr>
          <w:rFonts w:hint="eastAsia" w:asciiTheme="minorEastAsia" w:hAnsiTheme="minorEastAsia" w:eastAsiaTheme="minorEastAsia" w:cstheme="minorEastAsia"/>
          <w:color w:val="auto"/>
          <w:sz w:val="32"/>
          <w:szCs w:val="32"/>
        </w:rPr>
        <w:t>第三章 评标方法</w:t>
      </w:r>
      <w:bookmarkEnd w:id="229"/>
      <w:bookmarkEnd w:id="230"/>
      <w:bookmarkEnd w:id="231"/>
      <w:bookmarkEnd w:id="232"/>
      <w:bookmarkEnd w:id="233"/>
    </w:p>
    <w:p>
      <w:pPr>
        <w:keepNext w:val="0"/>
        <w:keepLines w:val="0"/>
        <w:pageBreakBefore w:val="0"/>
        <w:kinsoku/>
        <w:overflowPunct/>
        <w:topLinePunct w:val="0"/>
        <w:autoSpaceDE/>
        <w:autoSpaceDN/>
        <w:bidi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b/>
          <w:bCs/>
          <w:snapToGrid w:val="0"/>
          <w:color w:val="auto"/>
          <w:kern w:val="0"/>
          <w:sz w:val="24"/>
        </w:rPr>
      </w:pPr>
      <w:r>
        <w:rPr>
          <w:rFonts w:hint="eastAsia" w:asciiTheme="minorEastAsia" w:hAnsiTheme="minorEastAsia" w:eastAsiaTheme="minorEastAsia" w:cstheme="minorEastAsia"/>
          <w:snapToGrid w:val="0"/>
          <w:color w:val="auto"/>
          <w:kern w:val="0"/>
          <w:sz w:val="24"/>
          <w:lang w:val="zh-CN"/>
        </w:rPr>
        <w:t>根据《中华人民共和国政府采购法》、《中华人民共和国政府采购法实施条例》和</w:t>
      </w:r>
      <w:r>
        <w:rPr>
          <w:rFonts w:hint="eastAsia" w:asciiTheme="minorEastAsia" w:hAnsiTheme="minorEastAsia" w:eastAsiaTheme="minorEastAsia" w:cstheme="minorEastAsia"/>
          <w:color w:val="auto"/>
          <w:sz w:val="24"/>
          <w:szCs w:val="24"/>
        </w:rPr>
        <w:t>《政府采购货物和服务招标投标管理办法（财政部令2017年第87号）》</w:t>
      </w:r>
      <w:r>
        <w:rPr>
          <w:rFonts w:hint="eastAsia" w:asciiTheme="minorEastAsia" w:hAnsiTheme="minorEastAsia" w:eastAsiaTheme="minorEastAsia" w:cstheme="minorEastAsia"/>
          <w:snapToGrid w:val="0"/>
          <w:color w:val="auto"/>
          <w:kern w:val="0"/>
          <w:sz w:val="24"/>
          <w:lang w:val="zh-CN"/>
        </w:rPr>
        <w:t>的有关规定，并结合本项目招标文件中的有关要求，特制定本办法。</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一、评标原则</w:t>
      </w:r>
    </w:p>
    <w:p>
      <w:pPr>
        <w:keepNext w:val="0"/>
        <w:keepLines w:val="0"/>
        <w:pageBreakBefore w:val="0"/>
        <w:widowControl/>
        <w:numPr>
          <w:ilvl w:val="0"/>
          <w:numId w:val="12"/>
        </w:numPr>
        <w:shd w:val="clear" w:color="auto" w:fill="FFFFFF"/>
        <w:kinsoku/>
        <w:overflowPunct/>
        <w:topLinePunct w:val="0"/>
        <w:autoSpaceDE/>
        <w:autoSpaceDN/>
        <w:bidi w:val="0"/>
        <w:snapToGrid w:val="0"/>
        <w:spacing w:beforeAutospacing="0" w:afterAutospacing="0" w:line="360" w:lineRule="auto"/>
        <w:ind w:right="0" w:rightChars="0"/>
        <w:textAlignment w:val="auto"/>
        <w:rPr>
          <w:rFonts w:hint="eastAsia" w:asciiTheme="minorEastAsia" w:hAnsiTheme="minorEastAsia" w:eastAsiaTheme="minorEastAsia" w:cstheme="minorEastAsia"/>
          <w:b w:val="0"/>
          <w:bCs w:val="0"/>
          <w:snapToGrid w:val="0"/>
          <w:color w:val="auto"/>
          <w:kern w:val="0"/>
          <w:sz w:val="24"/>
          <w:highlight w:val="none"/>
        </w:rPr>
      </w:pPr>
      <w:r>
        <w:rPr>
          <w:rFonts w:hint="eastAsia" w:asciiTheme="minorEastAsia" w:hAnsiTheme="minorEastAsia" w:eastAsiaTheme="minorEastAsia" w:cstheme="minorEastAsia"/>
          <w:snapToGrid w:val="0"/>
          <w:color w:val="auto"/>
          <w:kern w:val="0"/>
          <w:sz w:val="24"/>
        </w:rPr>
        <w:t>由依法组建的评标委员会对</w:t>
      </w:r>
      <w:r>
        <w:rPr>
          <w:rFonts w:hint="eastAsia" w:asciiTheme="minorEastAsia" w:hAnsiTheme="minorEastAsia" w:eastAsiaTheme="minorEastAsia" w:cstheme="minorEastAsia"/>
          <w:color w:val="auto"/>
          <w:sz w:val="24"/>
          <w:szCs w:val="24"/>
        </w:rPr>
        <w:t>符合资</w:t>
      </w:r>
      <w:r>
        <w:rPr>
          <w:rFonts w:hint="eastAsia" w:asciiTheme="minorEastAsia" w:hAnsiTheme="minorEastAsia" w:eastAsiaTheme="minorEastAsia" w:cstheme="minorEastAsia"/>
          <w:b w:val="0"/>
          <w:bCs w:val="0"/>
          <w:color w:val="auto"/>
          <w:sz w:val="24"/>
          <w:szCs w:val="24"/>
        </w:rPr>
        <w:t>格的投标人的投标文件进行符合性审查，以确定其是否满足招标文件的实质性要求，</w:t>
      </w:r>
      <w:r>
        <w:rPr>
          <w:rFonts w:hint="eastAsia" w:asciiTheme="minorEastAsia" w:hAnsiTheme="minorEastAsia" w:eastAsiaTheme="minorEastAsia" w:cstheme="minorEastAsia"/>
          <w:b w:val="0"/>
          <w:bCs w:val="0"/>
          <w:snapToGrid w:val="0"/>
          <w:color w:val="auto"/>
          <w:kern w:val="0"/>
          <w:sz w:val="24"/>
        </w:rPr>
        <w:t>通过符合性审查的投标文件才可以进入详细评审。</w:t>
      </w:r>
    </w:p>
    <w:p>
      <w:pPr>
        <w:keepNext w:val="0"/>
        <w:keepLines w:val="0"/>
        <w:pageBreakBefore w:val="0"/>
        <w:widowControl/>
        <w:numPr>
          <w:ilvl w:val="0"/>
          <w:numId w:val="12"/>
        </w:numPr>
        <w:shd w:val="clear" w:color="auto" w:fill="FFFFFF"/>
        <w:kinsoku/>
        <w:overflowPunct/>
        <w:topLinePunct w:val="0"/>
        <w:autoSpaceDE/>
        <w:autoSpaceDN/>
        <w:bidi w:val="0"/>
        <w:snapToGrid w:val="0"/>
        <w:spacing w:beforeAutospacing="0" w:afterAutospacing="0" w:line="360" w:lineRule="auto"/>
        <w:ind w:right="0" w:rightChars="0"/>
        <w:textAlignment w:val="auto"/>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val="0"/>
          <w:bCs w:val="0"/>
          <w:snapToGrid w:val="0"/>
          <w:color w:val="auto"/>
          <w:kern w:val="0"/>
          <w:sz w:val="24"/>
        </w:rPr>
        <w:t>详细评审采用综合评分法，投标人</w:t>
      </w:r>
      <w:r>
        <w:rPr>
          <w:rFonts w:hint="eastAsia" w:asciiTheme="minorEastAsia" w:hAnsiTheme="minorEastAsia" w:eastAsiaTheme="minorEastAsia" w:cstheme="minorEastAsia"/>
          <w:snapToGrid w:val="0"/>
          <w:color w:val="auto"/>
          <w:kern w:val="0"/>
          <w:sz w:val="24"/>
        </w:rPr>
        <w:t>的综合得分为投标人价格分和技术商务分的合计得分，总分为100分；其中价格分为30分、技术商务分为70分。</w:t>
      </w:r>
      <w:bookmarkStart w:id="234" w:name="OLE_LINK3"/>
      <w:bookmarkStart w:id="235" w:name="OLE_LINK5"/>
      <w:r>
        <w:rPr>
          <w:rFonts w:hint="eastAsia" w:asciiTheme="minorEastAsia" w:hAnsiTheme="minorEastAsia" w:eastAsiaTheme="minorEastAsia" w:cstheme="minorEastAsia"/>
          <w:snapToGrid w:val="0"/>
          <w:color w:val="auto"/>
          <w:kern w:val="0"/>
          <w:sz w:val="24"/>
        </w:rPr>
        <w:t>技术商务依据评标委员会打分合计后的算术平均值作为投标人技术商务分</w:t>
      </w:r>
      <w:bookmarkEnd w:id="234"/>
      <w:bookmarkEnd w:id="235"/>
      <w:r>
        <w:rPr>
          <w:rFonts w:hint="eastAsia" w:asciiTheme="minorEastAsia" w:hAnsiTheme="minorEastAsia" w:eastAsiaTheme="minorEastAsia" w:cstheme="minorEastAsia"/>
          <w:snapToGrid w:val="0"/>
          <w:color w:val="auto"/>
          <w:kern w:val="0"/>
          <w:sz w:val="24"/>
        </w:rPr>
        <w:t>。评分分值计算保留小数点后2位，小数点后第3位“四舍五入”。</w:t>
      </w:r>
    </w:p>
    <w:p>
      <w:pPr>
        <w:keepNext w:val="0"/>
        <w:keepLines w:val="0"/>
        <w:pageBreakBefore w:val="0"/>
        <w:widowControl/>
        <w:numPr>
          <w:ilvl w:val="0"/>
          <w:numId w:val="12"/>
        </w:numPr>
        <w:shd w:val="clear" w:color="auto" w:fill="FFFFFF"/>
        <w:kinsoku/>
        <w:overflowPunct/>
        <w:topLinePunct w:val="0"/>
        <w:autoSpaceDE/>
        <w:autoSpaceDN/>
        <w:bidi w:val="0"/>
        <w:snapToGrid w:val="0"/>
        <w:spacing w:beforeAutospacing="0" w:afterAutospacing="0" w:line="360" w:lineRule="auto"/>
        <w:ind w:right="0" w:rightChars="0"/>
        <w:textAlignment w:val="auto"/>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二、评标程序</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rPr>
        <w:t xml:space="preserve">(一) </w:t>
      </w:r>
      <w:r>
        <w:rPr>
          <w:rFonts w:hint="eastAsia" w:asciiTheme="minorEastAsia" w:hAnsiTheme="minorEastAsia" w:eastAsiaTheme="minorEastAsia" w:cstheme="minorEastAsia"/>
          <w:b/>
          <w:snapToGrid w:val="0"/>
          <w:color w:val="auto"/>
          <w:kern w:val="0"/>
          <w:sz w:val="24"/>
          <w:szCs w:val="24"/>
        </w:rPr>
        <w:t>符合性评审</w:t>
      </w:r>
    </w:p>
    <w:p>
      <w:pPr>
        <w:keepNext w:val="0"/>
        <w:keepLines w:val="0"/>
        <w:pageBreakBefore w:val="0"/>
        <w:widowControl/>
        <w:shd w:val="clear" w:color="auto" w:fill="FFFFFF"/>
        <w:kinsoku/>
        <w:overflowPunct/>
        <w:topLinePunct w:val="0"/>
        <w:autoSpaceDE/>
        <w:autoSpaceDN/>
        <w:bidi w:val="0"/>
        <w:snapToGrid w:val="0"/>
        <w:spacing w:beforeAutospacing="0" w:afterAutospacing="0" w:line="360" w:lineRule="auto"/>
        <w:ind w:right="0" w:rightChars="0" w:firstLine="482" w:firstLineChars="200"/>
        <w:textAlignment w:val="auto"/>
        <w:rPr>
          <w:rFonts w:hint="eastAsia" w:asciiTheme="minorEastAsia" w:hAnsiTheme="minorEastAsia" w:eastAsiaTheme="minorEastAsia" w:cstheme="minorEastAsia"/>
          <w:b/>
          <w:snapToGrid w:val="0"/>
          <w:color w:val="auto"/>
          <w:kern w:val="0"/>
          <w:sz w:val="24"/>
        </w:rPr>
      </w:pPr>
      <w:r>
        <w:rPr>
          <w:rFonts w:hint="eastAsia" w:asciiTheme="minorEastAsia" w:hAnsiTheme="minorEastAsia" w:eastAsiaTheme="minorEastAsia" w:cstheme="minorEastAsia"/>
          <w:b/>
          <w:bCs/>
          <w:snapToGrid w:val="0"/>
          <w:color w:val="auto"/>
          <w:kern w:val="0"/>
          <w:sz w:val="24"/>
        </w:rPr>
        <w:t>投标人有以下情形之一的，投标无效：</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未按照招标文件的规定提交投标保证金的。</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投标文件未按招标文件要求签署、盖章的。</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投标人资质条件不符合招标文件要求</w:t>
      </w:r>
      <w:r>
        <w:rPr>
          <w:rFonts w:hint="eastAsia" w:asciiTheme="minorEastAsia" w:hAnsiTheme="minorEastAsia" w:eastAsiaTheme="minorEastAsia" w:cstheme="minorEastAsia"/>
          <w:snapToGrid w:val="0"/>
          <w:color w:val="auto"/>
          <w:kern w:val="0"/>
          <w:sz w:val="24"/>
          <w:lang w:eastAsia="zh-CN"/>
        </w:rPr>
        <w:t>；</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投标报价超过招标文件中规定的预算金额或者最高限价的。</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color w:val="auto"/>
          <w:sz w:val="24"/>
          <w:szCs w:val="24"/>
        </w:rPr>
        <w:t>投标文件含有采购人不能接受的附加条件的。</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color w:val="auto"/>
          <w:sz w:val="24"/>
          <w:szCs w:val="24"/>
        </w:rPr>
        <w:t>法律、法规和招标文件规定的其他无效情形</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同一投标人提交两个以上不同的投标文件或者投标报价，但招标文件要求提交备选投标的除外。</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投标人的报价有缺漏项或投标人不确认修正后的报价的</w:t>
      </w:r>
      <w:r>
        <w:rPr>
          <w:rFonts w:hint="eastAsia" w:asciiTheme="minorEastAsia" w:hAnsiTheme="minorEastAsia" w:eastAsiaTheme="minorEastAsia" w:cstheme="minorEastAsia"/>
          <w:b w:val="0"/>
          <w:bCs w:val="0"/>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b w:val="0"/>
          <w:bCs w:val="0"/>
          <w:snapToGrid w:val="0"/>
          <w:color w:val="auto"/>
          <w:kern w:val="0"/>
          <w:sz w:val="24"/>
          <w:lang w:val="en-US" w:eastAsia="zh-CN"/>
        </w:rPr>
        <w:t xml:space="preserve"> </w:t>
      </w:r>
      <w:r>
        <w:rPr>
          <w:rFonts w:hint="eastAsia" w:asciiTheme="minorEastAsia" w:hAnsiTheme="minorEastAsia" w:eastAsiaTheme="minorEastAsia" w:cstheme="minorEastAsia"/>
          <w:b w:val="0"/>
          <w:bCs w:val="0"/>
          <w:snapToGrid w:val="0"/>
          <w:color w:val="auto"/>
          <w:kern w:val="0"/>
          <w:sz w:val="24"/>
        </w:rPr>
        <w:t>投标有效期不足的；</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lang w:val="zh-CN"/>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lang w:val="zh-CN"/>
        </w:rPr>
        <w:t>投标文件非法定代表人（单位负责人）签字时，无法定代表人（单位负责人）有效授权书的；</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lang w:val="zh-CN"/>
        </w:rPr>
        <w:t>投标人的“投标函”或“开标一览表”或招标文件要求的证明文件未提供</w:t>
      </w:r>
      <w:r>
        <w:rPr>
          <w:rFonts w:hint="eastAsia" w:asciiTheme="minorEastAsia" w:hAnsiTheme="minorEastAsia" w:eastAsiaTheme="minorEastAsia" w:cstheme="minorEastAsia"/>
          <w:snapToGrid w:val="0"/>
          <w:color w:val="auto"/>
          <w:kern w:val="0"/>
          <w:sz w:val="24"/>
        </w:rPr>
        <w:t>的或提供的资料不符合招标文件要求的</w:t>
      </w:r>
      <w:r>
        <w:rPr>
          <w:rFonts w:hint="eastAsia" w:asciiTheme="minorEastAsia" w:hAnsiTheme="minorEastAsia" w:eastAsiaTheme="minorEastAsia" w:cstheme="minorEastAsia"/>
          <w:snapToGrid w:val="0"/>
          <w:color w:val="auto"/>
          <w:kern w:val="0"/>
          <w:sz w:val="24"/>
          <w:lang w:val="zh-CN"/>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投标人不按评标委员会要求澄清、说明或补正的；</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投标人为招标人不具有独立法人资格的附属机构（单位）</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投标人与本招标项目的其他投标人为同一单位负责人</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投标人与本招标项目的其他投标人存在控股、管理关系</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投标人被依法暂停或取消投标资格</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879" w:leftChars="190" w:right="0" w:rightChars="0" w:hanging="480" w:hangingChars="20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投标人被责令停业，暂扣或吊销执照，或吊销资质证书</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投标人进入清算程序，或被宣告破产，或其他丧失履约能力的情形</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投标人被市场监管机关在国家企业信用信息公示系统中列入严重违法失信企业名单</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投标人或其法定代表人被最高人民法院在“信用中国”网站列入失信被执行人名单</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lang w:val="en-US" w:eastAsia="zh-CN"/>
        </w:rPr>
        <w:t>投标人被列入重大税收违法案件当事人名单、政府采购严重违法失信行为记录名单的；</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在近三年内投标人或其法定代表人、拟委任的项目负责人有行贿犯罪行为</w:t>
      </w:r>
      <w:r>
        <w:rPr>
          <w:rFonts w:hint="eastAsia" w:asciiTheme="minorEastAsia" w:hAnsiTheme="minorEastAsia" w:eastAsiaTheme="minorEastAsia" w:cstheme="minorEastAsia"/>
          <w:snapToGrid w:val="0"/>
          <w:color w:val="auto"/>
          <w:kern w:val="0"/>
          <w:sz w:val="24"/>
          <w:lang w:val="en-US" w:eastAsia="zh-CN"/>
        </w:rPr>
        <w:t>的</w:t>
      </w:r>
      <w:r>
        <w:rPr>
          <w:rFonts w:hint="eastAsia" w:asciiTheme="minorEastAsia" w:hAnsiTheme="minorEastAsia" w:eastAsiaTheme="minorEastAsia" w:cstheme="minorEastAsia"/>
          <w:snapToGrid w:val="0"/>
          <w:color w:val="auto"/>
          <w:kern w:val="0"/>
          <w:sz w:val="24"/>
        </w:rPr>
        <w:t>；</w:t>
      </w:r>
    </w:p>
    <w:p>
      <w:pPr>
        <w:keepNext w:val="0"/>
        <w:keepLines w:val="0"/>
        <w:pageBreakBefore w:val="0"/>
        <w:widowControl/>
        <w:numPr>
          <w:ilvl w:val="1"/>
          <w:numId w:val="13"/>
        </w:numPr>
        <w:shd w:val="clear" w:color="auto" w:fill="FFFFFF"/>
        <w:kinsoku/>
        <w:overflowPunct/>
        <w:topLinePunct w:val="0"/>
        <w:autoSpaceDE/>
        <w:autoSpaceDN/>
        <w:bidi w:val="0"/>
        <w:snapToGrid w:val="0"/>
        <w:spacing w:beforeAutospacing="0" w:afterAutospacing="0" w:line="360" w:lineRule="auto"/>
        <w:ind w:left="1023" w:leftChars="190" w:right="0" w:rightChars="0" w:hanging="624" w:hangingChars="26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其他未对招标文件实质性要求和条件作出响应的：</w:t>
      </w:r>
    </w:p>
    <w:p>
      <w:pPr>
        <w:keepNext w:val="0"/>
        <w:keepLines w:val="0"/>
        <w:pageBreakBefore w:val="0"/>
        <w:widowControl/>
        <w:numPr>
          <w:ilvl w:val="2"/>
          <w:numId w:val="13"/>
        </w:numPr>
        <w:shd w:val="clear" w:color="auto" w:fill="FFFFFF"/>
        <w:kinsoku/>
        <w:overflowPunct/>
        <w:topLinePunct w:val="0"/>
        <w:autoSpaceDE/>
        <w:autoSpaceDN/>
        <w:bidi w:val="0"/>
        <w:snapToGrid w:val="0"/>
        <w:spacing w:beforeAutospacing="0" w:afterAutospacing="0" w:line="360" w:lineRule="auto"/>
        <w:ind w:left="960" w:leftChars="457" w:right="0" w:rightChars="0" w:firstLine="0" w:firstLineChars="0"/>
        <w:textAlignment w:val="auto"/>
        <w:rPr>
          <w:rFonts w:hint="eastAsia" w:asciiTheme="minorEastAsia" w:hAnsiTheme="minorEastAsia" w:eastAsiaTheme="minorEastAsia" w:cstheme="minorEastAsia"/>
          <w:snapToGrid w:val="0"/>
          <w:color w:val="auto"/>
          <w:kern w:val="0"/>
          <w:sz w:val="24"/>
          <w:lang w:val="zh-CN"/>
        </w:rPr>
      </w:pPr>
      <w:r>
        <w:rPr>
          <w:rFonts w:hint="eastAsia" w:asciiTheme="minorEastAsia" w:hAnsiTheme="minorEastAsia" w:eastAsiaTheme="minorEastAsia" w:cstheme="minorEastAsia"/>
          <w:snapToGrid w:val="0"/>
          <w:color w:val="auto"/>
          <w:kern w:val="0"/>
          <w:sz w:val="24"/>
          <w:lang w:val="zh-CN"/>
        </w:rPr>
        <w:t>投标文件不满足招标文件加注星号（</w:t>
      </w:r>
      <w:r>
        <w:rPr>
          <w:rFonts w:hint="eastAsia" w:asciiTheme="minorEastAsia" w:hAnsiTheme="minorEastAsia" w:eastAsiaTheme="minorEastAsia" w:cstheme="minorEastAsia"/>
          <w:snapToGrid w:val="0"/>
          <w:color w:val="auto"/>
          <w:kern w:val="0"/>
          <w:sz w:val="24"/>
          <w:lang w:val="fi-FI"/>
        </w:rPr>
        <w:t>“</w:t>
      </w:r>
      <w:r>
        <w:rPr>
          <w:rFonts w:hint="eastAsia" w:asciiTheme="minorEastAsia" w:hAnsiTheme="minorEastAsia" w:eastAsiaTheme="minorEastAsia" w:cstheme="minorEastAsia"/>
          <w:snapToGrid w:val="0"/>
          <w:color w:val="auto"/>
          <w:kern w:val="0"/>
          <w:sz w:val="24"/>
          <w:lang w:val="fi-FI" w:eastAsia="zh-CN"/>
        </w:rPr>
        <w:t>★</w:t>
      </w:r>
      <w:r>
        <w:rPr>
          <w:rFonts w:hint="eastAsia" w:asciiTheme="minorEastAsia" w:hAnsiTheme="minorEastAsia" w:eastAsiaTheme="minorEastAsia" w:cstheme="minorEastAsia"/>
          <w:snapToGrid w:val="0"/>
          <w:color w:val="auto"/>
          <w:kern w:val="0"/>
          <w:sz w:val="24"/>
          <w:lang w:val="fi-FI"/>
        </w:rPr>
        <w:t>”</w:t>
      </w:r>
      <w:r>
        <w:rPr>
          <w:rFonts w:hint="eastAsia" w:asciiTheme="minorEastAsia" w:hAnsiTheme="minorEastAsia" w:eastAsiaTheme="minorEastAsia" w:cstheme="minorEastAsia"/>
          <w:snapToGrid w:val="0"/>
          <w:color w:val="auto"/>
          <w:kern w:val="0"/>
          <w:sz w:val="24"/>
          <w:lang w:val="zh-CN"/>
        </w:rPr>
        <w:t>）的条款或参数要求的；</w:t>
      </w:r>
    </w:p>
    <w:p>
      <w:pPr>
        <w:keepNext w:val="0"/>
        <w:keepLines w:val="0"/>
        <w:pageBreakBefore w:val="0"/>
        <w:widowControl/>
        <w:numPr>
          <w:ilvl w:val="2"/>
          <w:numId w:val="13"/>
        </w:numPr>
        <w:shd w:val="clear" w:color="auto" w:fill="FFFFFF"/>
        <w:kinsoku/>
        <w:overflowPunct/>
        <w:topLinePunct w:val="0"/>
        <w:autoSpaceDE/>
        <w:autoSpaceDN/>
        <w:bidi w:val="0"/>
        <w:snapToGrid w:val="0"/>
        <w:spacing w:beforeAutospacing="0" w:afterAutospacing="0" w:line="360" w:lineRule="auto"/>
        <w:ind w:left="960" w:leftChars="457" w:right="0" w:rightChars="0" w:firstLine="0" w:firstLineChars="0"/>
        <w:textAlignment w:val="auto"/>
        <w:rPr>
          <w:rFonts w:hint="eastAsia" w:asciiTheme="minorEastAsia" w:hAnsiTheme="minorEastAsia" w:eastAsiaTheme="minorEastAsia" w:cstheme="minorEastAsia"/>
          <w:snapToGrid w:val="0"/>
          <w:color w:val="auto"/>
          <w:kern w:val="0"/>
          <w:sz w:val="24"/>
          <w:lang w:val="zh-CN"/>
        </w:rPr>
      </w:pPr>
      <w:r>
        <w:rPr>
          <w:rFonts w:hint="eastAsia" w:asciiTheme="minorEastAsia" w:hAnsiTheme="minorEastAsia" w:eastAsiaTheme="minorEastAsia" w:cstheme="minorEastAsia"/>
          <w:snapToGrid w:val="0"/>
          <w:color w:val="auto"/>
          <w:kern w:val="0"/>
          <w:sz w:val="24"/>
          <w:lang w:val="en-US" w:eastAsia="zh-CN"/>
        </w:rPr>
        <w:t>未提供近3年投标人重大违法的书面声明；</w:t>
      </w:r>
    </w:p>
    <w:p>
      <w:pPr>
        <w:keepNext w:val="0"/>
        <w:keepLines w:val="0"/>
        <w:pageBreakBefore w:val="0"/>
        <w:widowControl/>
        <w:numPr>
          <w:ilvl w:val="2"/>
          <w:numId w:val="13"/>
        </w:numPr>
        <w:shd w:val="clear" w:color="auto" w:fill="FFFFFF"/>
        <w:kinsoku/>
        <w:overflowPunct/>
        <w:topLinePunct w:val="0"/>
        <w:autoSpaceDE/>
        <w:autoSpaceDN/>
        <w:bidi w:val="0"/>
        <w:snapToGrid w:val="0"/>
        <w:spacing w:beforeAutospacing="0" w:afterAutospacing="0" w:line="360" w:lineRule="auto"/>
        <w:ind w:left="960" w:leftChars="457" w:right="0" w:rightChars="0" w:firstLine="0" w:firstLineChars="0"/>
        <w:textAlignment w:val="auto"/>
        <w:rPr>
          <w:rFonts w:hint="eastAsia" w:asciiTheme="minorEastAsia" w:hAnsiTheme="minorEastAsia" w:eastAsiaTheme="minorEastAsia" w:cstheme="minorEastAsia"/>
          <w:snapToGrid w:val="0"/>
          <w:color w:val="auto"/>
          <w:kern w:val="0"/>
          <w:sz w:val="24"/>
          <w:lang w:val="zh-CN"/>
        </w:rPr>
      </w:pPr>
      <w:r>
        <w:rPr>
          <w:rFonts w:hint="eastAsia" w:asciiTheme="minorEastAsia" w:hAnsiTheme="minorEastAsia" w:eastAsiaTheme="minorEastAsia" w:cstheme="minorEastAsia"/>
          <w:snapToGrid w:val="0"/>
          <w:color w:val="auto"/>
          <w:kern w:val="0"/>
          <w:sz w:val="24"/>
          <w:lang w:val="en-US" w:eastAsia="zh-CN"/>
        </w:rPr>
        <w:t>未提供近3年投标人无行贿犯罪情况的书面声明；</w:t>
      </w:r>
    </w:p>
    <w:p>
      <w:pPr>
        <w:keepNext w:val="0"/>
        <w:keepLines w:val="0"/>
        <w:pageBreakBefore w:val="0"/>
        <w:widowControl/>
        <w:numPr>
          <w:ilvl w:val="0"/>
          <w:numId w:val="13"/>
        </w:numPr>
        <w:shd w:val="clear" w:color="auto" w:fill="FFFFFF"/>
        <w:kinsoku/>
        <w:overflowPunct/>
        <w:topLinePunct w:val="0"/>
        <w:autoSpaceDE/>
        <w:autoSpaceDN/>
        <w:bidi w:val="0"/>
        <w:snapToGrid w:val="0"/>
        <w:spacing w:beforeAutospacing="0" w:afterAutospacing="0" w:line="360" w:lineRule="auto"/>
        <w:ind w:left="425" w:right="0" w:rightChars="0" w:hanging="424" w:hangingChars="177"/>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投标人有串通投标、弄虚作假、妨碍其他投标人的竞争、损害招标人或者其他投标人的合法权益等行为的。</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rPr>
      </w:pPr>
      <w:r>
        <w:rPr>
          <w:rFonts w:hint="eastAsia" w:asciiTheme="minorEastAsia" w:hAnsiTheme="minorEastAsia" w:eastAsiaTheme="minorEastAsia" w:cstheme="minorEastAsia"/>
          <w:b/>
          <w:bCs/>
          <w:snapToGrid w:val="0"/>
          <w:color w:val="auto"/>
          <w:kern w:val="0"/>
          <w:sz w:val="24"/>
        </w:rPr>
        <w:t>(二) 澄清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53" w:leftChars="73" w:right="0" w:rightChars="0" w:firstLine="480" w:firstLineChars="200"/>
        <w:jc w:val="both"/>
        <w:textAlignment w:val="auto"/>
        <w:outlineLvl w:val="9"/>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color w:val="auto"/>
          <w:sz w:val="24"/>
          <w:szCs w:val="24"/>
        </w:rPr>
        <w:t>评标过程中，对于投标文件中含义不明确、同类问题表述不一致或者有明显文字和计算错误的内容，评标委员会应当以书面形式要求投标人在合理期限内作出必要的澄清、说明或者补正。投标人的澄清、说明或者补正应当采用书面形式，并加盖公章，或者由法定代表人（单位负责人）或其授权的代表签字。投标人的澄清、说明或者补正不得超出投标文件的范围或者改变投标文件的实质性内容</w:t>
      </w:r>
      <w:r>
        <w:rPr>
          <w:rFonts w:hint="eastAsia" w:asciiTheme="minorEastAsia" w:hAnsiTheme="minorEastAsia" w:eastAsiaTheme="minorEastAsia" w:cstheme="minorEastAsia"/>
          <w:snapToGrid w:val="0"/>
          <w:color w:val="auto"/>
          <w:kern w:val="0"/>
          <w:sz w:val="24"/>
        </w:rPr>
        <w:t>。评标委员会对投标人提交的回复有疑问的，可以要求投标人进一步澄清，直至满足评标委员会的要求。</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rPr>
      </w:pPr>
      <w:r>
        <w:rPr>
          <w:rFonts w:hint="eastAsia" w:asciiTheme="minorEastAsia" w:hAnsiTheme="minorEastAsia" w:eastAsiaTheme="minorEastAsia" w:cstheme="minorEastAsia"/>
          <w:b/>
          <w:snapToGrid w:val="0"/>
          <w:color w:val="auto"/>
          <w:kern w:val="0"/>
          <w:sz w:val="24"/>
          <w:szCs w:val="24"/>
        </w:rPr>
        <w:t xml:space="preserve">(三) </w:t>
      </w:r>
      <w:r>
        <w:rPr>
          <w:rFonts w:hint="eastAsia" w:asciiTheme="minorEastAsia" w:hAnsiTheme="minorEastAsia" w:eastAsiaTheme="minorEastAsia" w:cstheme="minorEastAsia"/>
          <w:b/>
          <w:bCs/>
          <w:snapToGrid w:val="0"/>
          <w:color w:val="auto"/>
          <w:kern w:val="0"/>
          <w:sz w:val="24"/>
        </w:rPr>
        <w:t>修正</w:t>
      </w:r>
    </w:p>
    <w:p>
      <w:pPr>
        <w:keepNext w:val="0"/>
        <w:keepLines w:val="0"/>
        <w:pageBreakBefore w:val="0"/>
        <w:widowControl/>
        <w:shd w:val="clear" w:color="auto" w:fill="FFFFFF"/>
        <w:kinsoku/>
        <w:overflowPunct/>
        <w:topLinePunct w:val="0"/>
        <w:autoSpaceDE/>
        <w:autoSpaceDN/>
        <w:bidi w:val="0"/>
        <w:snapToGrid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color w:val="auto"/>
          <w:sz w:val="24"/>
          <w:szCs w:val="24"/>
        </w:rPr>
        <w:t>投标文件报价出现前后不一致的，按照下列规定修正：</w:t>
      </w:r>
      <w:r>
        <w:rPr>
          <w:rFonts w:hint="eastAsia" w:asciiTheme="minorEastAsia" w:hAnsiTheme="minorEastAsia" w:eastAsiaTheme="minorEastAsia" w:cstheme="minorEastAsia"/>
          <w:snapToGrid w:val="0"/>
          <w:color w:val="auto"/>
          <w:kern w:val="0"/>
          <w:sz w:val="24"/>
        </w:rPr>
        <w:t xml:space="preserve"> </w:t>
      </w:r>
    </w:p>
    <w:p>
      <w:pPr>
        <w:keepNext w:val="0"/>
        <w:keepLines w:val="0"/>
        <w:pageBreakBefore w:val="0"/>
        <w:numPr>
          <w:ilvl w:val="0"/>
          <w:numId w:val="14"/>
        </w:numPr>
        <w:kinsoku/>
        <w:overflowPunct/>
        <w:topLinePunct w:val="0"/>
        <w:autoSpaceDE/>
        <w:autoSpaceDN/>
        <w:bidi w:val="0"/>
        <w:adjustRightInd w:val="0"/>
        <w:snapToGrid w:val="0"/>
        <w:spacing w:beforeAutospacing="0" w:afterAutospacing="0" w:line="360" w:lineRule="auto"/>
        <w:ind w:left="855" w:leftChars="229" w:right="0" w:rightChars="0" w:hanging="374" w:hangingChars="156"/>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投标文件中开标一览表（报价表）内容与投标文件中相应内容不一致的，以开标一览表（报价表）为准；</w:t>
      </w:r>
    </w:p>
    <w:p>
      <w:pPr>
        <w:keepNext w:val="0"/>
        <w:keepLines w:val="0"/>
        <w:pageBreakBefore w:val="0"/>
        <w:numPr>
          <w:ilvl w:val="0"/>
          <w:numId w:val="14"/>
        </w:numPr>
        <w:kinsoku/>
        <w:overflowPunct/>
        <w:topLinePunct w:val="0"/>
        <w:autoSpaceDE/>
        <w:autoSpaceDN/>
        <w:bidi w:val="0"/>
        <w:adjustRightInd w:val="0"/>
        <w:snapToGrid w:val="0"/>
        <w:spacing w:beforeAutospacing="0" w:afterAutospacing="0" w:line="360" w:lineRule="auto"/>
        <w:ind w:left="855" w:leftChars="229" w:right="0" w:rightChars="0" w:hanging="374" w:hangingChars="156"/>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大写金额和小写金额不一致的，以大写金额为准；</w:t>
      </w:r>
    </w:p>
    <w:p>
      <w:pPr>
        <w:keepNext w:val="0"/>
        <w:keepLines w:val="0"/>
        <w:pageBreakBefore w:val="0"/>
        <w:numPr>
          <w:ilvl w:val="0"/>
          <w:numId w:val="14"/>
        </w:numPr>
        <w:kinsoku/>
        <w:overflowPunct/>
        <w:topLinePunct w:val="0"/>
        <w:autoSpaceDE/>
        <w:autoSpaceDN/>
        <w:bidi w:val="0"/>
        <w:adjustRightInd w:val="0"/>
        <w:snapToGrid w:val="0"/>
        <w:spacing w:beforeAutospacing="0" w:afterAutospacing="0" w:line="360" w:lineRule="auto"/>
        <w:ind w:left="855" w:leftChars="229" w:right="0" w:rightChars="0" w:hanging="374" w:hangingChars="156"/>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单价金额小数点或者百分比有明显错位的，以开标一览表的总价为准，并修改单价；</w:t>
      </w:r>
    </w:p>
    <w:p>
      <w:pPr>
        <w:keepNext w:val="0"/>
        <w:keepLines w:val="0"/>
        <w:pageBreakBefore w:val="0"/>
        <w:numPr>
          <w:ilvl w:val="0"/>
          <w:numId w:val="14"/>
        </w:numPr>
        <w:kinsoku/>
        <w:overflowPunct/>
        <w:topLinePunct w:val="0"/>
        <w:autoSpaceDE/>
        <w:autoSpaceDN/>
        <w:bidi w:val="0"/>
        <w:adjustRightInd w:val="0"/>
        <w:snapToGrid w:val="0"/>
        <w:spacing w:beforeAutospacing="0" w:afterAutospacing="0" w:line="360" w:lineRule="auto"/>
        <w:ind w:left="855" w:leftChars="229" w:right="0" w:rightChars="0" w:hanging="374" w:hangingChars="156"/>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总价金额与按单价汇总金额不一致的，以单价金额计算结果为准。</w:t>
      </w:r>
    </w:p>
    <w:p>
      <w:pPr>
        <w:keepNext w:val="0"/>
        <w:keepLines w:val="0"/>
        <w:pageBreakBefore w:val="0"/>
        <w:kinsoku/>
        <w:overflowPunct/>
        <w:topLinePunct w:val="0"/>
        <w:autoSpaceDE/>
        <w:autoSpaceDN/>
        <w:bidi w:val="0"/>
        <w:adjustRightInd w:val="0"/>
        <w:snapToGrid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color w:val="auto"/>
          <w:sz w:val="24"/>
          <w:szCs w:val="24"/>
        </w:rPr>
        <w:t>同时出现两种以上不一致的，按照前款规定的顺序修正。</w:t>
      </w:r>
      <w:r>
        <w:rPr>
          <w:rFonts w:hint="eastAsia" w:asciiTheme="minorEastAsia" w:hAnsiTheme="minorEastAsia" w:eastAsiaTheme="minorEastAsia" w:cstheme="minorEastAsia"/>
          <w:snapToGrid w:val="0"/>
          <w:color w:val="auto"/>
          <w:kern w:val="0"/>
          <w:sz w:val="24"/>
        </w:rPr>
        <w:t>评标委员会要求投标人对投标报价进行书面确认。投标人不确认的，其投标无效。</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szCs w:val="24"/>
          <w:lang w:eastAsia="zh-CN"/>
        </w:rPr>
      </w:pPr>
      <w:r>
        <w:rPr>
          <w:rFonts w:hint="eastAsia" w:asciiTheme="minorEastAsia" w:hAnsiTheme="minorEastAsia" w:eastAsiaTheme="minorEastAsia" w:cstheme="minorEastAsia"/>
          <w:b/>
          <w:snapToGrid w:val="0"/>
          <w:color w:val="auto"/>
          <w:kern w:val="0"/>
          <w:sz w:val="24"/>
          <w:szCs w:val="24"/>
        </w:rPr>
        <w:t xml:space="preserve">(四) </w:t>
      </w:r>
      <w:r>
        <w:rPr>
          <w:rFonts w:hint="eastAsia" w:asciiTheme="minorEastAsia" w:hAnsiTheme="minorEastAsia" w:eastAsiaTheme="minorEastAsia" w:cstheme="minorEastAsia"/>
          <w:snapToGrid w:val="0"/>
          <w:color w:val="auto"/>
          <w:kern w:val="0"/>
          <w:sz w:val="24"/>
        </w:rPr>
        <w:t>评标委员会认为投标人的报价明显低于其他通过符合性审查投标人的报价，有可能影响产品质量或者不能诚信履约的，应当要求投标人在评标现场合理的时间内提供书面说明，必要时提交相关证明材料；投标人不能证明其报价合理性的，评标委员会应当将其作为无效投标处理</w:t>
      </w:r>
      <w:r>
        <w:rPr>
          <w:rFonts w:hint="eastAsia" w:asciiTheme="minorEastAsia" w:hAnsiTheme="minorEastAsia" w:eastAsiaTheme="minorEastAsia" w:cstheme="minorEastAsia"/>
          <w:snapToGrid w:val="0"/>
          <w:color w:val="auto"/>
          <w:kern w:val="0"/>
          <w:sz w:val="24"/>
          <w:lang w:eastAsia="zh-CN"/>
        </w:rPr>
        <w:t>。</w:t>
      </w:r>
    </w:p>
    <w:p>
      <w:pPr>
        <w:pStyle w:val="16"/>
        <w:keepNext w:val="0"/>
        <w:keepLines w:val="0"/>
        <w:pageBreakBefore w:val="0"/>
        <w:kinsoku/>
        <w:overflowPunct/>
        <w:topLinePunct w:val="0"/>
        <w:autoSpaceDE/>
        <w:autoSpaceDN/>
        <w:bidi w:val="0"/>
        <w:spacing w:beforeAutospacing="0" w:afterAutospacing="0" w:line="360" w:lineRule="auto"/>
        <w:ind w:right="0" w:rightChars="0"/>
        <w:textAlignment w:val="auto"/>
        <w:outlineLvl w:val="2"/>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(五)详细评审</w:t>
      </w:r>
    </w:p>
    <w:p>
      <w:pPr>
        <w:keepNext w:val="0"/>
        <w:keepLines w:val="0"/>
        <w:pageBreakBefore w:val="0"/>
        <w:kinsoku/>
        <w:overflowPunct/>
        <w:topLinePunct w:val="0"/>
        <w:autoSpaceDE/>
        <w:autoSpaceDN/>
        <w:bidi w:val="0"/>
        <w:adjustRightInd w:val="0"/>
        <w:snapToGrid w:val="0"/>
        <w:spacing w:beforeAutospacing="0" w:afterAutospacing="0" w:line="360" w:lineRule="auto"/>
        <w:ind w:right="0" w:rightChars="0"/>
        <w:textAlignment w:val="auto"/>
        <w:rPr>
          <w:rFonts w:hint="eastAsia" w:asciiTheme="minorEastAsia" w:hAnsiTheme="minorEastAsia" w:eastAsiaTheme="minorEastAsia" w:cstheme="minorEastAsia"/>
          <w:b/>
          <w:bCs/>
          <w:snapToGrid w:val="0"/>
          <w:color w:val="auto"/>
          <w:kern w:val="0"/>
          <w:sz w:val="24"/>
          <w:u w:val="none"/>
        </w:rPr>
      </w:pPr>
      <w:r>
        <w:rPr>
          <w:rFonts w:hint="eastAsia" w:asciiTheme="minorEastAsia" w:hAnsiTheme="minorEastAsia" w:eastAsiaTheme="minorEastAsia" w:cstheme="minorEastAsia"/>
          <w:b/>
          <w:snapToGrid w:val="0"/>
          <w:color w:val="auto"/>
          <w:kern w:val="0"/>
          <w:sz w:val="24"/>
        </w:rPr>
        <w:t>1、</w:t>
      </w:r>
      <w:r>
        <w:rPr>
          <w:rFonts w:hint="eastAsia" w:asciiTheme="minorEastAsia" w:hAnsiTheme="minorEastAsia" w:eastAsiaTheme="minorEastAsia" w:cstheme="minorEastAsia"/>
          <w:b/>
          <w:bCs/>
          <w:snapToGrid w:val="0"/>
          <w:color w:val="auto"/>
          <w:kern w:val="0"/>
          <w:sz w:val="24"/>
        </w:rPr>
        <w:t>技术</w:t>
      </w:r>
      <w:r>
        <w:rPr>
          <w:rFonts w:hint="eastAsia" w:asciiTheme="minorEastAsia" w:hAnsiTheme="minorEastAsia" w:eastAsiaTheme="minorEastAsia" w:cstheme="minorEastAsia"/>
          <w:b/>
          <w:bCs/>
          <w:snapToGrid w:val="0"/>
          <w:color w:val="auto"/>
          <w:kern w:val="0"/>
          <w:sz w:val="24"/>
          <w:lang w:eastAsia="zh-CN"/>
        </w:rPr>
        <w:t>商务部分</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554"/>
        <w:gridCol w:w="819"/>
        <w:gridCol w:w="5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序号</w:t>
            </w:r>
          </w:p>
        </w:tc>
        <w:tc>
          <w:tcPr>
            <w:tcW w:w="918" w:type="pct"/>
            <w:vAlign w:val="center"/>
          </w:tcPr>
          <w:p>
            <w:pPr>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评审内容</w:t>
            </w:r>
          </w:p>
        </w:tc>
        <w:tc>
          <w:tcPr>
            <w:tcW w:w="484" w:type="pct"/>
            <w:vAlign w:val="center"/>
          </w:tcPr>
          <w:p>
            <w:pPr>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分值</w:t>
            </w:r>
          </w:p>
        </w:tc>
        <w:tc>
          <w:tcPr>
            <w:tcW w:w="3159" w:type="pct"/>
            <w:vAlign w:val="center"/>
          </w:tcPr>
          <w:p>
            <w:pPr>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918" w:type="pct"/>
            <w:vAlign w:val="center"/>
          </w:tcPr>
          <w:p>
            <w:pPr>
              <w:jc w:val="center"/>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技术响应程度【</w:t>
            </w:r>
            <w:r>
              <w:rPr>
                <w:rFonts w:hint="eastAsia" w:asciiTheme="minorEastAsia" w:hAnsiTheme="minorEastAsia" w:eastAsiaTheme="minorEastAsia" w:cstheme="minorEastAsia"/>
                <w:b w:val="0"/>
                <w:bCs/>
                <w:color w:val="auto"/>
                <w:sz w:val="24"/>
                <w:szCs w:val="24"/>
              </w:rPr>
              <w:t>客观分</w:t>
            </w:r>
            <w:r>
              <w:rPr>
                <w:rFonts w:hint="eastAsia" w:asciiTheme="minorEastAsia" w:hAnsiTheme="minorEastAsia" w:eastAsiaTheme="minorEastAsia" w:cstheme="minorEastAsia"/>
                <w:color w:val="auto"/>
                <w:kern w:val="2"/>
                <w:sz w:val="24"/>
                <w:szCs w:val="24"/>
                <w:lang w:val="en-US" w:eastAsia="zh-CN" w:bidi="ar-SA"/>
              </w:rPr>
              <w:t>】</w:t>
            </w:r>
          </w:p>
        </w:tc>
        <w:tc>
          <w:tcPr>
            <w:tcW w:w="484" w:type="pct"/>
            <w:vAlign w:val="center"/>
          </w:tcPr>
          <w:p>
            <w:pPr>
              <w:jc w:val="center"/>
              <w:rPr>
                <w:rFonts w:hint="default"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rPr>
              <w:t>40</w:t>
            </w:r>
          </w:p>
        </w:tc>
        <w:tc>
          <w:tcPr>
            <w:tcW w:w="3159" w:type="pct"/>
            <w:vAlign w:val="center"/>
          </w:tcPr>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投标设备技术参数完全符合招标文件要求的，得40分；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不满足带“▲”项技术条款的，每项扣4分；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不满足非“▲”项技术条款的，每项扣2分；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w:t>
            </w:r>
          </w:p>
        </w:tc>
        <w:tc>
          <w:tcPr>
            <w:tcW w:w="918" w:type="pct"/>
            <w:vAlign w:val="center"/>
          </w:tcPr>
          <w:p>
            <w:pPr>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产品整体性能、产品先进性</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主观分</w:t>
            </w:r>
            <w:r>
              <w:rPr>
                <w:rFonts w:hint="eastAsia" w:asciiTheme="minorEastAsia" w:hAnsiTheme="minorEastAsia" w:eastAsiaTheme="minorEastAsia" w:cstheme="minorEastAsia"/>
                <w:b w:val="0"/>
                <w:bCs/>
                <w:color w:val="auto"/>
                <w:sz w:val="24"/>
                <w:szCs w:val="24"/>
                <w:lang w:val="en-US" w:eastAsia="zh-CN"/>
              </w:rPr>
              <w:t>】</w:t>
            </w:r>
          </w:p>
        </w:tc>
        <w:tc>
          <w:tcPr>
            <w:tcW w:w="484"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w:t>
            </w:r>
          </w:p>
        </w:tc>
        <w:tc>
          <w:tcPr>
            <w:tcW w:w="3159" w:type="pct"/>
            <w:vAlign w:val="center"/>
          </w:tcPr>
          <w:p>
            <w:pP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产品整体性能优异、先进性好，10分；</w:t>
            </w:r>
          </w:p>
          <w:p>
            <w:pP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产品整体性能良好、先进性较好，8分；</w:t>
            </w:r>
          </w:p>
          <w:p>
            <w:pP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产品整体性能一般、先进性一般，6分；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产品整体性能较差、先进性差，4分。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w:t>
            </w:r>
          </w:p>
        </w:tc>
        <w:tc>
          <w:tcPr>
            <w:tcW w:w="918" w:type="pct"/>
            <w:vAlign w:val="center"/>
          </w:tcPr>
          <w:p>
            <w:pPr>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售后服务</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主观分</w:t>
            </w:r>
            <w:r>
              <w:rPr>
                <w:rFonts w:hint="eastAsia" w:asciiTheme="minorEastAsia" w:hAnsiTheme="minorEastAsia" w:eastAsiaTheme="minorEastAsia" w:cstheme="minorEastAsia"/>
                <w:b w:val="0"/>
                <w:bCs/>
                <w:color w:val="auto"/>
                <w:sz w:val="24"/>
                <w:szCs w:val="24"/>
                <w:lang w:val="en-US" w:eastAsia="zh-CN"/>
              </w:rPr>
              <w:t>】</w:t>
            </w:r>
          </w:p>
        </w:tc>
        <w:tc>
          <w:tcPr>
            <w:tcW w:w="484"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w:t>
            </w:r>
          </w:p>
        </w:tc>
        <w:tc>
          <w:tcPr>
            <w:tcW w:w="3159" w:type="pct"/>
            <w:vAlign w:val="center"/>
          </w:tcPr>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售后服务方案和售后能力合理的得10分；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售后服务方案和售后能力较合理的7分；</w:t>
            </w:r>
          </w:p>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售后服务方案和售后能力合理性一般的得4分；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w:t>
            </w:r>
          </w:p>
        </w:tc>
        <w:tc>
          <w:tcPr>
            <w:tcW w:w="918"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类似业绩情况</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b w:val="0"/>
                <w:bCs/>
                <w:color w:val="auto"/>
                <w:sz w:val="24"/>
                <w:szCs w:val="24"/>
              </w:rPr>
              <w:t>客观分</w:t>
            </w:r>
            <w:r>
              <w:rPr>
                <w:rFonts w:hint="eastAsia" w:asciiTheme="minorEastAsia" w:hAnsiTheme="minorEastAsia" w:eastAsiaTheme="minorEastAsia" w:cstheme="minorEastAsia"/>
                <w:color w:val="auto"/>
                <w:kern w:val="2"/>
                <w:sz w:val="24"/>
                <w:szCs w:val="24"/>
                <w:lang w:val="en-US" w:eastAsia="zh-CN" w:bidi="ar-SA"/>
              </w:rPr>
              <w:t>】</w:t>
            </w:r>
          </w:p>
        </w:tc>
        <w:tc>
          <w:tcPr>
            <w:tcW w:w="484" w:type="pct"/>
            <w:vAlign w:val="center"/>
          </w:tcPr>
          <w:p>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w:t>
            </w:r>
          </w:p>
        </w:tc>
        <w:tc>
          <w:tcPr>
            <w:tcW w:w="3159" w:type="pct"/>
            <w:vAlign w:val="center"/>
          </w:tcPr>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投标人或投标产品的类似业绩，以2021年1月1日以来签订的合同复印件为准，每份合同1分，最多5分，是否属于有效业绩由评标委员会认定。复印件要求字体和印章清晰（部分保密内容可进行隐藏处理），如提供复印件不清晰而无法辨认，则评标时将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918" w:type="pct"/>
            <w:vAlign w:val="center"/>
          </w:tcPr>
          <w:p>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厂家授权函</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b w:val="0"/>
                <w:bCs/>
                <w:color w:val="auto"/>
                <w:sz w:val="24"/>
                <w:szCs w:val="24"/>
              </w:rPr>
              <w:t>客观分</w:t>
            </w:r>
            <w:r>
              <w:rPr>
                <w:rFonts w:hint="eastAsia" w:asciiTheme="minorEastAsia" w:hAnsiTheme="minorEastAsia" w:eastAsiaTheme="minorEastAsia" w:cstheme="minorEastAsia"/>
                <w:color w:val="auto"/>
                <w:kern w:val="2"/>
                <w:sz w:val="24"/>
                <w:szCs w:val="24"/>
                <w:lang w:val="en-US" w:eastAsia="zh-CN" w:bidi="ar-SA"/>
              </w:rPr>
              <w:t>】</w:t>
            </w:r>
          </w:p>
        </w:tc>
        <w:tc>
          <w:tcPr>
            <w:tcW w:w="484"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w:t>
            </w:r>
          </w:p>
        </w:tc>
        <w:tc>
          <w:tcPr>
            <w:tcW w:w="3159" w:type="pct"/>
            <w:vAlign w:val="center"/>
          </w:tcPr>
          <w:p>
            <w:pP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投标人非投标产品制造商时，投标文件中提供制造厂家授权书（含投标产品销售代理证书等）的，或者投标人为制造商的，得5分，否则不得分。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pct"/>
            <w:gridSpan w:val="2"/>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sz w:val="24"/>
                <w:szCs w:val="24"/>
              </w:rPr>
              <w:t>技术商务小计</w:t>
            </w:r>
          </w:p>
        </w:tc>
        <w:tc>
          <w:tcPr>
            <w:tcW w:w="484" w:type="pct"/>
            <w:vAlign w:val="center"/>
          </w:tcPr>
          <w:p>
            <w:pPr>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70</w:t>
            </w:r>
          </w:p>
        </w:tc>
        <w:tc>
          <w:tcPr>
            <w:tcW w:w="3159" w:type="pct"/>
            <w:vAlign w:val="center"/>
          </w:tcPr>
          <w:p>
            <w:pPr>
              <w:rPr>
                <w:rFonts w:hint="eastAsia" w:asciiTheme="minorEastAsia" w:hAnsiTheme="minorEastAsia" w:eastAsiaTheme="minorEastAsia" w:cstheme="minorEastAsia"/>
                <w:b w:val="0"/>
                <w:bCs/>
                <w:color w:val="auto"/>
                <w:sz w:val="24"/>
                <w:szCs w:val="24"/>
              </w:rPr>
            </w:pPr>
          </w:p>
        </w:tc>
      </w:tr>
    </w:tbl>
    <w:p>
      <w:pPr>
        <w:keepNext w:val="0"/>
        <w:keepLines w:val="0"/>
        <w:pageBreakBefore w:val="0"/>
        <w:kinsoku/>
        <w:overflowPunct/>
        <w:topLinePunct w:val="0"/>
        <w:autoSpaceDE/>
        <w:autoSpaceDN/>
        <w:bidi w:val="0"/>
        <w:adjustRightInd w:val="0"/>
        <w:snapToGrid w:val="0"/>
        <w:spacing w:beforeAutospacing="0" w:afterAutospacing="0" w:line="360" w:lineRule="auto"/>
        <w:ind w:right="0" w:rightChars="0"/>
        <w:textAlignment w:val="auto"/>
        <w:rPr>
          <w:rFonts w:hint="eastAsia" w:asciiTheme="minorEastAsia" w:hAnsiTheme="minorEastAsia" w:eastAsiaTheme="minorEastAsia" w:cstheme="minorEastAsia"/>
          <w:b/>
          <w:snapToGrid w:val="0"/>
          <w:color w:val="auto"/>
          <w:kern w:val="0"/>
          <w:sz w:val="24"/>
        </w:rPr>
      </w:pPr>
    </w:p>
    <w:p>
      <w:pPr>
        <w:keepNext w:val="0"/>
        <w:keepLines w:val="0"/>
        <w:pageBreakBefore w:val="0"/>
        <w:kinsoku/>
        <w:overflowPunct/>
        <w:topLinePunct w:val="0"/>
        <w:autoSpaceDE/>
        <w:autoSpaceDN/>
        <w:bidi w:val="0"/>
        <w:adjustRightInd w:val="0"/>
        <w:snapToGrid w:val="0"/>
        <w:spacing w:beforeAutospacing="0" w:afterAutospacing="0" w:line="360" w:lineRule="auto"/>
        <w:ind w:right="0" w:rightChars="0"/>
        <w:textAlignment w:val="auto"/>
        <w:rPr>
          <w:rFonts w:hint="eastAsia" w:asciiTheme="minorEastAsia" w:hAnsiTheme="minorEastAsia" w:eastAsiaTheme="minorEastAsia" w:cstheme="minorEastAsia"/>
          <w:b/>
          <w:bCs/>
          <w:snapToGrid w:val="0"/>
          <w:color w:val="auto"/>
          <w:kern w:val="0"/>
          <w:sz w:val="24"/>
        </w:rPr>
      </w:pPr>
      <w:r>
        <w:rPr>
          <w:rFonts w:hint="eastAsia" w:asciiTheme="minorEastAsia" w:hAnsiTheme="minorEastAsia" w:eastAsiaTheme="minorEastAsia" w:cstheme="minorEastAsia"/>
          <w:b/>
          <w:snapToGrid w:val="0"/>
          <w:color w:val="auto"/>
          <w:kern w:val="0"/>
          <w:sz w:val="24"/>
        </w:rPr>
        <w:t>2、</w:t>
      </w:r>
      <w:r>
        <w:rPr>
          <w:rFonts w:hint="eastAsia" w:asciiTheme="minorEastAsia" w:hAnsiTheme="minorEastAsia" w:eastAsiaTheme="minorEastAsia" w:cstheme="minorEastAsia"/>
          <w:b/>
          <w:bCs/>
          <w:snapToGrid w:val="0"/>
          <w:color w:val="auto"/>
          <w:kern w:val="0"/>
          <w:sz w:val="24"/>
          <w:lang w:eastAsia="zh-CN"/>
        </w:rPr>
        <w:t>价格分</w:t>
      </w:r>
    </w:p>
    <w:p>
      <w:pPr>
        <w:keepNext w:val="0"/>
        <w:keepLines w:val="0"/>
        <w:pageBreakBefore w:val="0"/>
        <w:kinsoku/>
        <w:overflowPunct/>
        <w:topLinePunct w:val="0"/>
        <w:autoSpaceDE/>
        <w:autoSpaceDN/>
        <w:bidi w:val="0"/>
        <w:spacing w:beforeAutospacing="0" w:afterAutospacing="0" w:line="360" w:lineRule="auto"/>
        <w:ind w:right="0" w:rightChars="0"/>
        <w:textAlignment w:val="auto"/>
        <w:rPr>
          <w:rFonts w:hint="eastAsia" w:asciiTheme="minorEastAsia" w:hAnsiTheme="minorEastAsia" w:eastAsiaTheme="minorEastAsia" w:cstheme="minorEastAsia"/>
          <w:b/>
          <w:bCs/>
          <w:snapToGrid w:val="0"/>
          <w:color w:val="auto"/>
          <w:kern w:val="0"/>
          <w:sz w:val="24"/>
        </w:rPr>
      </w:pPr>
      <w:r>
        <w:rPr>
          <w:rFonts w:hint="eastAsia" w:asciiTheme="minorEastAsia" w:hAnsiTheme="minorEastAsia" w:eastAsiaTheme="minorEastAsia" w:cstheme="minorEastAsia"/>
          <w:b/>
          <w:snapToGrid w:val="0"/>
          <w:color w:val="auto"/>
          <w:kern w:val="0"/>
          <w:sz w:val="24"/>
        </w:rPr>
        <w:t>1）</w:t>
      </w:r>
      <w:r>
        <w:rPr>
          <w:rFonts w:hint="eastAsia" w:asciiTheme="minorEastAsia" w:hAnsiTheme="minorEastAsia" w:eastAsiaTheme="minorEastAsia" w:cstheme="minorEastAsia"/>
          <w:b/>
          <w:bCs/>
          <w:snapToGrid w:val="0"/>
          <w:color w:val="auto"/>
          <w:kern w:val="0"/>
          <w:sz w:val="24"/>
        </w:rPr>
        <w:t>价格调整</w:t>
      </w:r>
    </w:p>
    <w:p>
      <w:pPr>
        <w:keepNext w:val="0"/>
        <w:keepLines w:val="0"/>
        <w:pageBreakBefore w:val="0"/>
        <w:kinsoku/>
        <w:overflowPunct/>
        <w:topLinePunct w:val="0"/>
        <w:autoSpaceDE/>
        <w:autoSpaceDN/>
        <w:bidi w:val="0"/>
        <w:spacing w:beforeAutospacing="0" w:afterAutospacing="0" w:line="360" w:lineRule="auto"/>
        <w:ind w:right="0" w:rightChars="0" w:firstLine="480"/>
        <w:textAlignment w:val="auto"/>
        <w:rPr>
          <w:rFonts w:hint="eastAsia" w:asciiTheme="minorEastAsia" w:hAnsiTheme="minorEastAsia" w:eastAsiaTheme="minorEastAsia" w:cstheme="minorEastAsia"/>
          <w:b w:val="0"/>
          <w:bCs w:val="0"/>
          <w:snapToGrid w:val="0"/>
          <w:color w:val="auto"/>
          <w:kern w:val="0"/>
          <w:sz w:val="24"/>
          <w:u w:val="none"/>
        </w:rPr>
      </w:pPr>
      <w:r>
        <w:rPr>
          <w:rFonts w:hint="eastAsia" w:asciiTheme="minorEastAsia" w:hAnsiTheme="minorEastAsia" w:eastAsiaTheme="minorEastAsia" w:cstheme="minorEastAsia"/>
          <w:snapToGrid w:val="0"/>
          <w:color w:val="auto"/>
          <w:kern w:val="0"/>
          <w:sz w:val="24"/>
        </w:rPr>
        <w:t>评标</w:t>
      </w:r>
      <w:r>
        <w:rPr>
          <w:rFonts w:hint="eastAsia" w:asciiTheme="minorEastAsia" w:hAnsiTheme="minorEastAsia" w:eastAsiaTheme="minorEastAsia" w:cstheme="minorEastAsia"/>
          <w:bCs/>
          <w:snapToGrid w:val="0"/>
          <w:color w:val="auto"/>
          <w:kern w:val="0"/>
          <w:sz w:val="24"/>
        </w:rPr>
        <w:t>委员会对各投标人的</w:t>
      </w:r>
      <w:r>
        <w:rPr>
          <w:rFonts w:hint="eastAsia" w:asciiTheme="minorEastAsia" w:hAnsiTheme="minorEastAsia" w:eastAsiaTheme="minorEastAsia" w:cstheme="minorEastAsia"/>
          <w:b w:val="0"/>
          <w:bCs w:val="0"/>
          <w:snapToGrid w:val="0"/>
          <w:color w:val="auto"/>
          <w:kern w:val="0"/>
          <w:sz w:val="24"/>
        </w:rPr>
        <w:t>投</w:t>
      </w:r>
      <w:r>
        <w:rPr>
          <w:rFonts w:hint="eastAsia" w:asciiTheme="minorEastAsia" w:hAnsiTheme="minorEastAsia" w:eastAsiaTheme="minorEastAsia" w:cstheme="minorEastAsia"/>
          <w:b w:val="0"/>
          <w:bCs w:val="0"/>
          <w:snapToGrid w:val="0"/>
          <w:color w:val="auto"/>
          <w:kern w:val="0"/>
          <w:sz w:val="24"/>
          <w:u w:val="none"/>
        </w:rPr>
        <w:t>标报价</w:t>
      </w:r>
      <w:r>
        <w:rPr>
          <w:rFonts w:hint="eastAsia" w:asciiTheme="minorEastAsia" w:hAnsiTheme="minorEastAsia" w:eastAsiaTheme="minorEastAsia" w:cstheme="minorEastAsia"/>
          <w:bCs/>
          <w:snapToGrid w:val="0"/>
          <w:color w:val="auto"/>
          <w:kern w:val="0"/>
          <w:sz w:val="24"/>
          <w:u w:val="none"/>
        </w:rPr>
        <w:t>（报价有修正的，为经投标人确认后的修正价），</w:t>
      </w:r>
      <w:r>
        <w:rPr>
          <w:rFonts w:hint="eastAsia" w:asciiTheme="minorEastAsia" w:hAnsiTheme="minorEastAsia" w:eastAsiaTheme="minorEastAsia" w:cstheme="minorEastAsia"/>
          <w:snapToGrid w:val="0"/>
          <w:color w:val="auto"/>
          <w:kern w:val="0"/>
          <w:sz w:val="24"/>
          <w:u w:val="none"/>
        </w:rPr>
        <w:t>按以下落实政府采购政策需进行价格扣除的方法进行必要的价格调整：</w:t>
      </w:r>
    </w:p>
    <w:p>
      <w:pPr>
        <w:keepNext w:val="0"/>
        <w:keepLines w:val="0"/>
        <w:pageBreakBefore w:val="0"/>
        <w:kinsoku/>
        <w:overflowPunct/>
        <w:topLinePunct w:val="0"/>
        <w:autoSpaceDE/>
        <w:autoSpaceDN/>
        <w:bidi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snapToGrid w:val="0"/>
          <w:color w:val="auto"/>
          <w:kern w:val="0"/>
          <w:sz w:val="24"/>
          <w:szCs w:val="21"/>
          <w:u w:val="none"/>
        </w:rPr>
        <w:t>根据《财政部、工业和信息化部关于印发〈政府采购促进中小企业发展管理办法〉的通知》（财库〔2020〕46号）</w:t>
      </w:r>
      <w:r>
        <w:rPr>
          <w:rFonts w:hint="eastAsia" w:asciiTheme="minorEastAsia" w:hAnsiTheme="minorEastAsia" w:eastAsiaTheme="minorEastAsia" w:cstheme="minorEastAsia"/>
          <w:b w:val="0"/>
          <w:bCs w:val="0"/>
          <w:snapToGrid w:val="0"/>
          <w:color w:val="auto"/>
          <w:kern w:val="0"/>
          <w:sz w:val="24"/>
          <w:szCs w:val="21"/>
          <w:u w:val="none"/>
          <w:lang w:eastAsia="zh-CN"/>
        </w:rPr>
        <w:t>、《财政部关于进一步加大政府采购支持中小企业力度的通知》（财库〔2022〕19号）</w:t>
      </w:r>
      <w:r>
        <w:rPr>
          <w:rFonts w:hint="eastAsia" w:asciiTheme="minorEastAsia" w:hAnsiTheme="minorEastAsia" w:eastAsiaTheme="minorEastAsia" w:cstheme="minorEastAsia"/>
          <w:b w:val="0"/>
          <w:bCs w:val="0"/>
          <w:snapToGrid w:val="0"/>
          <w:color w:val="auto"/>
          <w:kern w:val="0"/>
          <w:sz w:val="24"/>
          <w:szCs w:val="21"/>
          <w:u w:val="none"/>
        </w:rPr>
        <w:t>精神，</w:t>
      </w:r>
      <w:r>
        <w:rPr>
          <w:rFonts w:hint="eastAsia" w:asciiTheme="minorEastAsia" w:hAnsiTheme="minorEastAsia" w:eastAsiaTheme="minorEastAsia" w:cstheme="minorEastAsia"/>
          <w:b/>
          <w:bCs/>
          <w:color w:val="auto"/>
          <w:sz w:val="24"/>
          <w:szCs w:val="24"/>
          <w:u w:val="none"/>
        </w:rPr>
        <w:t>对于非专门面向中小企业的项目</w:t>
      </w:r>
      <w:r>
        <w:rPr>
          <w:rFonts w:hint="eastAsia" w:asciiTheme="minorEastAsia" w:hAnsiTheme="minorEastAsia" w:eastAsiaTheme="minorEastAsia" w:cstheme="minorEastAsia"/>
          <w:b w:val="0"/>
          <w:bCs w:val="0"/>
          <w:color w:val="auto"/>
          <w:sz w:val="24"/>
          <w:szCs w:val="24"/>
          <w:u w:val="none"/>
        </w:rPr>
        <w:t>，当拟供产品（或服务）是由小型和微型企业提供（需提供</w:t>
      </w:r>
      <w:r>
        <w:rPr>
          <w:rFonts w:hint="eastAsia" w:asciiTheme="minorEastAsia" w:hAnsiTheme="minorEastAsia" w:eastAsiaTheme="minorEastAsia" w:cstheme="minorEastAsia"/>
          <w:b w:val="0"/>
          <w:bCs w:val="0"/>
          <w:color w:val="auto"/>
          <w:sz w:val="24"/>
          <w:szCs w:val="24"/>
          <w:u w:val="none"/>
          <w:lang w:val="en-US" w:eastAsia="zh-CN"/>
        </w:rPr>
        <w:t>中小企业声明函</w:t>
      </w:r>
      <w:r>
        <w:rPr>
          <w:rFonts w:hint="eastAsia" w:asciiTheme="minorEastAsia" w:hAnsiTheme="minorEastAsia" w:eastAsiaTheme="minorEastAsia" w:cstheme="minorEastAsia"/>
          <w:b w:val="0"/>
          <w:bCs w:val="0"/>
          <w:color w:val="auto"/>
          <w:sz w:val="24"/>
          <w:szCs w:val="24"/>
          <w:u w:val="none"/>
        </w:rPr>
        <w:t>）时，将给予</w:t>
      </w:r>
      <w:r>
        <w:rPr>
          <w:rFonts w:hint="eastAsia" w:asciiTheme="minorEastAsia" w:hAnsiTheme="minorEastAsia" w:eastAsiaTheme="minorEastAsia" w:cstheme="minorEastAsia"/>
          <w:b w:val="0"/>
          <w:bCs w:val="0"/>
          <w:color w:val="auto"/>
          <w:sz w:val="24"/>
          <w:szCs w:val="24"/>
          <w:u w:val="none"/>
          <w:lang w:val="en-US" w:eastAsia="zh-CN"/>
        </w:rPr>
        <w:t>10</w:t>
      </w:r>
      <w:r>
        <w:rPr>
          <w:rFonts w:hint="eastAsia" w:asciiTheme="minorEastAsia" w:hAnsiTheme="minorEastAsia" w:eastAsiaTheme="minorEastAsia" w:cstheme="minorEastAsia"/>
          <w:b w:val="0"/>
          <w:bCs w:val="0"/>
          <w:color w:val="auto"/>
          <w:sz w:val="24"/>
          <w:szCs w:val="24"/>
          <w:u w:val="none"/>
        </w:rPr>
        <w:t>%的价格扣除；享受上述评标优惠的前提条件是小型和微型企业不得将自己承担的工作分包或转包给大型、中型企业或其他组织；</w:t>
      </w:r>
    </w:p>
    <w:p>
      <w:pPr>
        <w:keepNext w:val="0"/>
        <w:keepLines w:val="0"/>
        <w:pageBreakBefore w:val="0"/>
        <w:kinsoku/>
        <w:overflowPunct/>
        <w:topLinePunct w:val="0"/>
        <w:autoSpaceDE/>
        <w:autoSpaceDN/>
        <w:bidi w:val="0"/>
        <w:spacing w:beforeAutospacing="0" w:afterAutospacing="0" w:line="360" w:lineRule="auto"/>
        <w:ind w:right="0" w:rightChars="0" w:firstLine="482" w:firstLineChars="200"/>
        <w:textAlignment w:val="auto"/>
        <w:rPr>
          <w:rFonts w:hint="eastAsia" w:asciiTheme="minorEastAsia" w:hAnsiTheme="minorEastAsia" w:eastAsiaTheme="minorEastAsia" w:cstheme="minorEastAsia"/>
          <w:b/>
          <w:bCs/>
          <w:color w:val="auto"/>
          <w:sz w:val="24"/>
          <w:szCs w:val="24"/>
          <w:u w:val="none"/>
        </w:rPr>
      </w:pPr>
      <w:r>
        <w:rPr>
          <w:rFonts w:hint="eastAsia" w:asciiTheme="minorEastAsia" w:hAnsiTheme="minorEastAsia" w:eastAsiaTheme="minorEastAsia" w:cstheme="minorEastAsia"/>
          <w:b/>
          <w:bCs/>
          <w:color w:val="auto"/>
          <w:sz w:val="24"/>
          <w:szCs w:val="24"/>
          <w:u w:val="none"/>
        </w:rPr>
        <w:t>中小企业应当在</w:t>
      </w:r>
      <w:r>
        <w:rPr>
          <w:rFonts w:hint="eastAsia" w:asciiTheme="minorEastAsia" w:hAnsiTheme="minorEastAsia" w:eastAsiaTheme="minorEastAsia" w:cstheme="minorEastAsia"/>
          <w:b/>
          <w:bCs/>
          <w:color w:val="auto"/>
          <w:sz w:val="24"/>
          <w:szCs w:val="24"/>
          <w:u w:val="none"/>
          <w:lang w:val="en-US" w:eastAsia="zh-CN"/>
        </w:rPr>
        <w:t>投标</w:t>
      </w:r>
      <w:r>
        <w:rPr>
          <w:rFonts w:hint="eastAsia" w:asciiTheme="minorEastAsia" w:hAnsiTheme="minorEastAsia" w:eastAsiaTheme="minorEastAsia" w:cstheme="minorEastAsia"/>
          <w:b/>
          <w:bCs/>
          <w:color w:val="auto"/>
          <w:sz w:val="24"/>
          <w:szCs w:val="24"/>
          <w:u w:val="none"/>
        </w:rPr>
        <w:t>文件中提供《中小企业声明函》，否则不得享受相关中小企业扶持政策。</w:t>
      </w:r>
    </w:p>
    <w:p>
      <w:pPr>
        <w:keepNext w:val="0"/>
        <w:keepLines w:val="0"/>
        <w:pageBreakBefore w:val="0"/>
        <w:kinsoku/>
        <w:overflowPunct/>
        <w:topLinePunct w:val="0"/>
        <w:autoSpaceDE/>
        <w:autoSpaceDN/>
        <w:bidi w:val="0"/>
        <w:spacing w:beforeAutospacing="0" w:afterAutospacing="0" w:line="360" w:lineRule="auto"/>
        <w:ind w:right="0" w:rightChars="0" w:firstLine="48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napToGrid w:val="0"/>
          <w:color w:val="auto"/>
          <w:kern w:val="0"/>
          <w:sz w:val="24"/>
          <w:u w:val="none"/>
        </w:rPr>
        <w:t>另根据《财政部、民政部、中国残疾人联合会关于促进残疾人就业政府采购政策的通知》（财库〔2017〕141号）和《财政部 司法部关于政府采购支持监狱企业发展有关问题的通知》（财库〔2014〕68），投标人为</w:t>
      </w:r>
      <w:r>
        <w:rPr>
          <w:rFonts w:hint="eastAsia" w:asciiTheme="minorEastAsia" w:hAnsiTheme="minorEastAsia" w:eastAsiaTheme="minorEastAsia" w:cstheme="minorEastAsia"/>
          <w:b/>
          <w:color w:val="auto"/>
          <w:sz w:val="24"/>
          <w:szCs w:val="24"/>
          <w:u w:val="none"/>
        </w:rPr>
        <w:t>残疾人福利性单位</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b/>
          <w:bCs/>
          <w:color w:val="auto"/>
          <w:sz w:val="24"/>
          <w:szCs w:val="24"/>
          <w:u w:val="none"/>
        </w:rPr>
        <w:t>监狱或戒毒企业，且提供了相应证明的</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b/>
          <w:bCs/>
          <w:color w:val="auto"/>
          <w:sz w:val="24"/>
          <w:szCs w:val="24"/>
          <w:u w:val="none"/>
        </w:rPr>
        <w:t>视同为小型和微型企业，执</w:t>
      </w:r>
      <w:r>
        <w:rPr>
          <w:rFonts w:hint="eastAsia" w:asciiTheme="minorEastAsia" w:hAnsiTheme="minorEastAsia" w:eastAsiaTheme="minorEastAsia" w:cstheme="minorEastAsia"/>
          <w:b/>
          <w:bCs/>
          <w:color w:val="auto"/>
          <w:sz w:val="24"/>
          <w:szCs w:val="24"/>
        </w:rPr>
        <w:t>行上述支持小型和微型企业的相同政策。</w:t>
      </w:r>
    </w:p>
    <w:p>
      <w:pPr>
        <w:keepNext w:val="0"/>
        <w:keepLines w:val="0"/>
        <w:pageBreakBefore w:val="0"/>
        <w:kinsoku/>
        <w:overflowPunct/>
        <w:topLinePunct w:val="0"/>
        <w:autoSpaceDE/>
        <w:autoSpaceDN/>
        <w:bidi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snapToGrid w:val="0"/>
          <w:color w:val="auto"/>
          <w:kern w:val="0"/>
          <w:sz w:val="24"/>
          <w:szCs w:val="21"/>
        </w:rPr>
      </w:pPr>
    </w:p>
    <w:p>
      <w:pPr>
        <w:keepNext w:val="0"/>
        <w:keepLines w:val="0"/>
        <w:pageBreakBefore w:val="0"/>
        <w:kinsoku/>
        <w:overflowPunct/>
        <w:topLinePunct w:val="0"/>
        <w:autoSpaceDE/>
        <w:autoSpaceDN/>
        <w:bidi w:val="0"/>
        <w:spacing w:beforeAutospacing="0" w:afterAutospacing="0" w:line="360" w:lineRule="auto"/>
        <w:ind w:right="0" w:rightChars="0"/>
        <w:textAlignment w:val="auto"/>
        <w:rPr>
          <w:rFonts w:hint="eastAsia" w:asciiTheme="minorEastAsia" w:hAnsiTheme="minorEastAsia" w:eastAsiaTheme="minorEastAsia" w:cstheme="minorEastAsia"/>
          <w:b/>
          <w:snapToGrid w:val="0"/>
          <w:color w:val="auto"/>
          <w:kern w:val="0"/>
          <w:sz w:val="24"/>
          <w:szCs w:val="21"/>
        </w:rPr>
      </w:pPr>
      <w:r>
        <w:rPr>
          <w:rFonts w:hint="eastAsia" w:asciiTheme="minorEastAsia" w:hAnsiTheme="minorEastAsia" w:eastAsiaTheme="minorEastAsia" w:cstheme="minorEastAsia"/>
          <w:b/>
          <w:snapToGrid w:val="0"/>
          <w:color w:val="auto"/>
          <w:kern w:val="0"/>
          <w:sz w:val="24"/>
          <w:szCs w:val="21"/>
        </w:rPr>
        <w:t>2）评标基准价：</w:t>
      </w:r>
    </w:p>
    <w:p>
      <w:pPr>
        <w:keepNext w:val="0"/>
        <w:keepLines w:val="0"/>
        <w:pageBreakBefore w:val="0"/>
        <w:kinsoku/>
        <w:overflowPunct/>
        <w:topLinePunct w:val="0"/>
        <w:autoSpaceDE/>
        <w:autoSpaceDN/>
        <w:bidi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snapToGrid w:val="0"/>
          <w:color w:val="auto"/>
          <w:kern w:val="0"/>
          <w:sz w:val="24"/>
          <w:szCs w:val="21"/>
        </w:rPr>
      </w:pPr>
      <w:r>
        <w:rPr>
          <w:rFonts w:hint="eastAsia" w:asciiTheme="minorEastAsia" w:hAnsiTheme="minorEastAsia" w:eastAsiaTheme="minorEastAsia" w:cstheme="minorEastAsia"/>
          <w:snapToGrid w:val="0"/>
          <w:color w:val="auto"/>
          <w:kern w:val="0"/>
          <w:sz w:val="24"/>
          <w:szCs w:val="21"/>
        </w:rPr>
        <w:t>按</w:t>
      </w:r>
      <w:r>
        <w:rPr>
          <w:rFonts w:hint="eastAsia" w:asciiTheme="minorEastAsia" w:hAnsiTheme="minorEastAsia" w:eastAsiaTheme="minorEastAsia" w:cstheme="minorEastAsia"/>
          <w:b/>
          <w:snapToGrid w:val="0"/>
          <w:color w:val="auto"/>
          <w:kern w:val="0"/>
          <w:sz w:val="24"/>
          <w:szCs w:val="21"/>
        </w:rPr>
        <w:t>价格调整后的最低价</w:t>
      </w:r>
      <w:r>
        <w:rPr>
          <w:rFonts w:hint="eastAsia" w:asciiTheme="minorEastAsia" w:hAnsiTheme="minorEastAsia" w:eastAsiaTheme="minorEastAsia" w:cstheme="minorEastAsia"/>
          <w:snapToGrid w:val="0"/>
          <w:color w:val="auto"/>
          <w:kern w:val="0"/>
          <w:sz w:val="24"/>
          <w:szCs w:val="21"/>
        </w:rPr>
        <w:t>为评标基准价，其价格分为30分。其他投标人的价格分统一按照下列公式计算：价格得分=(评标基准价／评标价)×30，小数点后保留2位，第三位四舍五入法。</w:t>
      </w:r>
    </w:p>
    <w:p>
      <w:pPr>
        <w:keepNext w:val="0"/>
        <w:keepLines w:val="0"/>
        <w:pageBreakBefore w:val="0"/>
        <w:kinsoku/>
        <w:overflowPunct/>
        <w:topLinePunct w:val="0"/>
        <w:autoSpaceDE/>
        <w:autoSpaceDN/>
        <w:bidi w:val="0"/>
        <w:spacing w:beforeAutospacing="0" w:afterAutospacing="0" w:line="360" w:lineRule="auto"/>
        <w:ind w:right="0" w:rightChars="0" w:firstLine="482" w:firstLineChars="200"/>
        <w:textAlignment w:val="auto"/>
        <w:rPr>
          <w:rFonts w:hint="eastAsia" w:asciiTheme="minorEastAsia" w:hAnsiTheme="minorEastAsia" w:eastAsiaTheme="minorEastAsia" w:cstheme="minorEastAsia"/>
          <w:b/>
          <w:snapToGrid w:val="0"/>
          <w:color w:val="auto"/>
          <w:kern w:val="0"/>
          <w:sz w:val="24"/>
        </w:rPr>
      </w:pPr>
    </w:p>
    <w:p>
      <w:pPr>
        <w:keepNext w:val="0"/>
        <w:keepLines w:val="0"/>
        <w:pageBreakBefore w:val="0"/>
        <w:kinsoku/>
        <w:overflowPunct/>
        <w:topLinePunct w:val="0"/>
        <w:autoSpaceDE/>
        <w:autoSpaceDN/>
        <w:bidi w:val="0"/>
        <w:spacing w:beforeAutospacing="0" w:afterAutospacing="0" w:line="360" w:lineRule="auto"/>
        <w:ind w:right="0" w:rightChars="0"/>
        <w:textAlignment w:val="auto"/>
        <w:rPr>
          <w:rFonts w:hint="eastAsia" w:asciiTheme="minorEastAsia" w:hAnsiTheme="minorEastAsia" w:eastAsiaTheme="minorEastAsia" w:cstheme="minorEastAsia"/>
          <w:b/>
          <w:snapToGrid w:val="0"/>
          <w:color w:val="auto"/>
          <w:kern w:val="0"/>
          <w:sz w:val="24"/>
        </w:rPr>
      </w:pPr>
      <w:r>
        <w:rPr>
          <w:rFonts w:hint="eastAsia" w:asciiTheme="minorEastAsia" w:hAnsiTheme="minorEastAsia" w:eastAsiaTheme="minorEastAsia" w:cstheme="minorEastAsia"/>
          <w:b/>
          <w:snapToGrid w:val="0"/>
          <w:color w:val="auto"/>
          <w:kern w:val="0"/>
          <w:sz w:val="24"/>
        </w:rPr>
        <w:t>3、排序</w:t>
      </w:r>
    </w:p>
    <w:p>
      <w:pPr>
        <w:keepNext w:val="0"/>
        <w:keepLines w:val="0"/>
        <w:pageBreakBefore w:val="0"/>
        <w:kinsoku/>
        <w:overflowPunct/>
        <w:topLinePunct w:val="0"/>
        <w:autoSpaceDE/>
        <w:autoSpaceDN/>
        <w:bidi w:val="0"/>
        <w:spacing w:beforeAutospacing="0" w:afterAutospacing="0" w:line="360" w:lineRule="auto"/>
        <w:ind w:right="0" w:rightChars="0" w:firstLine="566" w:firstLineChars="236"/>
        <w:textAlignment w:val="auto"/>
        <w:rPr>
          <w:rFonts w:hint="eastAsia" w:asciiTheme="minorEastAsia" w:hAnsiTheme="minorEastAsia" w:eastAsiaTheme="minorEastAsia" w:cstheme="minorEastAsia"/>
          <w:snapToGrid w:val="0"/>
          <w:color w:val="auto"/>
          <w:kern w:val="0"/>
          <w:sz w:val="24"/>
        </w:rPr>
      </w:pPr>
      <w:r>
        <w:rPr>
          <w:rFonts w:hint="eastAsia" w:asciiTheme="minorEastAsia" w:hAnsiTheme="minorEastAsia" w:eastAsiaTheme="minorEastAsia" w:cstheme="minorEastAsia"/>
          <w:snapToGrid w:val="0"/>
          <w:color w:val="auto"/>
          <w:kern w:val="0"/>
          <w:sz w:val="24"/>
        </w:rPr>
        <w:t>评标委员会按综合得分（技术商务分</w:t>
      </w:r>
      <w:r>
        <w:rPr>
          <w:rFonts w:hint="eastAsia" w:asciiTheme="minorEastAsia" w:hAnsiTheme="minorEastAsia" w:eastAsiaTheme="minorEastAsia" w:cstheme="minorEastAsia"/>
          <w:snapToGrid w:val="0"/>
          <w:color w:val="auto"/>
          <w:kern w:val="0"/>
          <w:sz w:val="24"/>
          <w:lang w:val="en-US" w:eastAsia="zh-CN"/>
        </w:rPr>
        <w:t xml:space="preserve"> </w:t>
      </w:r>
      <w:r>
        <w:rPr>
          <w:rFonts w:hint="eastAsia" w:asciiTheme="minorEastAsia" w:hAnsiTheme="minorEastAsia" w:eastAsiaTheme="minorEastAsia" w:cstheme="minorEastAsia"/>
          <w:snapToGrid w:val="0"/>
          <w:color w:val="auto"/>
          <w:kern w:val="0"/>
          <w:sz w:val="24"/>
        </w:rPr>
        <w:t>+</w:t>
      </w:r>
      <w:r>
        <w:rPr>
          <w:rFonts w:hint="eastAsia" w:asciiTheme="minorEastAsia" w:hAnsiTheme="minorEastAsia" w:eastAsiaTheme="minorEastAsia" w:cstheme="minorEastAsia"/>
          <w:snapToGrid w:val="0"/>
          <w:color w:val="auto"/>
          <w:kern w:val="0"/>
          <w:sz w:val="24"/>
          <w:lang w:val="en-US" w:eastAsia="zh-CN"/>
        </w:rPr>
        <w:t xml:space="preserve"> 价格分</w:t>
      </w:r>
      <w:r>
        <w:rPr>
          <w:rFonts w:hint="eastAsia" w:asciiTheme="minorEastAsia" w:hAnsiTheme="minorEastAsia" w:eastAsiaTheme="minorEastAsia" w:cstheme="minorEastAsia"/>
          <w:snapToGrid w:val="0"/>
          <w:color w:val="auto"/>
          <w:kern w:val="0"/>
          <w:sz w:val="24"/>
        </w:rPr>
        <w:t>）</w:t>
      </w:r>
      <w:r>
        <w:rPr>
          <w:rFonts w:hint="eastAsia" w:asciiTheme="minorEastAsia" w:hAnsiTheme="minorEastAsia" w:eastAsiaTheme="minorEastAsia" w:cstheme="minorEastAsia"/>
          <w:color w:val="auto"/>
          <w:sz w:val="24"/>
          <w:szCs w:val="24"/>
        </w:rPr>
        <w:t>由高到低顺序排列。</w:t>
      </w:r>
      <w:r>
        <w:rPr>
          <w:rFonts w:hint="eastAsia" w:asciiTheme="minorEastAsia" w:hAnsiTheme="minorEastAsia" w:eastAsiaTheme="minorEastAsia" w:cstheme="minorEastAsia"/>
          <w:color w:val="auto"/>
          <w:sz w:val="24"/>
          <w:szCs w:val="24"/>
          <w:lang w:eastAsia="zh-CN"/>
        </w:rPr>
        <w:t>综合</w:t>
      </w:r>
      <w:r>
        <w:rPr>
          <w:rFonts w:hint="eastAsia" w:asciiTheme="minorEastAsia" w:hAnsiTheme="minorEastAsia" w:eastAsiaTheme="minorEastAsia" w:cstheme="minorEastAsia"/>
          <w:color w:val="auto"/>
          <w:sz w:val="24"/>
          <w:szCs w:val="24"/>
        </w:rPr>
        <w:t>得分相同的，按投标报价由低到高顺序排列。</w:t>
      </w:r>
      <w:r>
        <w:rPr>
          <w:rFonts w:hint="eastAsia" w:asciiTheme="minorEastAsia" w:hAnsiTheme="minorEastAsia" w:eastAsiaTheme="minorEastAsia" w:cstheme="minorEastAsia"/>
          <w:color w:val="auto"/>
          <w:sz w:val="24"/>
          <w:szCs w:val="24"/>
          <w:lang w:eastAsia="zh-CN"/>
        </w:rPr>
        <w:t>综合</w:t>
      </w:r>
      <w:r>
        <w:rPr>
          <w:rFonts w:hint="eastAsia" w:asciiTheme="minorEastAsia" w:hAnsiTheme="minorEastAsia" w:eastAsiaTheme="minorEastAsia" w:cstheme="minorEastAsia"/>
          <w:color w:val="auto"/>
          <w:sz w:val="24"/>
          <w:szCs w:val="24"/>
        </w:rPr>
        <w:t>得分且投标报价也相同的</w:t>
      </w:r>
      <w:r>
        <w:rPr>
          <w:rFonts w:hint="eastAsia" w:asciiTheme="minorEastAsia" w:hAnsiTheme="minorEastAsia" w:eastAsiaTheme="minorEastAsia" w:cstheme="minorEastAsia"/>
          <w:snapToGrid w:val="0"/>
          <w:color w:val="auto"/>
          <w:kern w:val="0"/>
          <w:sz w:val="24"/>
        </w:rPr>
        <w:t>，则由评委采用记名投票表决，得票多者排名靠前。</w:t>
      </w:r>
    </w:p>
    <w:p>
      <w:pPr>
        <w:keepNext w:val="0"/>
        <w:keepLines w:val="0"/>
        <w:pageBreakBefore w:val="0"/>
        <w:kinsoku/>
        <w:overflowPunct/>
        <w:topLinePunct w:val="0"/>
        <w:autoSpaceDE/>
        <w:autoSpaceDN/>
        <w:bidi w:val="0"/>
        <w:spacing w:beforeAutospacing="0" w:afterAutospacing="0" w:line="360" w:lineRule="auto"/>
        <w:ind w:right="0" w:rightChars="0"/>
        <w:textAlignment w:val="auto"/>
        <w:rPr>
          <w:rFonts w:hint="eastAsia" w:asciiTheme="minorEastAsia" w:hAnsiTheme="minorEastAsia" w:eastAsiaTheme="minorEastAsia" w:cstheme="minorEastAsia"/>
          <w:b/>
          <w:bCs/>
          <w:snapToGrid w:val="0"/>
          <w:color w:val="auto"/>
          <w:kern w:val="0"/>
          <w:sz w:val="24"/>
        </w:rPr>
      </w:pPr>
      <w:r>
        <w:rPr>
          <w:rFonts w:hint="eastAsia" w:asciiTheme="minorEastAsia" w:hAnsiTheme="minorEastAsia" w:eastAsiaTheme="minorEastAsia" w:cstheme="minorEastAsia"/>
          <w:b/>
          <w:snapToGrid w:val="0"/>
          <w:color w:val="auto"/>
          <w:kern w:val="0"/>
          <w:sz w:val="24"/>
        </w:rPr>
        <w:t>4、</w:t>
      </w:r>
      <w:r>
        <w:rPr>
          <w:rFonts w:hint="eastAsia" w:asciiTheme="minorEastAsia" w:hAnsiTheme="minorEastAsia" w:eastAsiaTheme="minorEastAsia" w:cstheme="minorEastAsia"/>
          <w:b/>
          <w:bCs/>
          <w:snapToGrid w:val="0"/>
          <w:color w:val="auto"/>
          <w:kern w:val="0"/>
          <w:sz w:val="24"/>
        </w:rPr>
        <w:t>评标结果</w:t>
      </w:r>
    </w:p>
    <w:p>
      <w:pPr>
        <w:keepNext w:val="0"/>
        <w:keepLines w:val="0"/>
        <w:pageBreakBefore w:val="0"/>
        <w:kinsoku/>
        <w:overflowPunct/>
        <w:topLinePunct w:val="0"/>
        <w:autoSpaceDE/>
        <w:autoSpaceDN/>
        <w:bidi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bCs/>
          <w:snapToGrid w:val="0"/>
          <w:color w:val="auto"/>
          <w:kern w:val="0"/>
          <w:sz w:val="24"/>
        </w:rPr>
      </w:pPr>
      <w:r>
        <w:rPr>
          <w:rFonts w:hint="eastAsia" w:asciiTheme="minorEastAsia" w:hAnsiTheme="minorEastAsia" w:eastAsiaTheme="minorEastAsia" w:cstheme="minorEastAsia"/>
          <w:bCs/>
          <w:snapToGrid w:val="0"/>
          <w:color w:val="auto"/>
          <w:kern w:val="0"/>
          <w:sz w:val="24"/>
        </w:rPr>
        <w:t>评标委员会确定</w:t>
      </w:r>
      <w:r>
        <w:rPr>
          <w:rFonts w:hint="eastAsia" w:asciiTheme="minorEastAsia" w:hAnsiTheme="minorEastAsia" w:eastAsiaTheme="minorEastAsia" w:cstheme="minorEastAsia"/>
          <w:b w:val="0"/>
          <w:bCs w:val="0"/>
          <w:snapToGrid w:val="0"/>
          <w:color w:val="auto"/>
          <w:kern w:val="0"/>
          <w:sz w:val="24"/>
        </w:rPr>
        <w:t>排序第一</w:t>
      </w:r>
      <w:r>
        <w:rPr>
          <w:rFonts w:hint="eastAsia" w:asciiTheme="minorEastAsia" w:hAnsiTheme="minorEastAsia" w:eastAsiaTheme="minorEastAsia" w:cstheme="minorEastAsia"/>
          <w:bCs/>
          <w:snapToGrid w:val="0"/>
          <w:color w:val="auto"/>
          <w:kern w:val="0"/>
          <w:sz w:val="24"/>
        </w:rPr>
        <w:t>的投标人为本招标项目的中标人。</w:t>
      </w:r>
    </w:p>
    <w:p>
      <w:pPr>
        <w:pStyle w:val="12"/>
        <w:rPr>
          <w:rFonts w:hint="eastAsia" w:asciiTheme="minorEastAsia" w:hAnsiTheme="minorEastAsia" w:eastAsiaTheme="minorEastAsia" w:cstheme="minorEastAsia"/>
          <w:bCs/>
          <w:snapToGrid w:val="0"/>
          <w:color w:val="auto"/>
          <w:kern w:val="0"/>
          <w:sz w:val="24"/>
        </w:rPr>
      </w:pPr>
    </w:p>
    <w:p>
      <w:pPr>
        <w:pStyle w:val="12"/>
        <w:rPr>
          <w:rFonts w:hint="eastAsia" w:asciiTheme="minorEastAsia" w:hAnsiTheme="minorEastAsia" w:eastAsiaTheme="minorEastAsia" w:cstheme="minorEastAsia"/>
          <w:bCs/>
          <w:snapToGrid w:val="0"/>
          <w:color w:val="auto"/>
          <w:kern w:val="0"/>
          <w:sz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rPr>
      </w:pPr>
      <w:bookmarkStart w:id="236" w:name="_Toc457747980"/>
      <w:bookmarkStart w:id="237" w:name="_Toc392227827"/>
      <w:r>
        <w:rPr>
          <w:rFonts w:hint="eastAsia" w:asciiTheme="minorEastAsia" w:hAnsiTheme="minorEastAsia" w:eastAsiaTheme="minorEastAsia" w:cstheme="minorEastAsia"/>
          <w:b/>
          <w:bCs/>
          <w:color w:val="auto"/>
          <w:sz w:val="32"/>
          <w:szCs w:val="72"/>
        </w:rPr>
        <w:br w:type="page"/>
      </w:r>
      <w:bookmarkStart w:id="238" w:name="_Toc22587"/>
      <w:r>
        <w:rPr>
          <w:rFonts w:hint="eastAsia" w:asciiTheme="minorEastAsia" w:hAnsiTheme="minorEastAsia" w:eastAsiaTheme="minorEastAsia" w:cstheme="minorEastAsia"/>
          <w:b/>
          <w:bCs/>
          <w:color w:val="auto"/>
          <w:sz w:val="32"/>
          <w:szCs w:val="72"/>
        </w:rPr>
        <w:t xml:space="preserve">第四章 </w:t>
      </w:r>
      <w:r>
        <w:rPr>
          <w:rFonts w:hint="eastAsia" w:asciiTheme="minorEastAsia" w:hAnsiTheme="minorEastAsia" w:eastAsiaTheme="minorEastAsia" w:cstheme="minorEastAsia"/>
          <w:color w:val="auto"/>
          <w:sz w:val="32"/>
          <w:szCs w:val="32"/>
        </w:rPr>
        <w:t>合同</w:t>
      </w:r>
      <w:r>
        <w:rPr>
          <w:rFonts w:hint="eastAsia" w:asciiTheme="minorEastAsia" w:hAnsiTheme="minorEastAsia" w:eastAsiaTheme="minorEastAsia" w:cstheme="minorEastAsia"/>
          <w:b/>
          <w:bCs/>
          <w:color w:val="auto"/>
          <w:sz w:val="32"/>
          <w:szCs w:val="72"/>
        </w:rPr>
        <w:t>格式</w:t>
      </w:r>
      <w:bookmarkEnd w:id="236"/>
      <w:bookmarkEnd w:id="237"/>
      <w:bookmarkEnd w:id="238"/>
    </w:p>
    <w:p>
      <w:pPr>
        <w:spacing w:line="360" w:lineRule="auto"/>
        <w:jc w:val="center"/>
        <w:outlineLvl w:val="1"/>
        <w:rPr>
          <w:rFonts w:hint="eastAsia" w:asciiTheme="minorEastAsia" w:hAnsiTheme="minorEastAsia" w:eastAsiaTheme="minorEastAsia" w:cstheme="minorEastAsia"/>
          <w:color w:val="auto"/>
          <w:sz w:val="24"/>
        </w:rPr>
      </w:pPr>
      <w:bookmarkStart w:id="239" w:name="_Toc179632787"/>
      <w:bookmarkStart w:id="240" w:name="_Toc246997081"/>
      <w:bookmarkStart w:id="241" w:name="_Toc247085853"/>
      <w:bookmarkStart w:id="242" w:name="_Toc246996338"/>
      <w:bookmarkStart w:id="243" w:name="_Toc144974578"/>
      <w:bookmarkStart w:id="244" w:name="_Toc152042388"/>
      <w:bookmarkStart w:id="245" w:name="_Toc144974829"/>
      <w:bookmarkStart w:id="246" w:name="_Toc184635122"/>
      <w:bookmarkStart w:id="247" w:name="_Toc300835199"/>
      <w:bookmarkStart w:id="248" w:name="_Toc152045610"/>
      <w:bookmarkStart w:id="249" w:name="_Toc152042549"/>
      <w:bookmarkStart w:id="250" w:name="_Toc247527798"/>
      <w:bookmarkStart w:id="251" w:name="_Toc247514197"/>
    </w:p>
    <w:p>
      <w:pPr>
        <w:ind w:firstLine="321" w:firstLineChars="100"/>
        <w:jc w:val="center"/>
        <w:rPr>
          <w:b/>
          <w:color w:val="auto"/>
          <w:sz w:val="32"/>
          <w:szCs w:val="32"/>
        </w:rPr>
      </w:pPr>
      <w:r>
        <w:rPr>
          <w:rFonts w:hint="eastAsia"/>
          <w:b/>
          <w:bCs/>
          <w:color w:val="auto"/>
          <w:sz w:val="32"/>
          <w:szCs w:val="32"/>
        </w:rPr>
        <w:t>医疗设备器械</w:t>
      </w:r>
      <w:r>
        <w:rPr>
          <w:rFonts w:hint="eastAsia"/>
          <w:b/>
          <w:color w:val="auto"/>
          <w:sz w:val="32"/>
          <w:szCs w:val="32"/>
        </w:rPr>
        <w:t>购销合同</w:t>
      </w:r>
    </w:p>
    <w:p>
      <w:pPr>
        <w:jc w:val="center"/>
        <w:rPr>
          <w:rFonts w:hint="eastAsia"/>
          <w:b/>
          <w:bCs/>
          <w:color w:val="auto"/>
        </w:rPr>
      </w:pPr>
    </w:p>
    <w:p>
      <w:pPr>
        <w:ind w:firstLine="4408" w:firstLineChars="2091"/>
        <w:rPr>
          <w:rFonts w:hint="eastAsia"/>
          <w:b/>
          <w:bCs/>
          <w:color w:val="auto"/>
          <w:szCs w:val="21"/>
        </w:rPr>
      </w:pPr>
      <w:r>
        <w:rPr>
          <w:rFonts w:hint="eastAsia"/>
          <w:b/>
          <w:bCs/>
          <w:color w:val="auto"/>
          <w:szCs w:val="21"/>
        </w:rPr>
        <w:t xml:space="preserve">合同编号： </w:t>
      </w:r>
    </w:p>
    <w:p>
      <w:pPr>
        <w:ind w:firstLine="4408" w:firstLineChars="2091"/>
        <w:rPr>
          <w:rFonts w:hint="eastAsia"/>
          <w:b/>
          <w:bCs/>
          <w:color w:val="auto"/>
          <w:sz w:val="24"/>
        </w:rPr>
      </w:pPr>
      <w:r>
        <w:rPr>
          <w:rFonts w:hint="eastAsia"/>
          <w:b/>
          <w:bCs/>
          <w:color w:val="auto"/>
          <w:spacing w:val="0"/>
          <w:kern w:val="0"/>
          <w:szCs w:val="21"/>
          <w:fitText w:val="844" w:id="1481918433"/>
        </w:rPr>
        <w:t>签约地：</w:t>
      </w:r>
      <w:r>
        <w:rPr>
          <w:rFonts w:hint="eastAsia"/>
          <w:b/>
          <w:bCs/>
          <w:color w:val="auto"/>
          <w:szCs w:val="21"/>
        </w:rPr>
        <w:t>上海市徐汇区</w:t>
      </w:r>
      <w:r>
        <w:rPr>
          <w:rFonts w:hint="eastAsia"/>
          <w:b/>
          <w:bCs/>
          <w:color w:val="auto"/>
          <w:sz w:val="24"/>
        </w:rPr>
        <w:t xml:space="preserve">                        </w:t>
      </w:r>
    </w:p>
    <w:p>
      <w:pPr>
        <w:rPr>
          <w:rFonts w:hint="eastAsia"/>
          <w:b/>
          <w:bCs/>
          <w:color w:val="auto"/>
          <w:szCs w:val="21"/>
        </w:rPr>
      </w:pPr>
      <w:r>
        <w:rPr>
          <w:rFonts w:hint="eastAsia"/>
          <w:b/>
          <w:bCs/>
          <w:color w:val="auto"/>
          <w:szCs w:val="21"/>
        </w:rPr>
        <w:t>甲方（买方）：复旦大学附属中山医院         乙方（卖方）：              公司</w:t>
      </w:r>
    </w:p>
    <w:p>
      <w:pPr>
        <w:pStyle w:val="13"/>
        <w:ind w:firstLine="0" w:firstLineChars="0"/>
        <w:rPr>
          <w:rFonts w:hint="eastAsia"/>
          <w:b/>
          <w:bCs/>
          <w:color w:val="auto"/>
        </w:rPr>
      </w:pPr>
      <w:r>
        <w:rPr>
          <w:rFonts w:hint="eastAsia"/>
          <w:b/>
          <w:bCs/>
          <w:color w:val="auto"/>
        </w:rPr>
        <w:t>1.</w:t>
      </w:r>
      <w:r>
        <w:rPr>
          <w:rFonts w:hint="eastAsia"/>
          <w:color w:val="auto"/>
        </w:rPr>
        <w:t>甲乙双方根据《中华人民共和国民法典》，在平等互利、协商一致的基础上，买方同意向卖方购买同时卖方同意授予买方以下设备（以下设备器械均简称设备）：</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1011"/>
        <w:gridCol w:w="728"/>
        <w:gridCol w:w="970"/>
        <w:gridCol w:w="728"/>
        <w:gridCol w:w="728"/>
        <w:gridCol w:w="72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3" w:type="pct"/>
            <w:noWrap w:val="0"/>
            <w:vAlign w:val="center"/>
          </w:tcPr>
          <w:p>
            <w:pPr>
              <w:jc w:val="center"/>
              <w:rPr>
                <w:rFonts w:hint="eastAsia"/>
                <w:b/>
                <w:bCs/>
                <w:color w:val="auto"/>
              </w:rPr>
            </w:pPr>
            <w:r>
              <w:rPr>
                <w:rFonts w:hint="eastAsia"/>
                <w:b/>
                <w:bCs/>
                <w:color w:val="auto"/>
              </w:rPr>
              <w:t>设备名称</w:t>
            </w:r>
          </w:p>
        </w:tc>
        <w:tc>
          <w:tcPr>
            <w:tcW w:w="598" w:type="pct"/>
            <w:noWrap w:val="0"/>
            <w:vAlign w:val="center"/>
          </w:tcPr>
          <w:p>
            <w:pPr>
              <w:jc w:val="center"/>
              <w:rPr>
                <w:rFonts w:hint="eastAsia"/>
                <w:b/>
                <w:bCs/>
                <w:color w:val="auto"/>
              </w:rPr>
            </w:pPr>
            <w:r>
              <w:rPr>
                <w:rFonts w:hint="eastAsia"/>
                <w:b/>
                <w:bCs/>
                <w:color w:val="auto"/>
              </w:rPr>
              <w:t>规格型号</w:t>
            </w:r>
          </w:p>
        </w:tc>
        <w:tc>
          <w:tcPr>
            <w:tcW w:w="430" w:type="pct"/>
            <w:noWrap w:val="0"/>
            <w:vAlign w:val="center"/>
          </w:tcPr>
          <w:p>
            <w:pPr>
              <w:jc w:val="center"/>
              <w:rPr>
                <w:rFonts w:hint="eastAsia"/>
                <w:b/>
                <w:bCs/>
                <w:color w:val="auto"/>
              </w:rPr>
            </w:pPr>
            <w:r>
              <w:rPr>
                <w:rFonts w:hint="eastAsia"/>
                <w:b/>
                <w:bCs/>
                <w:color w:val="auto"/>
              </w:rPr>
              <w:t>品牌</w:t>
            </w:r>
          </w:p>
        </w:tc>
        <w:tc>
          <w:tcPr>
            <w:tcW w:w="573" w:type="pct"/>
            <w:noWrap w:val="0"/>
            <w:vAlign w:val="center"/>
          </w:tcPr>
          <w:p>
            <w:pPr>
              <w:jc w:val="center"/>
              <w:rPr>
                <w:rFonts w:hint="eastAsia"/>
                <w:b/>
                <w:bCs/>
                <w:color w:val="auto"/>
              </w:rPr>
            </w:pPr>
            <w:r>
              <w:rPr>
                <w:rFonts w:hint="eastAsia"/>
                <w:b/>
                <w:bCs/>
                <w:color w:val="auto"/>
              </w:rPr>
              <w:t>原产地</w:t>
            </w:r>
          </w:p>
        </w:tc>
        <w:tc>
          <w:tcPr>
            <w:tcW w:w="430" w:type="pct"/>
            <w:noWrap w:val="0"/>
            <w:vAlign w:val="center"/>
          </w:tcPr>
          <w:p>
            <w:pPr>
              <w:jc w:val="center"/>
              <w:rPr>
                <w:rFonts w:hint="eastAsia"/>
                <w:b/>
                <w:bCs/>
                <w:color w:val="auto"/>
              </w:rPr>
            </w:pPr>
            <w:r>
              <w:rPr>
                <w:rFonts w:hint="eastAsia"/>
                <w:b/>
                <w:bCs/>
                <w:color w:val="auto"/>
              </w:rPr>
              <w:t>数量</w:t>
            </w:r>
          </w:p>
        </w:tc>
        <w:tc>
          <w:tcPr>
            <w:tcW w:w="430" w:type="pct"/>
            <w:noWrap w:val="0"/>
            <w:vAlign w:val="center"/>
          </w:tcPr>
          <w:p>
            <w:pPr>
              <w:jc w:val="center"/>
              <w:rPr>
                <w:rFonts w:hint="eastAsia"/>
                <w:b/>
                <w:bCs/>
                <w:color w:val="auto"/>
              </w:rPr>
            </w:pPr>
            <w:r>
              <w:rPr>
                <w:rFonts w:hint="eastAsia"/>
                <w:b/>
                <w:bCs/>
                <w:color w:val="auto"/>
              </w:rPr>
              <w:t>单位</w:t>
            </w:r>
          </w:p>
        </w:tc>
        <w:tc>
          <w:tcPr>
            <w:tcW w:w="430" w:type="pct"/>
            <w:noWrap w:val="0"/>
            <w:vAlign w:val="center"/>
          </w:tcPr>
          <w:p>
            <w:pPr>
              <w:jc w:val="center"/>
              <w:rPr>
                <w:rFonts w:hint="eastAsia"/>
                <w:b/>
                <w:bCs/>
                <w:color w:val="auto"/>
              </w:rPr>
            </w:pPr>
            <w:r>
              <w:rPr>
                <w:rFonts w:hint="eastAsia"/>
                <w:b/>
                <w:bCs/>
                <w:color w:val="auto"/>
              </w:rPr>
              <w:t>单价</w:t>
            </w:r>
          </w:p>
        </w:tc>
        <w:tc>
          <w:tcPr>
            <w:tcW w:w="716" w:type="pct"/>
            <w:noWrap w:val="0"/>
            <w:vAlign w:val="center"/>
          </w:tcPr>
          <w:p>
            <w:pPr>
              <w:jc w:val="center"/>
              <w:rPr>
                <w:rFonts w:hint="eastAsia"/>
                <w:b/>
                <w:bCs/>
                <w:color w:val="auto"/>
              </w:rPr>
            </w:pPr>
            <w:r>
              <w:rPr>
                <w:rFonts w:hint="eastAsia"/>
                <w:b/>
                <w:bCs/>
                <w:color w:val="auto"/>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3" w:type="pct"/>
            <w:noWrap w:val="0"/>
            <w:vAlign w:val="center"/>
          </w:tcPr>
          <w:p>
            <w:pPr>
              <w:jc w:val="center"/>
              <w:rPr>
                <w:rFonts w:hint="eastAsia"/>
                <w:color w:val="auto"/>
              </w:rPr>
            </w:pPr>
            <w:r>
              <w:rPr>
                <w:rFonts w:hint="eastAsia"/>
                <w:color w:val="auto"/>
              </w:rPr>
              <w:t>中标书上的设备名称</w:t>
            </w:r>
          </w:p>
          <w:p>
            <w:pPr>
              <w:jc w:val="center"/>
              <w:rPr>
                <w:rFonts w:hint="eastAsia"/>
                <w:color w:val="auto"/>
              </w:rPr>
            </w:pPr>
            <w:r>
              <w:rPr>
                <w:rFonts w:hint="eastAsia"/>
                <w:color w:val="auto"/>
              </w:rPr>
              <w:t>（注册证上设备名称）</w:t>
            </w:r>
          </w:p>
        </w:tc>
        <w:tc>
          <w:tcPr>
            <w:tcW w:w="598"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573"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716" w:type="pct"/>
            <w:noWrap w:val="0"/>
            <w:vAlign w:val="center"/>
          </w:tcPr>
          <w:p>
            <w:pPr>
              <w:jc w:val="center"/>
              <w:rPr>
                <w:rFonts w:hint="eastAsia"/>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3" w:type="pct"/>
            <w:noWrap w:val="0"/>
            <w:vAlign w:val="center"/>
          </w:tcPr>
          <w:p>
            <w:pPr>
              <w:jc w:val="center"/>
              <w:rPr>
                <w:rFonts w:hint="eastAsia"/>
                <w:color w:val="auto"/>
              </w:rPr>
            </w:pPr>
          </w:p>
        </w:tc>
        <w:tc>
          <w:tcPr>
            <w:tcW w:w="598"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573"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716" w:type="pct"/>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3" w:type="pct"/>
            <w:noWrap w:val="0"/>
            <w:vAlign w:val="center"/>
          </w:tcPr>
          <w:p>
            <w:pPr>
              <w:jc w:val="center"/>
              <w:rPr>
                <w:rFonts w:hint="eastAsia"/>
                <w:color w:val="auto"/>
              </w:rPr>
            </w:pPr>
          </w:p>
        </w:tc>
        <w:tc>
          <w:tcPr>
            <w:tcW w:w="598"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573"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716" w:type="pct"/>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93" w:type="pct"/>
            <w:noWrap w:val="0"/>
            <w:vAlign w:val="center"/>
          </w:tcPr>
          <w:p>
            <w:pPr>
              <w:jc w:val="center"/>
              <w:rPr>
                <w:rFonts w:hint="eastAsia"/>
                <w:color w:val="auto"/>
              </w:rPr>
            </w:pPr>
          </w:p>
        </w:tc>
        <w:tc>
          <w:tcPr>
            <w:tcW w:w="598"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573"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430" w:type="pct"/>
            <w:noWrap w:val="0"/>
            <w:vAlign w:val="center"/>
          </w:tcPr>
          <w:p>
            <w:pPr>
              <w:jc w:val="center"/>
              <w:rPr>
                <w:rFonts w:hint="eastAsia"/>
                <w:color w:val="auto"/>
              </w:rPr>
            </w:pPr>
          </w:p>
        </w:tc>
        <w:tc>
          <w:tcPr>
            <w:tcW w:w="716" w:type="pct"/>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00" w:type="pct"/>
            <w:gridSpan w:val="8"/>
            <w:noWrap w:val="0"/>
            <w:vAlign w:val="center"/>
          </w:tcPr>
          <w:p>
            <w:pPr>
              <w:rPr>
                <w:rFonts w:hint="eastAsia"/>
                <w:b/>
                <w:bCs/>
                <w:color w:val="auto"/>
              </w:rPr>
            </w:pPr>
            <w:r>
              <w:rPr>
                <w:rFonts w:hint="eastAsia"/>
                <w:b/>
                <w:bCs/>
                <w:color w:val="auto"/>
              </w:rPr>
              <w:t>合计成交金额（大写）：</w:t>
            </w:r>
            <w:r>
              <w:rPr>
                <w:b/>
                <w:bCs/>
                <w:color w:val="auto"/>
              </w:rPr>
              <w:t xml:space="preserve"> </w:t>
            </w:r>
            <w:r>
              <w:rPr>
                <w:rFonts w:hint="eastAsia"/>
                <w:b/>
                <w:bCs/>
                <w:color w:val="auto"/>
              </w:rPr>
              <w:t>　</w:t>
            </w:r>
            <w:r>
              <w:rPr>
                <w:b/>
                <w:bCs/>
                <w:color w:val="auto"/>
              </w:rPr>
              <w:t xml:space="preserve">  </w:t>
            </w:r>
            <w:r>
              <w:rPr>
                <w:rFonts w:hint="eastAsia"/>
                <w:b/>
                <w:bCs/>
                <w:color w:val="auto"/>
              </w:rPr>
              <w:t xml:space="preserve">              万       仟  　</w:t>
            </w:r>
            <w:r>
              <w:rPr>
                <w:b/>
                <w:bCs/>
                <w:color w:val="auto"/>
              </w:rPr>
              <w:t xml:space="preserve"> </w:t>
            </w:r>
            <w:r>
              <w:rPr>
                <w:rFonts w:hint="eastAsia"/>
                <w:b/>
                <w:bCs/>
                <w:color w:val="auto"/>
              </w:rPr>
              <w:t>佰</w:t>
            </w:r>
            <w:r>
              <w:rPr>
                <w:b/>
                <w:bCs/>
                <w:color w:val="auto"/>
              </w:rPr>
              <w:t xml:space="preserve"> </w:t>
            </w:r>
            <w:r>
              <w:rPr>
                <w:rFonts w:hint="eastAsia"/>
                <w:b/>
                <w:bCs/>
                <w:color w:val="auto"/>
              </w:rPr>
              <w:t xml:space="preserve"> </w:t>
            </w:r>
            <w:r>
              <w:rPr>
                <w:b/>
                <w:bCs/>
                <w:color w:val="auto"/>
              </w:rPr>
              <w:t xml:space="preserve"> </w:t>
            </w:r>
            <w:r>
              <w:rPr>
                <w:rFonts w:hint="eastAsia"/>
                <w:b/>
                <w:bCs/>
                <w:color w:val="auto"/>
              </w:rPr>
              <w:t xml:space="preserve">       整(RMB)</w:t>
            </w:r>
          </w:p>
        </w:tc>
      </w:tr>
    </w:tbl>
    <w:p>
      <w:pPr>
        <w:ind w:firstLine="315" w:firstLineChars="150"/>
        <w:rPr>
          <w:rFonts w:hint="eastAsia"/>
          <w:color w:val="auto"/>
        </w:rPr>
      </w:pPr>
      <w:r>
        <w:rPr>
          <w:rFonts w:hint="eastAsia"/>
          <w:color w:val="auto"/>
        </w:rPr>
        <w:t>本合同若有详细的双方签字的配置清单，请详见附件。</w:t>
      </w:r>
    </w:p>
    <w:p>
      <w:pPr>
        <w:ind w:left="358" w:hanging="358" w:hangingChars="170"/>
        <w:rPr>
          <w:rFonts w:hint="eastAsia"/>
          <w:b/>
          <w:bCs/>
          <w:color w:val="auto"/>
        </w:rPr>
      </w:pPr>
      <w:r>
        <w:rPr>
          <w:rFonts w:hint="eastAsia"/>
          <w:b/>
          <w:bCs/>
          <w:color w:val="auto"/>
        </w:rPr>
        <w:t xml:space="preserve">2.设备的交付期 </w:t>
      </w:r>
      <w:r>
        <w:rPr>
          <w:rFonts w:hint="eastAsia"/>
          <w:color w:val="auto"/>
        </w:rPr>
        <w:t>乙方在合同生效的</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rPr>
        <w:t>天内向甲方交付上述设备，逾期将按照第7条规定执行。</w:t>
      </w:r>
    </w:p>
    <w:p>
      <w:pPr>
        <w:rPr>
          <w:rFonts w:hint="eastAsia"/>
          <w:b/>
          <w:bCs/>
          <w:color w:val="auto"/>
        </w:rPr>
      </w:pPr>
      <w:r>
        <w:rPr>
          <w:rFonts w:hint="eastAsia"/>
          <w:b/>
          <w:bCs/>
          <w:color w:val="auto"/>
        </w:rPr>
        <w:t>3.设备运输、安装和验收</w:t>
      </w:r>
    </w:p>
    <w:p>
      <w:pPr>
        <w:ind w:left="359" w:leftChars="171"/>
        <w:rPr>
          <w:rFonts w:hint="eastAsia"/>
          <w:color w:val="auto"/>
        </w:rPr>
      </w:pPr>
      <w:r>
        <w:rPr>
          <w:rFonts w:hint="eastAsia"/>
          <w:color w:val="auto"/>
        </w:rPr>
        <w:t>3.1乙方确保设备安全无损地运抵甲方指定现场,并承担设备的运费、保险费等费用，装卸费由</w:t>
      </w:r>
      <w:r>
        <w:rPr>
          <w:rFonts w:hint="eastAsia"/>
          <w:color w:val="auto"/>
          <w:u w:val="single"/>
        </w:rPr>
        <w:t>____乙方___</w:t>
      </w:r>
      <w:r>
        <w:rPr>
          <w:rFonts w:hint="eastAsia"/>
          <w:color w:val="auto"/>
        </w:rPr>
        <w:t xml:space="preserve">承担。  </w:t>
      </w:r>
    </w:p>
    <w:p>
      <w:pPr>
        <w:ind w:left="359" w:leftChars="171"/>
        <w:rPr>
          <w:rFonts w:hint="eastAsia"/>
          <w:color w:val="auto"/>
        </w:rPr>
      </w:pPr>
      <w:r>
        <w:rPr>
          <w:rFonts w:hint="eastAsia"/>
          <w:color w:val="auto"/>
        </w:rPr>
        <w:t>3.2甲乙双方对设备进行开箱清点检查验收，如果发现数量不足或有质量、技术等问题，乙方应在______天内，按照甲方的要求，采取补足、更换或退货等处理措施，并承担由此发生的一切损失和费用。</w:t>
      </w:r>
    </w:p>
    <w:p>
      <w:pPr>
        <w:ind w:left="359" w:leftChars="171"/>
        <w:rPr>
          <w:rFonts w:hint="eastAsia"/>
          <w:color w:val="auto"/>
        </w:rPr>
      </w:pPr>
      <w:r>
        <w:rPr>
          <w:rFonts w:hint="eastAsia"/>
          <w:color w:val="auto"/>
        </w:rPr>
        <w:t>3.3设备到货后，乙方应在接到甲方通知后______天内安装调试完成。</w:t>
      </w:r>
    </w:p>
    <w:p>
      <w:pPr>
        <w:ind w:left="359" w:leftChars="171"/>
        <w:rPr>
          <w:rFonts w:hint="eastAsia"/>
          <w:color w:val="auto"/>
        </w:rPr>
      </w:pPr>
      <w:r>
        <w:rPr>
          <w:rFonts w:hint="eastAsia"/>
          <w:color w:val="auto"/>
        </w:rPr>
        <w:t>3.4甲、乙双方在符合国家相关技术标准的基础上，根据合同的技术标准(见附件)进行技术验收，验收合格后，双方在甲方《验收合格单》上签字确认。</w:t>
      </w:r>
    </w:p>
    <w:p>
      <w:pPr>
        <w:rPr>
          <w:rFonts w:hint="eastAsia"/>
          <w:b/>
          <w:bCs/>
          <w:color w:val="auto"/>
        </w:rPr>
      </w:pPr>
      <w:r>
        <w:rPr>
          <w:rFonts w:hint="eastAsia"/>
          <w:b/>
          <w:bCs/>
          <w:color w:val="auto"/>
        </w:rPr>
        <w:t>4</w:t>
      </w:r>
      <w:r>
        <w:rPr>
          <w:rFonts w:hint="eastAsia"/>
          <w:color w:val="auto"/>
        </w:rPr>
        <w:t>.</w:t>
      </w:r>
      <w:r>
        <w:rPr>
          <w:rFonts w:hint="eastAsia"/>
          <w:b/>
          <w:bCs/>
          <w:color w:val="auto"/>
        </w:rPr>
        <w:t>付款方式</w:t>
      </w:r>
    </w:p>
    <w:p>
      <w:pPr>
        <w:ind w:firstLine="640" w:firstLineChars="305"/>
        <w:rPr>
          <w:rFonts w:hint="eastAsia"/>
          <w:color w:val="auto"/>
        </w:rPr>
      </w:pPr>
      <w:r>
        <w:rPr>
          <w:rFonts w:hint="eastAsia"/>
          <w:color w:val="auto"/>
          <w:sz w:val="21"/>
          <w:szCs w:val="21"/>
        </w:rPr>
        <w:t>合同签订后支付90%预付款，安装调试验收合格后60天内支付10%。</w:t>
      </w:r>
      <w:r>
        <w:rPr>
          <w:color w:val="auto"/>
          <w:sz w:val="20"/>
          <w:szCs w:val="21"/>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57150</wp:posOffset>
                </wp:positionV>
                <wp:extent cx="114300" cy="99060"/>
                <wp:effectExtent l="4445" t="4445" r="8255" b="10795"/>
                <wp:wrapNone/>
                <wp:docPr id="2" name="矩形 2"/>
                <wp:cNvGraphicFramePr/>
                <a:graphic xmlns:a="http://schemas.openxmlformats.org/drawingml/2006/main">
                  <a:graphicData uri="http://schemas.microsoft.com/office/word/2010/wordprocessingShape">
                    <wps:wsp>
                      <wps:cNvSpPr/>
                      <wps:spPr>
                        <a:xfrm>
                          <a:off x="0" y="0"/>
                          <a:ext cx="11430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pt;margin-top:4.5pt;height:7.8pt;width:9pt;z-index:251660288;mso-width-relative:page;mso-height-relative:page;" fillcolor="#FFFFFF" filled="t" stroked="t" coordsize="21600,21600" o:gfxdata="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njo59UAAAAGAQAADwAAAAAAAAABACAAAAAiAAAAZHJzL2Rvd25yZXYueG1s&#10;UEsBAhQAFAAAAAgAh07iQJ2Uo0n7AQAAHAQAAA4AAAAAAAAAAQAgAAAAJAEAAGRycy9lMm9Eb2Mu&#10;eG1sUEsFBgAAAAAGAAYAWQEAAJEFAAAAAA==&#10;">
                <v:fill on="t" focussize="0,0"/>
                <v:stroke color="#000000" joinstyle="miter"/>
                <v:imagedata o:title=""/>
                <o:lock v:ext="edit" aspectratio="f"/>
              </v:rect>
            </w:pict>
          </mc:Fallback>
        </mc:AlternateContent>
      </w:r>
    </w:p>
    <w:p>
      <w:pPr>
        <w:rPr>
          <w:rFonts w:hint="eastAsia"/>
          <w:b/>
          <w:bCs/>
          <w:color w:val="auto"/>
        </w:rPr>
      </w:pPr>
      <w:r>
        <w:rPr>
          <w:rFonts w:hint="eastAsia"/>
          <w:b/>
          <w:color w:val="auto"/>
        </w:rPr>
        <w:t>5</w:t>
      </w:r>
      <w:r>
        <w:rPr>
          <w:rFonts w:hint="eastAsia"/>
          <w:b/>
          <w:bCs/>
          <w:color w:val="auto"/>
        </w:rPr>
        <w:t>.伴随服务</w:t>
      </w:r>
    </w:p>
    <w:p>
      <w:pPr>
        <w:ind w:left="428" w:leftChars="172" w:hanging="67" w:hangingChars="32"/>
        <w:rPr>
          <w:rFonts w:hint="eastAsia"/>
          <w:color w:val="auto"/>
        </w:rPr>
      </w:pPr>
      <w:r>
        <w:rPr>
          <w:rFonts w:hint="eastAsia"/>
          <w:color w:val="auto"/>
        </w:rPr>
        <w:t>5.1乙方应提供设备的技术文件，包括相应的图纸、操作手册、维护手册、质量保证文件、服务指南等，这些文件应随同设备一起发运至甲方。</w:t>
      </w:r>
    </w:p>
    <w:p>
      <w:pPr>
        <w:ind w:firstLine="359" w:firstLineChars="171"/>
        <w:rPr>
          <w:rFonts w:hint="eastAsia"/>
          <w:color w:val="auto"/>
        </w:rPr>
      </w:pPr>
      <w:r>
        <w:rPr>
          <w:rFonts w:hint="eastAsia"/>
          <w:color w:val="auto"/>
        </w:rPr>
        <w:t>5.2乙方还应免费提供下列服务：</w:t>
      </w:r>
    </w:p>
    <w:p>
      <w:pPr>
        <w:numPr>
          <w:ilvl w:val="0"/>
          <w:numId w:val="15"/>
        </w:numPr>
        <w:rPr>
          <w:rFonts w:hint="eastAsia"/>
          <w:color w:val="auto"/>
        </w:rPr>
      </w:pPr>
      <w:r>
        <w:rPr>
          <w:rFonts w:hint="eastAsia"/>
          <w:color w:val="auto"/>
        </w:rPr>
        <w:t>设备的现场安装和调试</w:t>
      </w:r>
    </w:p>
    <w:p>
      <w:pPr>
        <w:numPr>
          <w:ilvl w:val="0"/>
          <w:numId w:val="15"/>
        </w:numPr>
        <w:rPr>
          <w:rFonts w:hint="eastAsia"/>
          <w:color w:val="auto"/>
        </w:rPr>
      </w:pPr>
      <w:r>
        <w:rPr>
          <w:rFonts w:hint="eastAsia"/>
          <w:color w:val="auto"/>
        </w:rPr>
        <w:t>提供设备安装和维修所需的专用工具和辅助材料</w:t>
      </w:r>
    </w:p>
    <w:p>
      <w:pPr>
        <w:numPr>
          <w:ilvl w:val="0"/>
          <w:numId w:val="15"/>
        </w:numPr>
        <w:rPr>
          <w:rFonts w:hint="eastAsia"/>
          <w:color w:val="auto"/>
        </w:rPr>
      </w:pPr>
      <w:r>
        <w:rPr>
          <w:rFonts w:hint="eastAsia"/>
          <w:color w:val="auto"/>
        </w:rPr>
        <w:t>乙方应派专业技术人员在项目现场对甲方使用人员进行培训或指导，在使用一段时间后可根据甲方的要求另行安排培训计划。</w:t>
      </w:r>
    </w:p>
    <w:p>
      <w:pPr>
        <w:rPr>
          <w:rFonts w:hint="eastAsia"/>
          <w:color w:val="auto"/>
        </w:rPr>
      </w:pPr>
      <w:r>
        <w:rPr>
          <w:rFonts w:hint="eastAsia"/>
          <w:b/>
          <w:bCs/>
          <w:color w:val="auto"/>
        </w:rPr>
        <w:t>6.质量保证及售后服务</w:t>
      </w:r>
    </w:p>
    <w:p>
      <w:pPr>
        <w:ind w:left="357" w:leftChars="170" w:firstLine="1"/>
        <w:rPr>
          <w:rFonts w:hint="eastAsia"/>
          <w:color w:val="auto"/>
        </w:rPr>
      </w:pPr>
      <w:r>
        <w:rPr>
          <w:rFonts w:hint="eastAsia"/>
          <w:color w:val="auto"/>
        </w:rPr>
        <w:t>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357" w:leftChars="170" w:firstLine="1"/>
        <w:rPr>
          <w:rFonts w:hint="eastAsia"/>
          <w:color w:val="auto"/>
        </w:rPr>
      </w:pPr>
      <w:r>
        <w:rPr>
          <w:rFonts w:hint="eastAsia"/>
          <w:color w:val="auto"/>
        </w:rPr>
        <w:t>6.2乙方应提供保修期_______月，保修期的期限应以甲乙双方的验收合格之日起计算，保修期内免费更换零配件及工时费。乙方在保修期内应确保开机率为95%以上，如达不到此要求，即相应延长保修期。</w:t>
      </w:r>
    </w:p>
    <w:p>
      <w:pPr>
        <w:ind w:firstLine="359" w:firstLineChars="171"/>
        <w:rPr>
          <w:rFonts w:hint="eastAsia"/>
          <w:color w:val="auto"/>
        </w:rPr>
      </w:pPr>
      <w:r>
        <w:rPr>
          <w:rFonts w:hint="eastAsia"/>
          <w:color w:val="auto"/>
        </w:rPr>
        <w:t>6.3报修响应时间_______小时，到场时间_________小时（不可抗拒力量下除外）。</w:t>
      </w:r>
    </w:p>
    <w:p>
      <w:pPr>
        <w:ind w:left="357" w:leftChars="170" w:firstLine="1"/>
        <w:rPr>
          <w:rFonts w:hint="eastAsia"/>
          <w:color w:val="auto"/>
        </w:rPr>
      </w:pPr>
      <w:r>
        <w:rPr>
          <w:rFonts w:hint="eastAsia"/>
          <w:color w:val="auto"/>
        </w:rPr>
        <w:t>6.4保修期满后，人工费免，年度保修合同价不高于设备总价的</w:t>
      </w:r>
      <w:r>
        <w:rPr>
          <w:rFonts w:hint="eastAsia"/>
          <w:color w:val="auto"/>
          <w:u w:val="single"/>
        </w:rPr>
        <w:t>___5___</w:t>
      </w:r>
      <w:r>
        <w:rPr>
          <w:rFonts w:hint="eastAsia"/>
          <w:color w:val="auto"/>
        </w:rPr>
        <w:t>%，年度定期预防性维护保养次数，不少于_______次。</w:t>
      </w:r>
    </w:p>
    <w:p>
      <w:pPr>
        <w:ind w:left="357" w:leftChars="170" w:firstLine="1"/>
        <w:rPr>
          <w:rFonts w:hint="eastAsia"/>
          <w:color w:val="auto"/>
        </w:rPr>
      </w:pPr>
      <w:r>
        <w:rPr>
          <w:rFonts w:hint="eastAsia"/>
          <w:color w:val="auto"/>
        </w:rPr>
        <w:t>6.5乙方负责设备的终身维修并应继续提供优质的服务，储备足够的零配件备库，保修期满后，以__________的优惠价供应维修零配件，消耗品的供应应由双方另设协议决定。</w:t>
      </w:r>
    </w:p>
    <w:p>
      <w:pPr>
        <w:rPr>
          <w:rFonts w:hint="eastAsia"/>
          <w:b/>
          <w:bCs/>
          <w:color w:val="auto"/>
        </w:rPr>
      </w:pPr>
      <w:r>
        <w:rPr>
          <w:rFonts w:hint="eastAsia"/>
          <w:b/>
          <w:bCs/>
          <w:color w:val="auto"/>
        </w:rPr>
        <w:t>7.索赔条款</w:t>
      </w:r>
    </w:p>
    <w:p>
      <w:pPr>
        <w:ind w:left="357" w:leftChars="170" w:firstLine="1"/>
        <w:rPr>
          <w:rFonts w:hint="eastAsia"/>
          <w:color w:val="auto"/>
        </w:rPr>
      </w:pPr>
      <w:r>
        <w:rPr>
          <w:rFonts w:hint="eastAsia"/>
          <w:color w:val="auto"/>
        </w:rPr>
        <w:t>7.1 如经国家食品药品监督管理局检验确认货物不符合本合同约定，买方有权选择下列方式之一要求卖方进行补救：</w:t>
      </w:r>
    </w:p>
    <w:p>
      <w:pPr>
        <w:ind w:left="428" w:leftChars="172" w:hanging="67" w:hangingChars="32"/>
        <w:rPr>
          <w:rFonts w:hint="eastAsia"/>
          <w:color w:val="auto"/>
        </w:rPr>
      </w:pPr>
      <w:r>
        <w:rPr>
          <w:rFonts w:hint="eastAsia"/>
          <w:color w:val="auto"/>
        </w:rPr>
        <w:t>7.1.1同意买方退货，并将全额货款偿还买方，并负担因退货而发生的一切直接损失和费用。</w:t>
      </w:r>
    </w:p>
    <w:p>
      <w:pPr>
        <w:ind w:left="428" w:leftChars="172" w:hanging="67" w:hangingChars="32"/>
        <w:rPr>
          <w:rFonts w:hint="eastAsia"/>
          <w:color w:val="auto"/>
        </w:rPr>
      </w:pPr>
      <w:r>
        <w:rPr>
          <w:rFonts w:hint="eastAsia"/>
          <w:color w:val="auto"/>
        </w:rPr>
        <w:t>7.1.2按照货物的疵劣程度、损坏的范围和买方所遭受的损失，将货物贬值。</w:t>
      </w:r>
    </w:p>
    <w:p>
      <w:pPr>
        <w:ind w:left="357" w:leftChars="170" w:firstLine="1"/>
        <w:rPr>
          <w:rFonts w:hint="eastAsia"/>
          <w:color w:val="auto"/>
        </w:rPr>
      </w:pPr>
      <w:r>
        <w:rPr>
          <w:rFonts w:hint="eastAsia"/>
          <w:color w:val="auto"/>
        </w:rPr>
        <w:t>7.1.3调换有瑕疵的货物，换货必须全新并符合本合同规定的规格，质量和性能，卖方并负责因此而产生的一切费用和买方的一切直接损失。</w:t>
      </w:r>
    </w:p>
    <w:p>
      <w:pPr>
        <w:ind w:left="357" w:leftChars="170" w:firstLine="1"/>
        <w:rPr>
          <w:rFonts w:hint="eastAsia"/>
          <w:color w:val="auto"/>
        </w:rPr>
      </w:pPr>
      <w:r>
        <w:rPr>
          <w:rFonts w:hint="eastAsia"/>
          <w:color w:val="auto"/>
        </w:rPr>
        <w:t>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420" w:leftChars="200"/>
        <w:rPr>
          <w:rFonts w:hint="eastAsia"/>
          <w:color w:val="auto"/>
        </w:rPr>
      </w:pPr>
      <w:r>
        <w:rPr>
          <w:rFonts w:hint="eastAsia"/>
          <w:color w:val="auto"/>
        </w:rPr>
        <w:t>7.3乙方应保证甲方和使用单位在使用该设备或其任何一部分时免受第三方提出侵犯其专利权、商标权或工业产权的起诉。</w:t>
      </w:r>
    </w:p>
    <w:p>
      <w:pPr>
        <w:rPr>
          <w:rFonts w:hint="eastAsia"/>
          <w:b/>
          <w:bCs/>
          <w:color w:val="auto"/>
        </w:rPr>
      </w:pPr>
      <w:r>
        <w:rPr>
          <w:rFonts w:hint="eastAsia"/>
          <w:b/>
          <w:bCs/>
          <w:color w:val="auto"/>
        </w:rPr>
        <w:t>8.争端的解决</w:t>
      </w:r>
    </w:p>
    <w:p>
      <w:pPr>
        <w:ind w:left="357" w:leftChars="170" w:firstLine="1"/>
        <w:rPr>
          <w:rFonts w:hint="eastAsia"/>
          <w:color w:val="auto"/>
        </w:rPr>
      </w:pPr>
      <w:r>
        <w:rPr>
          <w:rFonts w:hint="eastAsia"/>
          <w:color w:val="auto"/>
        </w:rPr>
        <w:t>双方如在履行合同中发生纠纷，首先应友好协商，协商不成，双方均应向甲方所在地人民法院起诉。</w:t>
      </w:r>
    </w:p>
    <w:p>
      <w:pPr>
        <w:rPr>
          <w:rFonts w:hint="eastAsia"/>
          <w:b/>
          <w:bCs/>
          <w:color w:val="auto"/>
        </w:rPr>
      </w:pPr>
      <w:r>
        <w:rPr>
          <w:rFonts w:hint="eastAsia"/>
          <w:b/>
          <w:bCs/>
          <w:color w:val="auto"/>
        </w:rPr>
        <w:t>9.合同生效</w:t>
      </w:r>
    </w:p>
    <w:p>
      <w:pPr>
        <w:ind w:left="419" w:leftChars="172" w:hanging="58" w:hangingChars="28"/>
        <w:rPr>
          <w:rFonts w:hint="eastAsia"/>
          <w:color w:val="auto"/>
        </w:rPr>
      </w:pPr>
      <w:r>
        <w:rPr>
          <w:rFonts w:hint="eastAsia"/>
          <w:color w:val="auto"/>
        </w:rPr>
        <w:t>9.1 本合同在甲、乙双方签字盖章后生效。</w:t>
      </w:r>
    </w:p>
    <w:p>
      <w:pPr>
        <w:ind w:left="419" w:leftChars="172" w:hanging="58" w:hangingChars="28"/>
        <w:rPr>
          <w:rFonts w:hint="eastAsia"/>
          <w:color w:val="auto"/>
        </w:rPr>
      </w:pPr>
      <w:r>
        <w:rPr>
          <w:rFonts w:hint="eastAsia"/>
          <w:color w:val="auto"/>
        </w:rPr>
        <w:t>9.2 本合同一式</w:t>
      </w:r>
      <w:r>
        <w:rPr>
          <w:rFonts w:hint="eastAsia"/>
          <w:color w:val="auto"/>
          <w:u w:val="single"/>
        </w:rPr>
        <w:t>_3_</w:t>
      </w:r>
      <w:r>
        <w:rPr>
          <w:rFonts w:hint="eastAsia"/>
          <w:color w:val="auto"/>
        </w:rPr>
        <w:t>份，以中文书就，甲方执</w:t>
      </w:r>
      <w:r>
        <w:rPr>
          <w:rFonts w:hint="eastAsia"/>
          <w:color w:val="auto"/>
          <w:u w:val="single"/>
        </w:rPr>
        <w:t xml:space="preserve"> 2</w:t>
      </w:r>
      <w:r>
        <w:rPr>
          <w:rFonts w:hint="eastAsia"/>
          <w:color w:val="auto"/>
        </w:rPr>
        <w:t>份，乙方执</w:t>
      </w:r>
      <w:r>
        <w:rPr>
          <w:rFonts w:hint="eastAsia"/>
          <w:color w:val="auto"/>
          <w:u w:val="single"/>
        </w:rPr>
        <w:t xml:space="preserve"> 1</w:t>
      </w:r>
      <w:r>
        <w:rPr>
          <w:rFonts w:hint="eastAsia"/>
          <w:color w:val="auto"/>
        </w:rPr>
        <w:t>份，具有相同的法律效应。</w:t>
      </w:r>
    </w:p>
    <w:p>
      <w:pPr>
        <w:rPr>
          <w:rFonts w:hint="eastAsia"/>
          <w:color w:val="auto"/>
        </w:rPr>
      </w:pPr>
      <w:r>
        <w:rPr>
          <w:rFonts w:hint="eastAsia"/>
          <w:b/>
          <w:bCs/>
          <w:color w:val="auto"/>
        </w:rPr>
        <w:t xml:space="preserve">10.合同附件 </w:t>
      </w:r>
      <w:r>
        <w:rPr>
          <w:rFonts w:hint="eastAsia"/>
          <w:color w:val="auto"/>
        </w:rPr>
        <w:t>合同附件是合同的不可分割的组成部分，与合同具有同等法律效力。</w:t>
      </w:r>
    </w:p>
    <w:p>
      <w:pPr>
        <w:ind w:left="417" w:leftChars="172" w:hanging="56" w:hangingChars="28"/>
        <w:rPr>
          <w:rFonts w:hint="eastAsia"/>
          <w:color w:val="auto"/>
        </w:rPr>
      </w:pPr>
      <w:r>
        <w:rPr>
          <w:color w:val="auto"/>
          <w:sz w:val="20"/>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38100</wp:posOffset>
                </wp:positionV>
                <wp:extent cx="114300" cy="99060"/>
                <wp:effectExtent l="4445" t="4445" r="8255" b="10795"/>
                <wp:wrapNone/>
                <wp:docPr id="1" name="矩形 1"/>
                <wp:cNvGraphicFramePr/>
                <a:graphic xmlns:a="http://schemas.openxmlformats.org/drawingml/2006/main">
                  <a:graphicData uri="http://schemas.microsoft.com/office/word/2010/wordprocessingShape">
                    <wps:wsp>
                      <wps:cNvSpPr/>
                      <wps:spPr>
                        <a:xfrm>
                          <a:off x="0" y="0"/>
                          <a:ext cx="114300" cy="990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0.25pt;margin-top:3pt;height:7.8pt;width:9pt;z-index:251659264;mso-width-relative:page;mso-height-relative:page;" fillcolor="#FFFFFF" filled="t" stroked="t" coordsize="21600,21600" o:gfxdata="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ZFIdYAAAAIAQAADwAAAAAAAAABACAAAAAiAAAAZHJzL2Rvd25yZXYueG1s&#10;UEsBAhQAFAAAAAgAh07iQF7q7IT6AQAAHAQAAA4AAAAAAAAAAQAgAAAAJQEAAGRycy9lMm9Eb2Mu&#10;eG1sUEsFBgAAAAAGAAYAWQEAAJEFAAAAAA==&#10;">
                <v:fill on="t" focussize="0,0"/>
                <v:stroke color="#000000" joinstyle="miter"/>
                <v:imagedata o:title=""/>
                <o:lock v:ext="edit" aspectratio="f"/>
              </v:rect>
            </w:pict>
          </mc:Fallback>
        </mc:AlternateContent>
      </w:r>
      <w:r>
        <w:rPr>
          <w:rFonts w:hint="eastAsia"/>
          <w:color w:val="auto"/>
        </w:rPr>
        <w:t>10.1配置清单        设备的配置清单</w:t>
      </w:r>
    </w:p>
    <w:p>
      <w:pPr>
        <w:ind w:left="1260" w:hanging="1260" w:hangingChars="600"/>
        <w:rPr>
          <w:color w:val="auto"/>
        </w:rPr>
      </w:pPr>
    </w:p>
    <w:p>
      <w:pPr>
        <w:ind w:left="1260" w:hanging="1260" w:hangingChars="600"/>
        <w:rPr>
          <w:rFonts w:hint="eastAsia"/>
          <w:color w:val="auto"/>
        </w:rPr>
      </w:pPr>
    </w:p>
    <w:p>
      <w:pPr>
        <w:ind w:firstLine="422" w:firstLineChars="200"/>
        <w:rPr>
          <w:rFonts w:hint="eastAsia"/>
          <w:b/>
          <w:bCs/>
          <w:color w:val="auto"/>
        </w:rPr>
      </w:pPr>
      <w:r>
        <w:rPr>
          <w:rFonts w:hint="eastAsia"/>
          <w:b/>
          <w:bCs/>
          <w:color w:val="auto"/>
        </w:rPr>
        <w:t xml:space="preserve">甲方：复旦大学附属中山医院                        乙方： </w:t>
      </w:r>
    </w:p>
    <w:p>
      <w:pPr>
        <w:ind w:firstLine="310" w:firstLineChars="147"/>
        <w:rPr>
          <w:rFonts w:hint="eastAsia"/>
          <w:b/>
          <w:bCs/>
          <w:color w:val="auto"/>
        </w:rPr>
      </w:pPr>
      <w:r>
        <w:rPr>
          <w:rFonts w:hint="eastAsia"/>
          <w:b/>
          <w:bCs/>
          <w:color w:val="auto"/>
        </w:rPr>
        <w:t>（盖章）                                          （盖章）</w:t>
      </w:r>
    </w:p>
    <w:p>
      <w:pPr>
        <w:ind w:left="420"/>
        <w:rPr>
          <w:rFonts w:hint="eastAsia"/>
          <w:b/>
          <w:bCs/>
          <w:color w:val="auto"/>
        </w:rPr>
      </w:pPr>
      <w:r>
        <w:rPr>
          <w:rFonts w:hint="eastAsia"/>
          <w:b/>
          <w:bCs/>
          <w:color w:val="auto"/>
        </w:rPr>
        <w:t>甲方法定代表人或授权委托人                      乙方法定代表人或授权委托人</w:t>
      </w:r>
    </w:p>
    <w:p>
      <w:pPr>
        <w:ind w:firstLine="422" w:firstLineChars="200"/>
        <w:rPr>
          <w:rFonts w:hint="eastAsia"/>
          <w:b/>
          <w:color w:val="auto"/>
        </w:rPr>
      </w:pPr>
      <w:r>
        <w:rPr>
          <w:rFonts w:hint="eastAsia"/>
          <w:b/>
          <w:color w:val="auto"/>
        </w:rPr>
        <w:t>__________________________                      __________________________</w:t>
      </w:r>
    </w:p>
    <w:p>
      <w:pPr>
        <w:ind w:firstLine="422" w:firstLineChars="200"/>
        <w:rPr>
          <w:rFonts w:hint="eastAsia"/>
          <w:b/>
          <w:color w:val="auto"/>
        </w:rPr>
      </w:pPr>
      <w:r>
        <w:rPr>
          <w:rFonts w:hint="eastAsia"/>
          <w:b/>
          <w:color w:val="auto"/>
        </w:rPr>
        <w:t>日期：____________________                        日期：____________________</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rPr>
      </w:pPr>
    </w:p>
    <w:p>
      <w:pPr>
        <w:pStyle w:val="3"/>
        <w:keepNext w:val="0"/>
        <w:keepLines w:val="0"/>
        <w:pageBreakBefore w:val="0"/>
        <w:kinsoku/>
        <w:overflowPunct/>
        <w:bidi w:val="0"/>
        <w:spacing w:before="0" w:beforeLines="0" w:beforeAutospacing="0" w:after="0" w:afterLines="0" w:afterAutospacing="0" w:line="360" w:lineRule="auto"/>
        <w:jc w:val="both"/>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bookmarkEnd w:id="239"/>
    <w:bookmarkEnd w:id="240"/>
    <w:bookmarkEnd w:id="241"/>
    <w:bookmarkEnd w:id="242"/>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sectPr>
          <w:footerReference r:id="rId4" w:type="default"/>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bookmarkStart w:id="252" w:name="_Toc15568"/>
      <w:bookmarkStart w:id="253" w:name="_Toc392227905"/>
      <w:bookmarkStart w:id="254" w:name="_Toc24324"/>
      <w:bookmarkStart w:id="255" w:name="_Toc457748048"/>
    </w:p>
    <w:p>
      <w:pPr>
        <w:jc w:val="center"/>
        <w:rPr>
          <w:b/>
          <w:bCs/>
          <w:color w:val="auto"/>
          <w:sz w:val="24"/>
        </w:rPr>
      </w:pPr>
      <w:bookmarkStart w:id="256" w:name="_Toc392227903"/>
      <w:bookmarkStart w:id="257" w:name="_Toc457748070"/>
      <w:bookmarkStart w:id="258" w:name="_Toc29349"/>
      <w:bookmarkStart w:id="259" w:name="_Toc32541"/>
      <w:bookmarkStart w:id="260" w:name="_Toc21503"/>
      <w:r>
        <w:rPr>
          <w:rFonts w:hint="eastAsia"/>
          <w:b/>
          <w:bCs/>
          <w:color w:val="auto"/>
          <w:sz w:val="24"/>
        </w:rPr>
        <w:t>廉  政  协  议  书</w:t>
      </w:r>
    </w:p>
    <w:p>
      <w:pPr>
        <w:rPr>
          <w:b/>
          <w:bCs/>
          <w:color w:val="auto"/>
          <w:sz w:val="24"/>
        </w:rPr>
      </w:pPr>
      <w:r>
        <w:rPr>
          <w:rFonts w:hint="eastAsia"/>
          <w:b/>
          <w:bCs/>
          <w:color w:val="auto"/>
          <w:sz w:val="24"/>
        </w:rPr>
        <w:t xml:space="preserve">    </w:t>
      </w:r>
    </w:p>
    <w:p>
      <w:pPr>
        <w:ind w:firstLine="482" w:firstLineChars="200"/>
        <w:rPr>
          <w:rFonts w:ascii="仿宋" w:hAnsi="仿宋" w:eastAsia="仿宋"/>
          <w:b/>
          <w:color w:val="auto"/>
          <w:sz w:val="24"/>
        </w:rPr>
      </w:pPr>
      <w:r>
        <w:rPr>
          <w:rFonts w:hint="eastAsia" w:ascii="仿宋" w:hAnsi="仿宋" w:eastAsia="仿宋"/>
          <w:b/>
          <w:color w:val="auto"/>
          <w:sz w:val="24"/>
        </w:rPr>
        <w:t>为进一步完善监督制约机制，确保工作质量和预防职务犯罪行为以及各种不正当行为的发生，根据国家、医院有关廉政建设的各项规定，并结合实际特订立本协议如下：</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甲乙双方应当自觉遵守国家法律法规以及有关廉政建设的各项规定。</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甲方工作人员应保持与乙方的正常工作交往，不得接受乙方的礼金、有价证券和贵重物品，不得在乙方报销任何应由个人支付的费用，不得以任何形式向乙方索要和收受回扣或变相收受贿赂。</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甲方工作人员不得参加可能对公正执行公务有影响的宴请和娱乐活动。</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甲方工作人员不得要求或者接收乙方为其住房装修、婚丧嫁娶、家属和子女的工作安排以及出国等提供方便。</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甲方工作人员不得向乙方介绍亲属或亲友从事与甲方工作有关的经济活动。</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乙方应当通过正常途径开展相关业务工作，不得向甲方工作人员及第三方赠送礼金、有价证券和贵重物品等。</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乙方不得为谋取私利擅自与甲方工作人员及中介机构就有关工作问题进行私下商谈或者达成默契。</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乙方不得以洽谈业务、签订经济合同为借口，邀请甲方工作人员外出旅游和进入营业性高消费娱乐场所。</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乙方不得为甲方工作人员购置或者提供通信工具、交通工具、家电、高档办公用品等。</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甲乙双方如发现对方工作人员有违反上述协议者，应向对方领导或者上级主管单位举报。</w:t>
      </w:r>
    </w:p>
    <w:p>
      <w:pPr>
        <w:numPr>
          <w:ilvl w:val="2"/>
          <w:numId w:val="16"/>
        </w:numPr>
        <w:adjustRightInd w:val="0"/>
        <w:snapToGrid w:val="0"/>
        <w:ind w:left="709" w:hanging="567"/>
        <w:rPr>
          <w:rFonts w:ascii="仿宋_GB2312" w:eastAsia="仿宋_GB2312"/>
          <w:color w:val="auto"/>
        </w:rPr>
      </w:pPr>
      <w:r>
        <w:rPr>
          <w:rFonts w:ascii="仿宋_GB2312" w:eastAsia="仿宋_GB2312"/>
          <w:color w:val="auto"/>
        </w:rPr>
        <w:t>禁止违规统方</w:t>
      </w:r>
      <w:r>
        <w:rPr>
          <w:rFonts w:hint="eastAsia" w:ascii="仿宋_GB2312" w:eastAsia="仿宋_GB2312"/>
          <w:color w:val="auto"/>
        </w:rPr>
        <w:t>，</w:t>
      </w:r>
      <w:r>
        <w:rPr>
          <w:rFonts w:ascii="仿宋_GB2312" w:eastAsia="仿宋_GB2312"/>
          <w:color w:val="auto"/>
        </w:rPr>
        <w:t>对从事统方的医药代表和医药生产及经营企业</w:t>
      </w:r>
      <w:r>
        <w:rPr>
          <w:rFonts w:hint="eastAsia" w:ascii="仿宋_GB2312" w:eastAsia="仿宋_GB2312"/>
          <w:color w:val="auto"/>
        </w:rPr>
        <w:t>，医疗器械生产及</w:t>
      </w:r>
      <w:r>
        <w:rPr>
          <w:rFonts w:ascii="仿宋_GB2312" w:eastAsia="仿宋_GB2312"/>
          <w:color w:val="auto"/>
        </w:rPr>
        <w:t>经营企业</w:t>
      </w:r>
      <w:r>
        <w:rPr>
          <w:rFonts w:hint="eastAsia" w:ascii="仿宋_GB2312" w:eastAsia="仿宋_GB2312"/>
          <w:color w:val="auto"/>
        </w:rPr>
        <w:t>列入</w:t>
      </w:r>
      <w:r>
        <w:rPr>
          <w:rFonts w:ascii="仿宋_GB2312" w:eastAsia="仿宋_GB2312"/>
          <w:color w:val="auto"/>
        </w:rPr>
        <w:t>“黑名单”，取消其供货资格，并在两年内不准其参与招标。</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本合同进行中，如发现甲乙方工作人员违反上述协议者，根据国家法律法规以及有关廉政建设的各项规定处理。</w:t>
      </w:r>
    </w:p>
    <w:p>
      <w:pPr>
        <w:numPr>
          <w:ilvl w:val="2"/>
          <w:numId w:val="16"/>
        </w:numPr>
        <w:adjustRightInd w:val="0"/>
        <w:snapToGrid w:val="0"/>
        <w:ind w:left="709" w:hanging="567"/>
        <w:rPr>
          <w:rFonts w:ascii="仿宋_GB2312" w:eastAsia="仿宋_GB2312"/>
          <w:color w:val="auto"/>
        </w:rPr>
      </w:pPr>
      <w:r>
        <w:rPr>
          <w:rFonts w:hint="eastAsia" w:ascii="仿宋_GB2312" w:eastAsia="仿宋_GB2312"/>
          <w:color w:val="auto"/>
        </w:rPr>
        <w:t>甲乙双方监督单位为其上级主管部门及单位监审部门。</w:t>
      </w:r>
    </w:p>
    <w:p>
      <w:pPr>
        <w:pStyle w:val="64"/>
        <w:adjustRightInd w:val="0"/>
        <w:snapToGrid w:val="0"/>
        <w:ind w:firstLine="420"/>
        <w:rPr>
          <w:color w:val="auto"/>
          <w:sz w:val="21"/>
        </w:rPr>
      </w:pPr>
      <w:r>
        <w:rPr>
          <w:rFonts w:hint="eastAsia"/>
          <w:color w:val="auto"/>
          <w:sz w:val="21"/>
        </w:rPr>
        <w:t>本协议作为合同的附件，与合同具有同等法律效力。经双方签署后立即生效。</w:t>
      </w:r>
    </w:p>
    <w:p>
      <w:pPr>
        <w:adjustRightInd w:val="0"/>
        <w:snapToGrid w:val="0"/>
        <w:ind w:firstLine="412" w:firstLineChars="200"/>
        <w:rPr>
          <w:rFonts w:ascii="仿宋_GB2312" w:eastAsia="仿宋_GB2312"/>
          <w:color w:val="auto"/>
        </w:rPr>
      </w:pPr>
      <w:r>
        <w:rPr>
          <w:rFonts w:hint="eastAsia" w:ascii="仿宋_GB2312" w:eastAsia="仿宋_GB2312"/>
          <w:color w:val="auto"/>
          <w:spacing w:val="-2"/>
        </w:rPr>
        <w:t>本协议的有效期为双方签署之日起。</w:t>
      </w:r>
    </w:p>
    <w:p>
      <w:pPr>
        <w:adjustRightInd w:val="0"/>
        <w:snapToGrid w:val="0"/>
        <w:ind w:firstLine="420" w:firstLineChars="200"/>
        <w:rPr>
          <w:rFonts w:ascii="仿宋_GB2312" w:eastAsia="仿宋_GB2312"/>
          <w:color w:val="auto"/>
        </w:rPr>
      </w:pPr>
      <w:r>
        <w:rPr>
          <w:rFonts w:hint="eastAsia" w:ascii="仿宋_GB2312" w:eastAsia="仿宋_GB2312"/>
          <w:color w:val="auto"/>
        </w:rPr>
        <w:t>本协议一式三份，甲方执两份，乙方执一份，具有相同的法律效应。</w:t>
      </w:r>
    </w:p>
    <w:p>
      <w:pPr>
        <w:adjustRightInd w:val="0"/>
        <w:snapToGrid w:val="0"/>
        <w:ind w:firstLine="420" w:firstLineChars="200"/>
        <w:rPr>
          <w:rFonts w:ascii="仿宋_GB2312" w:eastAsia="仿宋_GB2312"/>
          <w:color w:val="auto"/>
        </w:rPr>
      </w:pPr>
    </w:p>
    <w:p>
      <w:pPr>
        <w:adjustRightInd w:val="0"/>
        <w:snapToGrid w:val="0"/>
        <w:ind w:firstLine="420" w:firstLineChars="200"/>
        <w:rPr>
          <w:rFonts w:ascii="仿宋_GB2312" w:eastAsia="仿宋_GB2312"/>
          <w:color w:val="auto"/>
        </w:rPr>
      </w:pPr>
    </w:p>
    <w:p>
      <w:pPr>
        <w:adjustRightInd w:val="0"/>
        <w:snapToGrid w:val="0"/>
        <w:ind w:firstLine="422" w:firstLineChars="200"/>
        <w:rPr>
          <w:rFonts w:ascii="仿宋_GB2312" w:eastAsia="仿宋_GB2312"/>
          <w:b/>
          <w:bCs/>
          <w:color w:val="auto"/>
        </w:rPr>
      </w:pPr>
      <w:r>
        <w:rPr>
          <w:rFonts w:hint="eastAsia" w:ascii="仿宋_GB2312" w:eastAsia="仿宋_GB2312"/>
          <w:b/>
          <w:bCs/>
          <w:color w:val="auto"/>
        </w:rPr>
        <w:t>甲方：复旦大学附属中山医院                乙方</w:t>
      </w:r>
      <w:r>
        <w:rPr>
          <w:rFonts w:hint="eastAsia" w:ascii="仿宋_GB2312" w:eastAsia="仿宋_GB2312"/>
          <w:color w:val="auto"/>
        </w:rPr>
        <w:t>：</w:t>
      </w:r>
    </w:p>
    <w:p>
      <w:pPr>
        <w:adjustRightInd w:val="0"/>
        <w:snapToGrid w:val="0"/>
        <w:ind w:firstLine="420" w:firstLineChars="200"/>
        <w:rPr>
          <w:rFonts w:hint="eastAsia" w:ascii="仿宋_GB2312" w:eastAsia="仿宋_GB2312"/>
          <w:color w:val="auto"/>
        </w:rPr>
      </w:pPr>
      <w:r>
        <w:rPr>
          <w:rFonts w:hint="eastAsia" w:ascii="仿宋_GB2312" w:eastAsia="仿宋_GB2312"/>
          <w:color w:val="auto"/>
        </w:rPr>
        <w:t xml:space="preserve">（盖章）                                  （盖章）   </w:t>
      </w:r>
    </w:p>
    <w:p>
      <w:pPr>
        <w:adjustRightInd w:val="0"/>
        <w:snapToGrid w:val="0"/>
        <w:ind w:firstLine="420" w:firstLineChars="200"/>
        <w:rPr>
          <w:rFonts w:ascii="仿宋_GB2312" w:eastAsia="仿宋_GB2312"/>
          <w:color w:val="auto"/>
        </w:rPr>
      </w:pPr>
      <w:r>
        <w:rPr>
          <w:rFonts w:hint="eastAsia" w:ascii="仿宋_GB2312" w:eastAsia="仿宋_GB2312"/>
          <w:color w:val="auto"/>
        </w:rPr>
        <w:t>法人代表或委托人（签字）：                 法人代表或委托人（签字）：</w:t>
      </w:r>
    </w:p>
    <w:p>
      <w:pPr>
        <w:adjustRightInd w:val="0"/>
        <w:snapToGrid w:val="0"/>
        <w:ind w:firstLine="420" w:firstLineChars="200"/>
        <w:rPr>
          <w:rFonts w:ascii="仿宋_GB2312" w:eastAsia="仿宋_GB2312"/>
          <w:color w:val="auto"/>
        </w:rPr>
      </w:pPr>
    </w:p>
    <w:p>
      <w:pPr>
        <w:adjustRightInd w:val="0"/>
        <w:snapToGrid w:val="0"/>
        <w:ind w:firstLine="420" w:firstLineChars="200"/>
        <w:rPr>
          <w:rFonts w:ascii="仿宋_GB2312" w:eastAsia="仿宋_GB2312"/>
          <w:color w:val="auto"/>
        </w:rPr>
      </w:pPr>
      <w:r>
        <w:rPr>
          <w:rFonts w:hint="eastAsia" w:ascii="仿宋_GB2312" w:eastAsia="仿宋_GB2312"/>
          <w:color w:val="auto"/>
        </w:rPr>
        <w:t>承办人（签字）：                           承办人（签字）：</w:t>
      </w:r>
    </w:p>
    <w:p>
      <w:pPr>
        <w:adjustRightInd w:val="0"/>
        <w:snapToGrid w:val="0"/>
        <w:ind w:firstLine="420" w:firstLineChars="200"/>
        <w:rPr>
          <w:rFonts w:ascii="仿宋_GB2312" w:eastAsia="仿宋_GB2312"/>
          <w:color w:val="auto"/>
        </w:rPr>
      </w:pPr>
    </w:p>
    <w:p>
      <w:pPr>
        <w:adjustRightInd w:val="0"/>
        <w:snapToGrid w:val="0"/>
        <w:ind w:firstLine="420" w:firstLineChars="200"/>
        <w:rPr>
          <w:rFonts w:ascii="仿宋_GB2312" w:eastAsia="仿宋_GB2312"/>
          <w:color w:val="auto"/>
        </w:rPr>
      </w:pPr>
    </w:p>
    <w:p>
      <w:pPr>
        <w:tabs>
          <w:tab w:val="left" w:pos="4860"/>
        </w:tabs>
        <w:adjustRightInd w:val="0"/>
        <w:snapToGrid w:val="0"/>
        <w:ind w:firstLine="420" w:firstLineChars="200"/>
        <w:rPr>
          <w:rFonts w:ascii="仿宋_GB2312" w:eastAsia="仿宋_GB2312"/>
          <w:color w:val="auto"/>
        </w:rPr>
      </w:pPr>
      <w:r>
        <w:rPr>
          <w:rFonts w:hint="eastAsia" w:ascii="仿宋_GB2312" w:eastAsia="仿宋_GB2312"/>
          <w:color w:val="auto"/>
        </w:rPr>
        <w:t>签订日期：      年  月  日                签订日期：      年  月  日</w:t>
      </w:r>
    </w:p>
    <w:p>
      <w:pP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br w:type="page"/>
      </w: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Cs w:val="44"/>
        </w:rPr>
      </w:pPr>
      <w:r>
        <w:rPr>
          <w:rFonts w:hint="eastAsia" w:asciiTheme="minorEastAsia" w:hAnsiTheme="minorEastAsia" w:eastAsiaTheme="minorEastAsia" w:cstheme="minorEastAsia"/>
          <w:color w:val="auto"/>
          <w:sz w:val="32"/>
          <w:szCs w:val="32"/>
        </w:rPr>
        <w:t>第</w:t>
      </w:r>
      <w:r>
        <w:rPr>
          <w:rFonts w:hint="eastAsia" w:asciiTheme="minorEastAsia" w:hAnsiTheme="minorEastAsia" w:eastAsiaTheme="minorEastAsia" w:cstheme="minorEastAsia"/>
          <w:color w:val="auto"/>
          <w:sz w:val="32"/>
          <w:szCs w:val="32"/>
          <w:lang w:val="en-US" w:eastAsia="zh-CN"/>
        </w:rPr>
        <w:t>五</w:t>
      </w:r>
      <w:r>
        <w:rPr>
          <w:rFonts w:hint="eastAsia" w:asciiTheme="minorEastAsia" w:hAnsiTheme="minorEastAsia" w:eastAsiaTheme="minorEastAsia" w:cstheme="minorEastAsia"/>
          <w:color w:val="auto"/>
          <w:sz w:val="32"/>
          <w:szCs w:val="32"/>
        </w:rPr>
        <w:t>章</w:t>
      </w:r>
      <w:bookmarkEnd w:id="256"/>
      <w:r>
        <w:rPr>
          <w:rFonts w:hint="eastAsia" w:asciiTheme="minorEastAsia" w:hAnsiTheme="minorEastAsia" w:eastAsiaTheme="minorEastAsia" w:cstheme="minorEastAsia"/>
          <w:color w:val="auto"/>
          <w:sz w:val="32"/>
          <w:szCs w:val="32"/>
        </w:rPr>
        <w:t xml:space="preserve"> </w:t>
      </w:r>
      <w:bookmarkEnd w:id="257"/>
      <w:r>
        <w:rPr>
          <w:rFonts w:hint="eastAsia" w:asciiTheme="minorEastAsia" w:hAnsiTheme="minorEastAsia" w:eastAsiaTheme="minorEastAsia" w:cstheme="minorEastAsia"/>
          <w:color w:val="auto"/>
          <w:sz w:val="32"/>
          <w:szCs w:val="32"/>
        </w:rPr>
        <w:t>采购需求</w:t>
      </w:r>
      <w:bookmarkEnd w:id="258"/>
      <w:bookmarkEnd w:id="259"/>
      <w:bookmarkEnd w:id="260"/>
    </w:p>
    <w:tbl>
      <w:tblPr>
        <w:tblStyle w:val="3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4530"/>
        <w:gridCol w:w="16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3" w:type="dxa"/>
            <w:vAlign w:val="center"/>
          </w:tcPr>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4530" w:type="dxa"/>
            <w:vAlign w:val="center"/>
          </w:tcPr>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招标</w:t>
            </w:r>
            <w:r>
              <w:rPr>
                <w:rFonts w:hint="eastAsia" w:asciiTheme="minorEastAsia" w:hAnsiTheme="minorEastAsia" w:eastAsiaTheme="minorEastAsia" w:cstheme="minorEastAsia"/>
                <w:b/>
                <w:color w:val="auto"/>
                <w:sz w:val="24"/>
                <w:szCs w:val="24"/>
              </w:rPr>
              <w:t>术要求</w:t>
            </w:r>
          </w:p>
        </w:tc>
        <w:tc>
          <w:tcPr>
            <w:tcW w:w="1687" w:type="dxa"/>
            <w:vAlign w:val="center"/>
          </w:tcPr>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投标响应</w:t>
            </w:r>
          </w:p>
        </w:tc>
        <w:tc>
          <w:tcPr>
            <w:tcW w:w="900" w:type="dxa"/>
            <w:vAlign w:val="center"/>
          </w:tcPr>
          <w:p>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高分辨率液晶显示器≥23英寸，无闪烁，不间断逐行扫描，可上下左右旋转，操作面板具备角度可调液晶触摸屏≥15英寸，可通过手指滑动触摸屏进行翻页，支持手势操作，直接点击触摸屏可选择需要调节的参数，操作面板可上下左右进行高度调整及旋转，可配操作面板前后拉伸</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主机探头接口≥5个，全激活，大小一致，互通互用</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造影成像技术，可与斑点噪声抑制技术结合使用，具有实时双幅造影对比成像模式，造影参数与二维参数可独立调节。造影连续采集时间最长10分钟。造影图像和组织图像的位置可以进行互换。实时微血管造影成像技术，可清晰显示组织内微小血管的灌注及走行。灌注时间成像技术，在微血管造影成像的基础上，以造影剂到达血管腔内的时间为研究对象，用不同颜色编码造影剂微泡在血管腔内的不同到达时间，并叠加成像，在一段动态视频和一张静态图像上，均可通过血管内不同的颜色直观的显示组织内血流灌注的时间先后顺序、血管分布和灌注特点。造影和组织混合成像模式，将造影图像和组织图像混合显示，有助于医生定位感兴趣的造影区在组织中的解剖位置。造影时间强度曲线定量分析，支持8条TIC曲线的计算和显示，自动计算到达时间（AT）、峰值时间（TTP）、峰值强度（PI）等组织灌注参数。造影成像模式下，同一探头支持中位线、单线、双线区域穿刺引导线功能。</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剪切波弹性成像，支持一维点式剪切波弹性成像和二维实时剪切波。支持剪切波速度、杨氏模量、剪切模量3种单位切换。支持定量分析、定量分析比、定量分析直方图。</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甲状腺智能扫查技术，一次按键自动识别甲状腺结节，并对病灶进行自动描记、测量、超声诊断描述等分析，减少主观依赖，可重复性好，提升工作效率，同时给操作者提供指导学习和教学功能。</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妇科扫查助手，可测量盆底、子宫、子宫动脉、卵巢、卵泡等，并自动生成报告。子宫内膜厚度自动测量，支持B模式自动识别子宫内膜并对内膜厚度进行自动测量，二维成像模式，卵泡自动测量。</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肌骨智能扫查技术，肌骨二维成像实时模式下，支持一键自动识别肌骨标准切面并对切面的不同组织结构用不同的颜色标记和名称注释标注。辅助医生快速获取肩关节标准切面≥3个。支持在机肌骨示教系统同屏显示，通过和机器即时交流，帮助医生掌握如何打出肩关节切面的技巧。</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高分辨率血流成像，提供高空间分辨率和时间分辨率的彩色血流图象，更细微的显示末梢血流的动态情况，机器具备独立按键。</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微细血流成像，经过创新的技术有效滤除软组织和噪声信号，最大限度保留超低速微细血流的信号，显著提升超微细血流信号的敏感性和成束性，有别于能量血流和高分辨率血流，机器具备独立按键。</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立体血流成像，通过光照模型，能够在传统二维血流成像CFM的基础上，增加血流的立体感呈现，其显示方式更加接近人眼所视的立体效果，使血流的视觉感受更真实。可与能量血流、高分辨率血流、微细血流联用，增强微小血流的显示效果。机器具备独立按键。</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高帧率血流成像，在传统血流的基础上，实现多普勒信号的快速扫查，将扫查得到的信号运用相干成像算法更好的抑制组织信息，提炼红细胞运动信息；得到速度更快，分辨率更高的血流信号，从而使血流达到更高的帧频，灵敏度和分辨率，还原更真实的血流动力学。机器具备独立按键</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组织声衰减对比测量，测量腹部组织脂肪肝衰减值，用于判断脂肪肝程度。支持冻结下测量衰减值，并对衰减测值进行统计分析，显示衰减均值、可信度。支持直方图显示，可调节显示类型，均值，最大值，最小值。</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探头实时温控技术，温度值在显示器上实时显示监测</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单晶腹部凸阵探头（1.0-8MHz）*2把</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高频线阵探头（3.0-17.0MHz）*2把</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腔内探头（3-13MHz）*2把，不使用扩展成像技术情况下角度≥190°，扩展成像后角度≥210°</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支持探头抬起自动唤醒，支持选择探头唤醒后自动进入检查，三种灵敏度可调</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小儿髋关节扫查技术，小儿髋关节实时扫查及冻结标准切面时，一键自动识别标准切面、标记参考线及自动测量α角、β角、d/D 比率等生物数据。</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超声主机：双主机</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453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售后服务：设备整机保修期≥5年</w:t>
            </w:r>
          </w:p>
        </w:tc>
        <w:tc>
          <w:tcPr>
            <w:tcW w:w="1687"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c>
          <w:tcPr>
            <w:tcW w:w="900" w:type="dxa"/>
            <w:vAlign w:val="center"/>
          </w:tcPr>
          <w:p>
            <w:pPr>
              <w:widowControl/>
              <w:jc w:val="both"/>
              <w:textAlignment w:val="center"/>
              <w:rPr>
                <w:rFonts w:hint="eastAsia" w:asciiTheme="minorEastAsia" w:hAnsiTheme="minorEastAsia" w:eastAsiaTheme="minorEastAsia" w:cstheme="minorEastAsia"/>
                <w:color w:val="auto"/>
                <w:sz w:val="24"/>
                <w:szCs w:val="24"/>
                <w:lang w:val="en-US" w:eastAsia="zh-CN"/>
              </w:rPr>
            </w:pPr>
          </w:p>
        </w:tc>
      </w:tr>
    </w:tbl>
    <w:p>
      <w:pPr>
        <w:keepNext w:val="0"/>
        <w:keepLines w:val="0"/>
        <w:pageBreakBefore w:val="0"/>
        <w:tabs>
          <w:tab w:val="left" w:pos="1080"/>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b/>
          <w:i/>
          <w:color w:val="auto"/>
          <w:sz w:val="24"/>
          <w:szCs w:val="24"/>
        </w:rPr>
      </w:pPr>
    </w:p>
    <w:p>
      <w:pPr>
        <w:keepNext w:val="0"/>
        <w:keepLines w:val="0"/>
        <w:pageBreakBefore w:val="0"/>
        <w:kinsoku/>
        <w:overflowPunct/>
        <w:bidi w:val="0"/>
        <w:spacing w:beforeAutospacing="0" w:afterAutospacing="0" w:line="360" w:lineRule="auto"/>
        <w:ind w:firstLine="410" w:firstLineChars="171"/>
        <w:rPr>
          <w:rFonts w:hint="eastAsia" w:asciiTheme="minorEastAsia" w:hAnsiTheme="minorEastAsia" w:eastAsiaTheme="minorEastAsia" w:cstheme="minorEastAsia"/>
          <w:color w:val="auto"/>
          <w:sz w:val="24"/>
          <w:szCs w:val="24"/>
        </w:rPr>
      </w:pPr>
    </w:p>
    <w:p>
      <w:pPr>
        <w:rPr>
          <w:rFonts w:hint="eastAsia"/>
          <w:color w:val="auto"/>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p>
    <w:p>
      <w:pPr>
        <w:pStyle w:val="12"/>
        <w:rPr>
          <w:rFonts w:hint="eastAsia"/>
          <w:color w:val="auto"/>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b w:val="0"/>
          <w:bCs/>
          <w:color w:val="auto"/>
          <w:sz w:val="24"/>
          <w:szCs w:val="24"/>
        </w:rPr>
      </w:pPr>
    </w:p>
    <w:p>
      <w:pPr>
        <w:pStyle w:val="3"/>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Cs w:val="44"/>
        </w:rPr>
      </w:pPr>
      <w:bookmarkStart w:id="261" w:name="_Toc3494"/>
      <w:r>
        <w:rPr>
          <w:rFonts w:hint="eastAsia" w:asciiTheme="minorEastAsia" w:hAnsiTheme="minorEastAsia" w:eastAsiaTheme="minorEastAsia" w:cstheme="minorEastAsia"/>
          <w:color w:val="auto"/>
          <w:szCs w:val="44"/>
        </w:rPr>
        <w:t>第</w:t>
      </w:r>
      <w:r>
        <w:rPr>
          <w:rFonts w:hint="eastAsia" w:asciiTheme="minorEastAsia" w:hAnsiTheme="minorEastAsia" w:eastAsiaTheme="minorEastAsia" w:cstheme="minorEastAsia"/>
          <w:color w:val="auto"/>
          <w:szCs w:val="44"/>
          <w:lang w:val="en-US" w:eastAsia="zh-CN"/>
        </w:rPr>
        <w:t>六</w:t>
      </w:r>
      <w:r>
        <w:rPr>
          <w:rFonts w:hint="eastAsia" w:asciiTheme="minorEastAsia" w:hAnsiTheme="minorEastAsia" w:eastAsiaTheme="minorEastAsia" w:cstheme="minorEastAsia"/>
          <w:color w:val="auto"/>
          <w:szCs w:val="44"/>
        </w:rPr>
        <w:t>章 投标文件格式</w:t>
      </w:r>
      <w:bookmarkEnd w:id="252"/>
      <w:bookmarkEnd w:id="253"/>
      <w:bookmarkEnd w:id="254"/>
      <w:bookmarkEnd w:id="255"/>
      <w:bookmarkEnd w:id="261"/>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bCs/>
          <w:color w:val="auto"/>
          <w:spacing w:val="-12"/>
          <w:sz w:val="48"/>
          <w:szCs w:val="36"/>
          <w:u w:val="none"/>
        </w:rPr>
      </w:pPr>
      <w:r>
        <w:rPr>
          <w:rFonts w:hint="eastAsia" w:asciiTheme="minorEastAsia" w:hAnsiTheme="minorEastAsia" w:eastAsiaTheme="minorEastAsia" w:cstheme="minorEastAsia"/>
          <w:bCs/>
          <w:color w:val="auto"/>
          <w:spacing w:val="-12"/>
          <w:sz w:val="48"/>
          <w:szCs w:val="36"/>
          <w:u w:val="none"/>
        </w:rPr>
        <w:br w:type="page"/>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Cs/>
          <w:color w:val="auto"/>
          <w:spacing w:val="-12"/>
          <w:sz w:val="48"/>
          <w:szCs w:val="36"/>
          <w:u w:val="none"/>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Cs/>
          <w:color w:val="auto"/>
          <w:spacing w:val="-12"/>
          <w:sz w:val="48"/>
          <w:szCs w:val="36"/>
          <w:u w:val="none"/>
          <w:lang w:val="en-US" w:eastAsia="zh-CN"/>
        </w:rPr>
      </w:pPr>
      <w:r>
        <w:rPr>
          <w:rFonts w:hint="eastAsia" w:asciiTheme="minorEastAsia" w:hAnsiTheme="minorEastAsia" w:eastAsiaTheme="minorEastAsia" w:cstheme="minorEastAsia"/>
          <w:bCs/>
          <w:color w:val="auto"/>
          <w:spacing w:val="-12"/>
          <w:sz w:val="48"/>
          <w:szCs w:val="36"/>
          <w:u w:val="none"/>
          <w:lang w:val="en-US" w:eastAsia="zh-CN"/>
        </w:rPr>
        <w:t>复旦大学附属中山医院</w:t>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Cs/>
          <w:color w:val="auto"/>
          <w:spacing w:val="-12"/>
          <w:sz w:val="48"/>
          <w:szCs w:val="36"/>
          <w:lang w:eastAsia="zh-CN"/>
        </w:rPr>
      </w:pPr>
      <w:r>
        <w:rPr>
          <w:rFonts w:hint="eastAsia" w:asciiTheme="minorEastAsia" w:hAnsiTheme="minorEastAsia" w:eastAsiaTheme="minorEastAsia" w:cstheme="minorEastAsia"/>
          <w:bCs/>
          <w:color w:val="auto"/>
          <w:spacing w:val="-12"/>
          <w:sz w:val="48"/>
          <w:szCs w:val="36"/>
          <w:u w:val="none"/>
          <w:lang w:eastAsia="zh-CN"/>
        </w:rPr>
        <w:t>彩色多普勒超声诊断仪</w:t>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snapToGrid w:val="0"/>
          <w:color w:val="auto"/>
          <w:kern w:val="0"/>
          <w:sz w:val="72"/>
          <w:szCs w:val="80"/>
        </w:rPr>
      </w:pPr>
      <w:r>
        <w:rPr>
          <w:rFonts w:hint="eastAsia" w:asciiTheme="minorEastAsia" w:hAnsiTheme="minorEastAsia" w:eastAsiaTheme="minorEastAsia" w:cstheme="minorEastAsia"/>
          <w:snapToGrid w:val="0"/>
          <w:color w:val="auto"/>
          <w:kern w:val="0"/>
          <w:sz w:val="72"/>
          <w:szCs w:val="80"/>
        </w:rPr>
        <w:t>投 标 文 件</w:t>
      </w:r>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b/>
          <w:snapToGrid w:val="0"/>
          <w:color w:val="auto"/>
          <w:kern w:val="0"/>
          <w:sz w:val="56"/>
          <w:szCs w:val="72"/>
        </w:rPr>
      </w:pP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Cs/>
          <w:snapToGrid w:val="0"/>
          <w:color w:val="auto"/>
          <w:kern w:val="0"/>
          <w:sz w:val="28"/>
          <w:szCs w:val="32"/>
          <w:lang w:eastAsia="zh-CN"/>
        </w:rPr>
      </w:pPr>
      <w:r>
        <w:rPr>
          <w:rFonts w:hint="eastAsia" w:asciiTheme="minorEastAsia" w:hAnsiTheme="minorEastAsia" w:eastAsiaTheme="minorEastAsia" w:cstheme="minorEastAsia"/>
          <w:bCs/>
          <w:snapToGrid w:val="0"/>
          <w:color w:val="auto"/>
          <w:kern w:val="0"/>
          <w:sz w:val="28"/>
          <w:szCs w:val="32"/>
          <w:lang w:eastAsia="zh-CN"/>
        </w:rPr>
        <w:t>项目编号</w:t>
      </w:r>
      <w:r>
        <w:rPr>
          <w:rFonts w:hint="eastAsia" w:asciiTheme="minorEastAsia" w:hAnsiTheme="minorEastAsia" w:eastAsiaTheme="minorEastAsia" w:cstheme="minorEastAsia"/>
          <w:bCs/>
          <w:snapToGrid w:val="0"/>
          <w:color w:val="auto"/>
          <w:kern w:val="0"/>
          <w:sz w:val="28"/>
          <w:szCs w:val="32"/>
        </w:rPr>
        <w:t>：</w:t>
      </w:r>
      <w:r>
        <w:rPr>
          <w:rFonts w:hint="eastAsia" w:asciiTheme="minorEastAsia" w:hAnsiTheme="minorEastAsia" w:eastAsiaTheme="minorEastAsia" w:cstheme="minorEastAsia"/>
          <w:bCs/>
          <w:snapToGrid w:val="0"/>
          <w:color w:val="auto"/>
          <w:kern w:val="0"/>
          <w:sz w:val="28"/>
          <w:szCs w:val="32"/>
          <w:u w:val="none"/>
        </w:rPr>
        <w:t>0613-</w:t>
      </w:r>
      <w:r>
        <w:rPr>
          <w:rFonts w:hint="eastAsia" w:asciiTheme="minorEastAsia" w:hAnsiTheme="minorEastAsia" w:eastAsiaTheme="minorEastAsia" w:cstheme="minorEastAsia"/>
          <w:bCs/>
          <w:snapToGrid w:val="0"/>
          <w:color w:val="auto"/>
          <w:kern w:val="0"/>
          <w:sz w:val="28"/>
          <w:szCs w:val="32"/>
          <w:u w:val="none"/>
          <w:lang w:eastAsia="zh-CN"/>
        </w:rPr>
        <w:t>247123065821</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keepNext w:val="0"/>
        <w:keepLines w:val="0"/>
        <w:pageBreakBefore w:val="0"/>
        <w:kinsoku/>
        <w:overflowPunct/>
        <w:bidi w:val="0"/>
        <w:spacing w:beforeAutospacing="0" w:afterAutospacing="0" w:line="300" w:lineRule="auto"/>
        <w:jc w:val="center"/>
        <w:rPr>
          <w:rFonts w:hint="eastAsia" w:asciiTheme="minorEastAsia" w:hAnsiTheme="minorEastAsia" w:eastAsiaTheme="minorEastAsia" w:cstheme="minorEastAsia"/>
          <w:color w:val="auto"/>
          <w:sz w:val="28"/>
          <w:szCs w:val="32"/>
        </w:rPr>
      </w:pPr>
      <w:r>
        <w:rPr>
          <w:rFonts w:hint="eastAsia" w:asciiTheme="minorEastAsia" w:hAnsiTheme="minorEastAsia" w:eastAsiaTheme="minorEastAsia" w:cstheme="minorEastAsia"/>
          <w:color w:val="auto"/>
          <w:sz w:val="28"/>
          <w:szCs w:val="32"/>
        </w:rPr>
        <w:t>投 标 人：</w:t>
      </w:r>
      <w:r>
        <w:rPr>
          <w:rFonts w:hint="eastAsia" w:asciiTheme="minorEastAsia" w:hAnsiTheme="minorEastAsia" w:eastAsiaTheme="minorEastAsia" w:cstheme="minorEastAsia"/>
          <w:color w:val="auto"/>
          <w:sz w:val="28"/>
          <w:szCs w:val="32"/>
          <w:u w:val="single"/>
        </w:rPr>
        <w:t xml:space="preserve">                        </w:t>
      </w:r>
      <w:r>
        <w:rPr>
          <w:rFonts w:hint="eastAsia" w:asciiTheme="minorEastAsia" w:hAnsiTheme="minorEastAsia" w:eastAsiaTheme="minorEastAsia" w:cstheme="minorEastAsia"/>
          <w:color w:val="auto"/>
          <w:sz w:val="28"/>
          <w:szCs w:val="32"/>
        </w:rPr>
        <w:t>（盖单位公章）</w:t>
      </w:r>
    </w:p>
    <w:p>
      <w:pPr>
        <w:keepNext w:val="0"/>
        <w:keepLines w:val="0"/>
        <w:pageBreakBefore w:val="0"/>
        <w:kinsoku/>
        <w:overflowPunct/>
        <w:bidi w:val="0"/>
        <w:spacing w:beforeAutospacing="0" w:afterAutospacing="0" w:line="300" w:lineRule="auto"/>
        <w:jc w:val="center"/>
        <w:rPr>
          <w:rFonts w:hint="eastAsia" w:asciiTheme="minorEastAsia" w:hAnsiTheme="minorEastAsia" w:eastAsiaTheme="minorEastAsia" w:cstheme="minorEastAsia"/>
          <w:color w:val="auto"/>
          <w:sz w:val="28"/>
          <w:szCs w:val="32"/>
        </w:rPr>
      </w:pPr>
      <w:r>
        <w:rPr>
          <w:rFonts w:hint="eastAsia" w:asciiTheme="minorEastAsia" w:hAnsiTheme="minorEastAsia" w:eastAsiaTheme="minorEastAsia" w:cstheme="minorEastAsia"/>
          <w:color w:val="auto"/>
          <w:sz w:val="28"/>
          <w:szCs w:val="32"/>
        </w:rPr>
        <w:t xml:space="preserve"> </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color w:val="auto"/>
          <w:sz w:val="28"/>
          <w:szCs w:val="32"/>
        </w:rPr>
      </w:pPr>
      <w:r>
        <w:rPr>
          <w:rFonts w:hint="eastAsia" w:asciiTheme="minorEastAsia" w:hAnsiTheme="minorEastAsia" w:eastAsiaTheme="minorEastAsia" w:cstheme="minorEastAsia"/>
          <w:color w:val="auto"/>
          <w:sz w:val="28"/>
          <w:szCs w:val="32"/>
          <w:u w:val="single"/>
        </w:rPr>
        <w:t xml:space="preserve">      </w:t>
      </w:r>
      <w:r>
        <w:rPr>
          <w:rFonts w:hint="eastAsia" w:asciiTheme="minorEastAsia" w:hAnsiTheme="minorEastAsia" w:eastAsiaTheme="minorEastAsia" w:cstheme="minorEastAsia"/>
          <w:color w:val="auto"/>
          <w:sz w:val="28"/>
          <w:szCs w:val="32"/>
        </w:rPr>
        <w:t>年</w:t>
      </w:r>
      <w:r>
        <w:rPr>
          <w:rFonts w:hint="eastAsia" w:asciiTheme="minorEastAsia" w:hAnsiTheme="minorEastAsia" w:eastAsiaTheme="minorEastAsia" w:cstheme="minorEastAsia"/>
          <w:color w:val="auto"/>
          <w:sz w:val="28"/>
          <w:szCs w:val="32"/>
          <w:u w:val="single"/>
        </w:rPr>
        <w:t xml:space="preserve">      </w:t>
      </w:r>
      <w:r>
        <w:rPr>
          <w:rFonts w:hint="eastAsia" w:asciiTheme="minorEastAsia" w:hAnsiTheme="minorEastAsia" w:eastAsiaTheme="minorEastAsia" w:cstheme="minorEastAsia"/>
          <w:color w:val="auto"/>
          <w:sz w:val="28"/>
          <w:szCs w:val="32"/>
        </w:rPr>
        <w:t>月</w:t>
      </w:r>
      <w:r>
        <w:rPr>
          <w:rFonts w:hint="eastAsia" w:asciiTheme="minorEastAsia" w:hAnsiTheme="minorEastAsia" w:eastAsiaTheme="minorEastAsia" w:cstheme="minorEastAsia"/>
          <w:color w:val="auto"/>
          <w:sz w:val="28"/>
          <w:szCs w:val="32"/>
          <w:u w:val="single"/>
        </w:rPr>
        <w:t xml:space="preserve">      </w:t>
      </w:r>
      <w:r>
        <w:rPr>
          <w:rFonts w:hint="eastAsia" w:asciiTheme="minorEastAsia" w:hAnsiTheme="minorEastAsia" w:eastAsiaTheme="minorEastAsia" w:cstheme="minorEastAsia"/>
          <w:color w:val="auto"/>
          <w:sz w:val="28"/>
          <w:szCs w:val="32"/>
        </w:rPr>
        <w:t>日</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262" w:name="_Toc457748049"/>
      <w:bookmarkStart w:id="263" w:name="_Toc13614"/>
      <w:bookmarkStart w:id="264" w:name="_Toc392227906"/>
      <w:bookmarkStart w:id="265" w:name="_Toc30929"/>
      <w:r>
        <w:rPr>
          <w:rFonts w:hint="eastAsia" w:asciiTheme="minorEastAsia" w:hAnsiTheme="minorEastAsia" w:eastAsiaTheme="minorEastAsia" w:cstheme="minorEastAsia"/>
          <w:color w:val="auto"/>
          <w:sz w:val="30"/>
          <w:szCs w:val="30"/>
        </w:rPr>
        <w:t>目  录</w:t>
      </w:r>
      <w:bookmarkEnd w:id="262"/>
      <w:bookmarkEnd w:id="263"/>
      <w:bookmarkEnd w:id="264"/>
      <w:bookmarkEnd w:id="265"/>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bookmarkStart w:id="266" w:name="_Toc352691655"/>
      <w:bookmarkStart w:id="267" w:name="_Toc369531691"/>
      <w:bookmarkStart w:id="268" w:name="_Toc7039"/>
      <w:r>
        <w:rPr>
          <w:rFonts w:hint="eastAsia" w:asciiTheme="minorEastAsia" w:hAnsiTheme="minorEastAsia" w:eastAsiaTheme="minorEastAsia" w:cstheme="minorEastAsia"/>
          <w:b/>
          <w:color w:val="auto"/>
          <w:szCs w:val="21"/>
        </w:rPr>
        <w:t>编制详细的目录</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p>
    <w:p>
      <w:pPr>
        <w:pStyle w:val="30"/>
        <w:rPr>
          <w:rFonts w:ascii="宋体" w:hAnsi="宋体" w:eastAsia="宋体"/>
          <w:color w:val="auto"/>
          <w:sz w:val="30"/>
          <w:szCs w:val="30"/>
        </w:rPr>
      </w:pPr>
      <w:r>
        <w:rPr>
          <w:rFonts w:hint="eastAsia" w:asciiTheme="minorEastAsia" w:hAnsiTheme="minorEastAsia" w:eastAsiaTheme="minorEastAsia" w:cstheme="minorEastAsia"/>
          <w:color w:val="auto"/>
          <w:sz w:val="24"/>
          <w:szCs w:val="24"/>
        </w:rPr>
        <w:br w:type="page"/>
      </w:r>
      <w:bookmarkEnd w:id="266"/>
      <w:bookmarkEnd w:id="267"/>
      <w:bookmarkEnd w:id="268"/>
      <w:bookmarkStart w:id="269" w:name="_Toc28448"/>
      <w:bookmarkStart w:id="270" w:name="_Toc392227907"/>
      <w:bookmarkStart w:id="271" w:name="_Toc6161"/>
      <w:bookmarkStart w:id="272" w:name="_Toc457748050"/>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bookmarkEnd w:id="269"/>
    </w:p>
    <w:p>
      <w:pPr>
        <w:spacing w:line="440" w:lineRule="exact"/>
        <w:rPr>
          <w:rFonts w:ascii="宋体" w:hAnsi="宋体" w:eastAsia="宋体"/>
          <w:color w:val="auto"/>
          <w:sz w:val="21"/>
          <w:szCs w:val="21"/>
        </w:rPr>
      </w:pPr>
      <w:r>
        <w:rPr>
          <w:rFonts w:hint="eastAsia" w:ascii="宋体" w:hAnsi="宋体"/>
          <w:color w:val="auto"/>
          <w:sz w:val="21"/>
          <w:szCs w:val="21"/>
          <w:lang w:val="en-US" w:eastAsia="zh-CN"/>
        </w:rPr>
        <w:t>复旦大学附属中山医院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color w:val="auto"/>
          <w:sz w:val="21"/>
          <w:szCs w:val="21"/>
          <w:lang w:eastAsia="zh-CN"/>
        </w:rPr>
        <w:t>彩色多普勒超声诊断仪</w:t>
      </w:r>
      <w:r>
        <w:rPr>
          <w:rFonts w:hint="eastAsia" w:ascii="宋体" w:hAnsi="宋体" w:eastAsia="宋体"/>
          <w:color w:val="auto"/>
          <w:sz w:val="21"/>
          <w:szCs w:val="21"/>
        </w:rPr>
        <w:t>，项目</w:t>
      </w:r>
      <w:r>
        <w:rPr>
          <w:rFonts w:ascii="宋体" w:hAnsi="宋体" w:eastAsia="宋体"/>
          <w:color w:val="auto"/>
          <w:sz w:val="21"/>
          <w:szCs w:val="21"/>
        </w:rPr>
        <w:t>编号：</w:t>
      </w:r>
      <w:r>
        <w:rPr>
          <w:rFonts w:hint="eastAsia" w:ascii="宋体" w:hAnsi="宋体" w:eastAsia="宋体"/>
          <w:color w:val="auto"/>
          <w:sz w:val="21"/>
          <w:szCs w:val="21"/>
        </w:rPr>
        <w:t>0613-</w:t>
      </w:r>
      <w:r>
        <w:rPr>
          <w:rFonts w:hint="eastAsia" w:ascii="宋体" w:hAnsi="宋体"/>
          <w:color w:val="auto"/>
          <w:sz w:val="21"/>
          <w:szCs w:val="21"/>
          <w:lang w:eastAsia="zh-CN"/>
        </w:rPr>
        <w:t>247123065821</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65"/>
        <w:numPr>
          <w:ilvl w:val="0"/>
          <w:numId w:val="17"/>
        </w:numPr>
        <w:adjustRightInd w:val="0"/>
        <w:spacing w:line="440" w:lineRule="exact"/>
        <w:ind w:left="284" w:firstLine="0" w:firstLineChars="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65"/>
        <w:numPr>
          <w:ilvl w:val="0"/>
          <w:numId w:val="1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65"/>
        <w:numPr>
          <w:ilvl w:val="0"/>
          <w:numId w:val="19"/>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65"/>
        <w:numPr>
          <w:ilvl w:val="0"/>
          <w:numId w:val="19"/>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65"/>
        <w:numPr>
          <w:ilvl w:val="0"/>
          <w:numId w:val="17"/>
        </w:numPr>
        <w:autoSpaceDE w:val="0"/>
        <w:autoSpaceDN w:val="0"/>
        <w:adjustRightInd w:val="0"/>
        <w:spacing w:line="440" w:lineRule="exact"/>
        <w:ind w:left="284"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65"/>
        <w:numPr>
          <w:ilvl w:val="0"/>
          <w:numId w:val="20"/>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65"/>
        <w:numPr>
          <w:ilvl w:val="0"/>
          <w:numId w:val="20"/>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65"/>
        <w:numPr>
          <w:ilvl w:val="0"/>
          <w:numId w:val="20"/>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65"/>
        <w:numPr>
          <w:ilvl w:val="0"/>
          <w:numId w:val="20"/>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65"/>
        <w:numPr>
          <w:ilvl w:val="0"/>
          <w:numId w:val="20"/>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65"/>
        <w:numPr>
          <w:ilvl w:val="0"/>
          <w:numId w:val="20"/>
        </w:numPr>
        <w:spacing w:line="440" w:lineRule="exact"/>
        <w:ind w:left="0" w:firstLine="371" w:firstLineChars="177"/>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spacing w:line="440" w:lineRule="exact"/>
        <w:rPr>
          <w:rFonts w:ascii="宋体" w:hAnsi="宋体" w:eastAsia="宋体" w:cs="宋体"/>
          <w:color w:val="auto"/>
          <w:kern w:val="0"/>
          <w:sz w:val="21"/>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jc w:val="left"/>
        <w:rPr>
          <w:rFonts w:ascii="宋体" w:hAnsi="宋体" w:eastAsia="宋体" w:cs="宋体"/>
          <w:color w:val="auto"/>
          <w:sz w:val="21"/>
          <w:szCs w:val="21"/>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法定代表人或其委托代理人姓名、职务（印刷体）：_______________</w:t>
      </w:r>
    </w:p>
    <w:p>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273" w:name="_Toc29145"/>
      <w:r>
        <w:rPr>
          <w:rFonts w:hint="eastAsia" w:asciiTheme="minorEastAsia" w:hAnsiTheme="minorEastAsia" w:eastAsiaTheme="minorEastAsia" w:cstheme="minorEastAsia"/>
          <w:color w:val="auto"/>
          <w:sz w:val="30"/>
          <w:szCs w:val="30"/>
        </w:rPr>
        <w:t>投标</w:t>
      </w:r>
      <w:bookmarkStart w:id="274" w:name="_Toc352691656"/>
      <w:bookmarkStart w:id="275" w:name="_Toc369531692"/>
      <w:bookmarkStart w:id="276" w:name="_Toc6931"/>
      <w:r>
        <w:rPr>
          <w:rFonts w:hint="eastAsia" w:asciiTheme="minorEastAsia" w:hAnsiTheme="minorEastAsia" w:eastAsiaTheme="minorEastAsia" w:cstheme="minorEastAsia"/>
          <w:color w:val="auto"/>
          <w:sz w:val="30"/>
          <w:szCs w:val="30"/>
        </w:rPr>
        <w:t>函</w:t>
      </w:r>
      <w:bookmarkEnd w:id="270"/>
      <w:bookmarkEnd w:id="271"/>
      <w:bookmarkEnd w:id="272"/>
      <w:bookmarkEnd w:id="273"/>
    </w:p>
    <w:bookmarkEnd w:id="274"/>
    <w:bookmarkEnd w:id="275"/>
    <w:bookmarkEnd w:id="276"/>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复旦大学附属中山医院</w:t>
      </w:r>
      <w:r>
        <w:rPr>
          <w:rFonts w:hint="eastAsia" w:asciiTheme="minorEastAsia" w:hAnsiTheme="minorEastAsia" w:eastAsiaTheme="minorEastAsia" w:cstheme="minorEastAsia"/>
          <w:b/>
          <w:color w:val="auto"/>
          <w:sz w:val="21"/>
          <w:szCs w:val="21"/>
        </w:rPr>
        <w:t>：</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1、我方已仔细研究了</w:t>
      </w:r>
      <w:r>
        <w:rPr>
          <w:rFonts w:hint="eastAsia" w:asciiTheme="minorEastAsia" w:hAnsiTheme="minorEastAsia" w:eastAsiaTheme="minorEastAsia" w:cstheme="minorEastAsia"/>
          <w:color w:val="auto"/>
          <w:sz w:val="21"/>
          <w:szCs w:val="21"/>
          <w:u w:val="single"/>
          <w:lang w:eastAsia="zh-CN"/>
        </w:rPr>
        <w:t>彩色多普勒超声诊断仪</w:t>
      </w:r>
      <w:r>
        <w:rPr>
          <w:rFonts w:hint="eastAsia" w:asciiTheme="minorEastAsia" w:hAnsiTheme="minorEastAsia" w:eastAsiaTheme="minorEastAsia" w:cstheme="minorEastAsia"/>
          <w:color w:val="auto"/>
          <w:sz w:val="21"/>
          <w:szCs w:val="21"/>
        </w:rPr>
        <w:t xml:space="preserve"> 项目（</w:t>
      </w:r>
      <w:r>
        <w:rPr>
          <w:rFonts w:hint="eastAsia" w:asciiTheme="minorEastAsia" w:hAnsiTheme="minorEastAsia" w:eastAsiaTheme="minorEastAsia" w:cstheme="minorEastAsia"/>
          <w:color w:val="auto"/>
          <w:sz w:val="21"/>
          <w:szCs w:val="21"/>
          <w:lang w:eastAsia="zh-CN"/>
        </w:rPr>
        <w:t>项目编号</w:t>
      </w:r>
      <w:r>
        <w:rPr>
          <w:rFonts w:hint="eastAsia" w:asciiTheme="minorEastAsia" w:hAnsiTheme="minorEastAsia" w:eastAsiaTheme="minorEastAsia" w:cstheme="minorEastAsia"/>
          <w:color w:val="auto"/>
          <w:sz w:val="21"/>
          <w:szCs w:val="21"/>
        </w:rPr>
        <w:t>：0613</w:t>
      </w:r>
      <w:r>
        <w:rPr>
          <w:rFonts w:hint="eastAsia" w:asciiTheme="minorEastAsia" w:hAnsiTheme="minorEastAsia" w:eastAsiaTheme="minorEastAsia" w:cstheme="minorEastAsia"/>
          <w:color w:val="auto"/>
          <w:sz w:val="21"/>
          <w:szCs w:val="21"/>
          <w:u w:val="none"/>
        </w:rPr>
        <w:t>-</w:t>
      </w:r>
      <w:r>
        <w:rPr>
          <w:rFonts w:hint="eastAsia" w:asciiTheme="minorEastAsia" w:hAnsiTheme="minorEastAsia" w:eastAsiaTheme="minorEastAsia" w:cstheme="minorEastAsia"/>
          <w:color w:val="auto"/>
          <w:sz w:val="21"/>
          <w:szCs w:val="21"/>
          <w:u w:val="none"/>
          <w:lang w:eastAsia="zh-CN"/>
        </w:rPr>
        <w:t>247123065821</w:t>
      </w:r>
      <w:r>
        <w:rPr>
          <w:rFonts w:hint="eastAsia" w:asciiTheme="minorEastAsia" w:hAnsiTheme="minorEastAsia" w:eastAsiaTheme="minorEastAsia" w:cstheme="minorEastAsia"/>
          <w:color w:val="auto"/>
          <w:sz w:val="21"/>
          <w:szCs w:val="21"/>
          <w:u w:val="none"/>
        </w:rPr>
        <w:t>）的招标文件，包括补充文件（如有的话）的全部内容，</w:t>
      </w:r>
      <w:r>
        <w:rPr>
          <w:rFonts w:hint="eastAsia" w:ascii="宋体" w:hAnsi="宋体" w:eastAsia="宋体" w:cs="宋体"/>
          <w:color w:val="auto"/>
          <w:szCs w:val="21"/>
        </w:rPr>
        <w:t>愿意以</w:t>
      </w:r>
      <w:r>
        <w:rPr>
          <w:rFonts w:hint="eastAsia" w:ascii="宋体" w:hAnsi="宋体" w:cs="宋体"/>
          <w:color w:val="auto"/>
          <w:szCs w:val="21"/>
          <w:lang w:eastAsia="zh-CN"/>
        </w:rPr>
        <w:t>“</w:t>
      </w:r>
      <w:r>
        <w:rPr>
          <w:rFonts w:hint="eastAsia" w:ascii="宋体" w:hAnsi="宋体" w:cs="宋体"/>
          <w:color w:val="auto"/>
          <w:szCs w:val="21"/>
          <w:lang w:val="en-US" w:eastAsia="zh-CN"/>
        </w:rPr>
        <w:t>开标一览表</w:t>
      </w:r>
      <w:r>
        <w:rPr>
          <w:rFonts w:hint="eastAsia" w:ascii="宋体" w:hAnsi="宋体" w:cs="宋体"/>
          <w:color w:val="auto"/>
          <w:szCs w:val="21"/>
          <w:lang w:eastAsia="zh-CN"/>
        </w:rPr>
        <w:t>”</w:t>
      </w:r>
      <w:r>
        <w:rPr>
          <w:rFonts w:hint="eastAsia" w:ascii="宋体" w:hAnsi="宋体" w:eastAsia="宋体" w:cs="宋体"/>
          <w:color w:val="auto"/>
          <w:szCs w:val="21"/>
        </w:rPr>
        <w:t>的投标总报价</w:t>
      </w:r>
      <w:r>
        <w:rPr>
          <w:rFonts w:hint="eastAsia" w:asciiTheme="minorEastAsia" w:hAnsiTheme="minorEastAsia" w:eastAsiaTheme="minorEastAsia" w:cstheme="minorEastAsia"/>
          <w:color w:val="auto"/>
          <w:sz w:val="21"/>
          <w:szCs w:val="21"/>
        </w:rPr>
        <w:t>，提供本招标项目所需的货物及相关服务，并按合同约定履行义务。</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2、我方的投标文件包括下列内容：</w:t>
      </w:r>
    </w:p>
    <w:p>
      <w:pPr>
        <w:keepNext w:val="0"/>
        <w:keepLines w:val="0"/>
        <w:pageBreakBefore w:val="0"/>
        <w:kinsoku/>
        <w:overflowPunct/>
        <w:bidi w:val="0"/>
        <w:spacing w:beforeAutospacing="0" w:afterAutospacing="0" w:line="360" w:lineRule="auto"/>
        <w:ind w:firstLine="4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（1）投标函；</w:t>
      </w:r>
    </w:p>
    <w:p>
      <w:pPr>
        <w:keepNext w:val="0"/>
        <w:keepLines w:val="0"/>
        <w:pageBreakBefore w:val="0"/>
        <w:kinsoku/>
        <w:overflowPunct/>
        <w:bidi w:val="0"/>
        <w:spacing w:beforeAutospacing="0" w:afterAutospacing="0" w:line="360" w:lineRule="auto"/>
        <w:ind w:firstLine="4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（2）已按照招标文件要求递交投标保证金；</w:t>
      </w:r>
    </w:p>
    <w:p>
      <w:pPr>
        <w:keepNext w:val="0"/>
        <w:keepLines w:val="0"/>
        <w:pageBreakBefore w:val="0"/>
        <w:kinsoku/>
        <w:overflowPunct/>
        <w:bidi w:val="0"/>
        <w:spacing w:beforeAutospacing="0" w:afterAutospacing="0" w:line="360" w:lineRule="auto"/>
        <w:ind w:firstLine="4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（3）按招标文件要求提供的全部文件。</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3、我方承诺除商务和技术偏差表列出的偏差外，我方响应招标文件的全部要求。</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4、我方投标的有效期为</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个日历日，并承诺在此投标有效期内不撤销投标文件。</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5、我方完全理解贵方不一定要接受最低价的投标或收到的任何投标。</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6、如我方中标，我方承诺：</w:t>
      </w:r>
    </w:p>
    <w:p>
      <w:pPr>
        <w:keepNext w:val="0"/>
        <w:keepLines w:val="0"/>
        <w:pageBreakBefore w:val="0"/>
        <w:kinsoku/>
        <w:overflowPunct/>
        <w:bidi w:val="0"/>
        <w:spacing w:beforeAutospacing="0" w:afterAutospacing="0" w:line="360" w:lineRule="auto"/>
        <w:ind w:left="945" w:leftChars="400" w:hanging="105" w:hangingChars="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（1）在收到中标通知书后，在规定的期限内与贵方签订合同；</w:t>
      </w:r>
    </w:p>
    <w:p>
      <w:pPr>
        <w:keepNext w:val="0"/>
        <w:keepLines w:val="0"/>
        <w:pageBreakBefore w:val="0"/>
        <w:kinsoku/>
        <w:overflowPunct/>
        <w:bidi w:val="0"/>
        <w:spacing w:beforeAutospacing="0" w:afterAutospacing="0" w:line="360" w:lineRule="auto"/>
        <w:ind w:left="945" w:leftChars="400" w:hanging="105" w:hangingChars="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（2）在签订合同时不向贵方提出附加条件；</w:t>
      </w:r>
    </w:p>
    <w:p>
      <w:pPr>
        <w:keepNext w:val="0"/>
        <w:keepLines w:val="0"/>
        <w:pageBreakBefore w:val="0"/>
        <w:kinsoku/>
        <w:overflowPunct/>
        <w:bidi w:val="0"/>
        <w:spacing w:beforeAutospacing="0" w:afterAutospacing="0" w:line="360" w:lineRule="auto"/>
        <w:ind w:left="945" w:leftChars="400" w:hanging="105" w:hangingChars="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（3）按照招标文件要求提交履约保证金；</w:t>
      </w:r>
      <w:bookmarkStart w:id="277" w:name="_Toc369531694"/>
      <w:bookmarkStart w:id="278" w:name="_Toc352691658"/>
      <w:bookmarkStart w:id="279" w:name="_Toc1187"/>
    </w:p>
    <w:p>
      <w:pPr>
        <w:keepNext w:val="0"/>
        <w:keepLines w:val="0"/>
        <w:pageBreakBefore w:val="0"/>
        <w:kinsoku/>
        <w:overflowPunct/>
        <w:bidi w:val="0"/>
        <w:spacing w:beforeAutospacing="0" w:afterAutospacing="0" w:line="360" w:lineRule="auto"/>
        <w:ind w:left="945" w:leftChars="400" w:hanging="105" w:hangingChars="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（4）在合</w:t>
      </w:r>
      <w:bookmarkEnd w:id="277"/>
      <w:bookmarkEnd w:id="278"/>
      <w:bookmarkEnd w:id="279"/>
      <w:r>
        <w:rPr>
          <w:rFonts w:hint="eastAsia" w:asciiTheme="minorEastAsia" w:hAnsiTheme="minorEastAsia" w:eastAsiaTheme="minorEastAsia" w:cstheme="minorEastAsia"/>
          <w:color w:val="auto"/>
          <w:sz w:val="21"/>
          <w:szCs w:val="21"/>
        </w:rPr>
        <w:t>同约定的期限内完成合同规定的全部义务。</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7、我方在此声明，所递交的投标文件及有关资料内容完整、真实和准确，且不存在第一章“投标邀请”3.5和3.7所列的任何一种情形。</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（其他补充说明）。</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法定代表人或其委托代理人姓名、职务（印刷体）：_______________</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地址：</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电子邮件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传真：</w:t>
      </w:r>
      <w:r>
        <w:rPr>
          <w:rFonts w:hint="eastAsia" w:asciiTheme="minorEastAsia" w:hAnsiTheme="minorEastAsia" w:eastAsiaTheme="minorEastAsia" w:cstheme="minorEastAsia"/>
          <w:color w:val="auto"/>
          <w:sz w:val="21"/>
          <w:szCs w:val="21"/>
          <w:u w:val="single"/>
        </w:rPr>
        <w:t xml:space="preserve">         </w:t>
      </w:r>
      <w:bookmarkStart w:id="280" w:name="_Toc16568"/>
      <w:bookmarkStart w:id="281" w:name="_Toc352691659"/>
      <w:bookmarkStart w:id="282" w:name="_Toc369531695"/>
      <w:r>
        <w:rPr>
          <w:rFonts w:hint="eastAsia" w:asciiTheme="minorEastAsia" w:hAnsiTheme="minorEastAsia" w:eastAsiaTheme="minorEastAsia" w:cstheme="minorEastAsia"/>
          <w:color w:val="auto"/>
          <w:sz w:val="21"/>
          <w:szCs w:val="21"/>
          <w:u w:val="single"/>
        </w:rPr>
        <w:t xml:space="preserve">   </w:t>
      </w:r>
      <w:bookmarkEnd w:id="280"/>
      <w:bookmarkEnd w:id="281"/>
      <w:bookmarkEnd w:id="282"/>
      <w:r>
        <w:rPr>
          <w:rFonts w:hint="eastAsia" w:asciiTheme="minorEastAsia" w:hAnsiTheme="minorEastAsia" w:eastAsiaTheme="minorEastAsia" w:cstheme="minorEastAsia"/>
          <w:color w:val="auto"/>
          <w:sz w:val="21"/>
          <w:szCs w:val="21"/>
          <w:u w:val="single"/>
        </w:rPr>
        <w:t xml:space="preserve">     </w:t>
      </w:r>
      <w:bookmarkStart w:id="283" w:name="_Toc369531696"/>
      <w:bookmarkStart w:id="284" w:name="_Toc16824"/>
      <w:bookmarkStart w:id="285" w:name="_Toc352691660"/>
      <w:r>
        <w:rPr>
          <w:rFonts w:hint="eastAsia" w:asciiTheme="minorEastAsia" w:hAnsiTheme="minorEastAsia" w:eastAsiaTheme="minorEastAsia" w:cstheme="minorEastAsia"/>
          <w:color w:val="auto"/>
          <w:sz w:val="21"/>
          <w:szCs w:val="21"/>
          <w:u w:val="single"/>
        </w:rPr>
        <w:t xml:space="preserve">           </w:t>
      </w:r>
      <w:bookmarkEnd w:id="283"/>
      <w:bookmarkEnd w:id="284"/>
      <w:bookmarkEnd w:id="285"/>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邮政编码：</w:t>
      </w:r>
      <w:r>
        <w:rPr>
          <w:rFonts w:hint="eastAsia" w:asciiTheme="minorEastAsia" w:hAnsiTheme="minorEastAsia" w:eastAsiaTheme="minorEastAsia" w:cstheme="minorEastAsia"/>
          <w:color w:val="auto"/>
          <w:sz w:val="21"/>
          <w:szCs w:val="21"/>
          <w:u w:val="single"/>
        </w:rPr>
        <w:t xml:space="preserve">    </w:t>
      </w:r>
      <w:bookmarkEnd w:id="243"/>
      <w:bookmarkEnd w:id="244"/>
      <w:bookmarkEnd w:id="245"/>
      <w:bookmarkEnd w:id="246"/>
      <w:bookmarkEnd w:id="247"/>
      <w:bookmarkEnd w:id="248"/>
      <w:bookmarkEnd w:id="249"/>
      <w:bookmarkEnd w:id="250"/>
      <w:bookmarkEnd w:id="251"/>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wordWrap w:val="0"/>
        <w:overflowPunct/>
        <w:bidi w:val="0"/>
        <w:spacing w:beforeAutospacing="0" w:afterAutospacing="0" w:line="360" w:lineRule="auto"/>
        <w:ind w:firstLine="4725" w:firstLineChars="225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p>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rPr>
      </w:pPr>
      <w:bookmarkStart w:id="286" w:name="_Toc247527827"/>
      <w:bookmarkStart w:id="287" w:name="_Toc152042576"/>
      <w:bookmarkStart w:id="288" w:name="_Toc361508752"/>
      <w:bookmarkStart w:id="289" w:name="_Toc17960"/>
      <w:bookmarkStart w:id="290" w:name="_Toc384308375"/>
      <w:bookmarkStart w:id="291" w:name="_Toc144974856"/>
      <w:bookmarkStart w:id="292" w:name="_Toc247514246"/>
      <w:bookmarkStart w:id="293" w:name="_Toc369531697"/>
      <w:bookmarkStart w:id="294" w:name="_Toc152045787"/>
      <w:bookmarkStart w:id="295" w:name="_Toc352691661"/>
      <w:bookmarkStart w:id="296" w:name="_Toc300835209"/>
      <w:r>
        <w:rPr>
          <w:rFonts w:hint="eastAsia" w:asciiTheme="minorEastAsia" w:hAnsiTheme="minorEastAsia" w:eastAsiaTheme="minorEastAsia" w:cstheme="minorEastAsia"/>
          <w:color w:val="auto"/>
          <w:sz w:val="24"/>
          <w:szCs w:val="24"/>
        </w:rPr>
        <w:br w:type="page"/>
      </w:r>
      <w:bookmarkStart w:id="297" w:name="_Toc457748051"/>
      <w:bookmarkStart w:id="298" w:name="_Toc26392"/>
      <w:bookmarkStart w:id="299" w:name="_Toc20848"/>
      <w:r>
        <w:rPr>
          <w:rFonts w:hint="eastAsia" w:asciiTheme="minorEastAsia" w:hAnsiTheme="minorEastAsia" w:eastAsiaTheme="minorEastAsia" w:cstheme="minorEastAsia"/>
          <w:color w:val="auto"/>
          <w:sz w:val="30"/>
          <w:szCs w:val="30"/>
        </w:rPr>
        <w:t>投标保证金</w:t>
      </w:r>
      <w:bookmarkEnd w:id="297"/>
      <w:bookmarkEnd w:id="298"/>
      <w:bookmarkEnd w:id="299"/>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24"/>
          <w:szCs w:val="24"/>
        </w:rPr>
      </w:pPr>
    </w:p>
    <w:p>
      <w:pPr>
        <w:spacing w:line="360" w:lineRule="auto"/>
        <w:jc w:val="center"/>
        <w:rPr>
          <w:rFonts w:hint="eastAsia" w:asciiTheme="minorEastAsia" w:hAnsiTheme="minorEastAsia" w:eastAsiaTheme="minorEastAsia" w:cstheme="minorEastAsia"/>
          <w:b/>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附投标保证金</w:t>
      </w:r>
      <w:bookmarkStart w:id="300" w:name="OLE_LINK48"/>
      <w:r>
        <w:rPr>
          <w:rFonts w:hint="eastAsia" w:asciiTheme="minorEastAsia" w:hAnsiTheme="minorEastAsia" w:eastAsiaTheme="minorEastAsia" w:cstheme="minorEastAsia"/>
          <w:color w:val="auto"/>
          <w:sz w:val="24"/>
          <w:szCs w:val="24"/>
        </w:rPr>
        <w:t>复印件</w:t>
      </w:r>
      <w:bookmarkEnd w:id="300"/>
    </w:p>
    <w:p>
      <w:pPr>
        <w:keepNext w:val="0"/>
        <w:keepLines w:val="0"/>
        <w:pageBreakBefore w:val="0"/>
        <w:kinsoku/>
        <w:overflowPunct/>
        <w:bidi w:val="0"/>
        <w:spacing w:beforeAutospacing="0" w:afterAutospacing="0" w:line="360" w:lineRule="auto"/>
        <w:ind w:firstLine="480" w:firstLineChars="200"/>
        <w:rPr>
          <w:rFonts w:hint="eastAsia" w:asciiTheme="minorEastAsia" w:hAnsiTheme="minorEastAsia" w:eastAsiaTheme="minorEastAsia" w:cstheme="minorEastAsia"/>
          <w:color w:val="auto"/>
          <w:sz w:val="24"/>
          <w:szCs w:val="24"/>
        </w:rPr>
      </w:pPr>
    </w:p>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val="0"/>
          <w:color w:val="auto"/>
          <w:sz w:val="24"/>
          <w:szCs w:val="24"/>
        </w:rPr>
        <w:br w:type="page"/>
      </w:r>
      <w:bookmarkStart w:id="301" w:name="_Toc457748054"/>
      <w:bookmarkStart w:id="302" w:name="_Toc392227908"/>
      <w:bookmarkStart w:id="303" w:name="_Toc20248"/>
      <w:bookmarkStart w:id="304" w:name="_Toc22168"/>
      <w:bookmarkStart w:id="305" w:name="_Toc457748053"/>
      <w:r>
        <w:rPr>
          <w:rFonts w:hint="eastAsia" w:asciiTheme="minorEastAsia" w:hAnsiTheme="minorEastAsia" w:eastAsiaTheme="minorEastAsia" w:cstheme="minorEastAsia"/>
          <w:color w:val="auto"/>
          <w:sz w:val="30"/>
          <w:szCs w:val="30"/>
        </w:rPr>
        <w:t>法定代表人（单位负责人）身份证明</w:t>
      </w:r>
      <w:bookmarkEnd w:id="301"/>
      <w:bookmarkEnd w:id="302"/>
      <w:bookmarkEnd w:id="303"/>
      <w:bookmarkEnd w:id="304"/>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单位性质：</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成立时间：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       经营期限：</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日至</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姓    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性     别：</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职     务：</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（投标人名称）的法定代表人（单位负责人）。</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特此证明。</w:t>
      </w:r>
    </w:p>
    <w:p>
      <w:pPr>
        <w:keepNext w:val="0"/>
        <w:keepLines w:val="0"/>
        <w:pageBreakBefore w:val="0"/>
        <w:kinsoku/>
        <w:overflowPunct/>
        <w:bidi w:val="0"/>
        <w:spacing w:beforeAutospacing="0" w:afterAutospacing="0" w:line="360" w:lineRule="auto"/>
        <w:jc w:val="right"/>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bidi w:val="0"/>
        <w:spacing w:beforeAutospacing="0" w:afterAutospacing="0" w:line="360" w:lineRule="auto"/>
        <w:jc w:val="right"/>
        <w:rPr>
          <w:rFonts w:hint="eastAsia" w:asciiTheme="minorEastAsia" w:hAnsiTheme="minorEastAsia" w:eastAsiaTheme="minorEastAsia" w:cstheme="minorEastAsia"/>
          <w:color w:val="auto"/>
          <w:sz w:val="21"/>
          <w:szCs w:val="21"/>
          <w:u w:val="single"/>
        </w:rPr>
      </w:pPr>
    </w:p>
    <w:p>
      <w:pPr>
        <w:keepNext w:val="0"/>
        <w:keepLines w:val="0"/>
        <w:pageBreakBefore w:val="0"/>
        <w:kinsoku/>
        <w:wordWrap w:val="0"/>
        <w:overflowPunct/>
        <w:bidi w:val="0"/>
        <w:spacing w:beforeAutospacing="0" w:afterAutospacing="0" w:line="36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ind w:firstLine="840" w:firstLineChars="40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4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法定代表人身份证复印件粘贴处：</w:t>
      </w:r>
    </w:p>
    <w:tbl>
      <w:tblPr>
        <w:tblStyle w:val="33"/>
        <w:tblpPr w:leftFromText="180" w:rightFromText="180" w:vertAnchor="text" w:horzAnchor="margin" w:tblpXSpec="center" w:tblpY="506"/>
        <w:tblOverlap w:val="never"/>
        <w:tblW w:w="5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5784" w:type="dxa"/>
            <w:vAlign w:val="top"/>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在此粘贴身份证复印件</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tc>
      </w:tr>
    </w:tbl>
    <w:p>
      <w:pPr>
        <w:keepNext w:val="0"/>
        <w:keepLines w:val="0"/>
        <w:pageBreakBefore w:val="0"/>
        <w:kinsoku/>
        <w:overflowPunct/>
        <w:bidi w:val="0"/>
        <w:spacing w:beforeAutospacing="0" w:afterAutospacing="0" w:line="360" w:lineRule="auto"/>
        <w:ind w:firstLine="600" w:firstLineChars="200"/>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color w:val="auto"/>
          <w:sz w:val="30"/>
          <w:szCs w:val="30"/>
        </w:rPr>
        <w:br w:type="page"/>
      </w:r>
      <w:bookmarkStart w:id="306" w:name="OLE_LINK2"/>
      <w:bookmarkStart w:id="307" w:name="_Toc21838"/>
      <w:bookmarkStart w:id="308" w:name="OLE_LINK1"/>
      <w:bookmarkStart w:id="309" w:name="_Toc17866"/>
      <w:r>
        <w:rPr>
          <w:rFonts w:hint="eastAsia" w:asciiTheme="minorEastAsia" w:hAnsiTheme="minorEastAsia" w:eastAsiaTheme="minorEastAsia" w:cstheme="minorEastAsia"/>
          <w:b/>
          <w:color w:val="auto"/>
          <w:sz w:val="30"/>
          <w:szCs w:val="30"/>
        </w:rPr>
        <w:t>法定代表人（单位负责人）授权委托书</w:t>
      </w:r>
      <w:bookmarkEnd w:id="306"/>
      <w:bookmarkEnd w:id="307"/>
      <w:bookmarkEnd w:id="308"/>
      <w:bookmarkEnd w:id="309"/>
    </w:p>
    <w:p>
      <w:pPr>
        <w:keepNext w:val="0"/>
        <w:keepLines w:val="0"/>
        <w:pageBreakBefore w:val="0"/>
        <w:kinsoku/>
        <w:overflowPunct/>
        <w:bidi w:val="0"/>
        <w:spacing w:beforeAutospacing="0" w:afterAutospacing="0" w:line="360" w:lineRule="auto"/>
        <w:ind w:firstLine="602" w:firstLineChars="200"/>
        <w:jc w:val="center"/>
        <w:rPr>
          <w:rFonts w:hint="eastAsia" w:asciiTheme="minorEastAsia" w:hAnsiTheme="minorEastAsia" w:eastAsiaTheme="minorEastAsia" w:cstheme="minorEastAsia"/>
          <w:b/>
          <w:color w:val="auto"/>
          <w:sz w:val="30"/>
          <w:szCs w:val="30"/>
        </w:rPr>
      </w:pP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（姓名）系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（投标人名称）的法定代表人（单位负责人），现授权</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（姓名）为我方代理人。代理人根据授权，以我方名义签署、澄清、说明、补正、提交、撤回、修改</w:t>
      </w:r>
      <w:r>
        <w:rPr>
          <w:rFonts w:hint="eastAsia" w:asciiTheme="minorEastAsia" w:hAnsiTheme="minorEastAsia" w:eastAsiaTheme="minorEastAsia" w:cstheme="minorEastAsia"/>
          <w:color w:val="auto"/>
          <w:sz w:val="21"/>
          <w:szCs w:val="21"/>
          <w:u w:val="single"/>
          <w:lang w:eastAsia="zh-CN"/>
        </w:rPr>
        <w:t>彩色多普勒超声诊断仪、项目编号0613-247123065821</w:t>
      </w:r>
      <w:r>
        <w:rPr>
          <w:rFonts w:hint="eastAsia" w:asciiTheme="minorEastAsia" w:hAnsiTheme="minorEastAsia" w:eastAsiaTheme="minorEastAsia" w:cstheme="minorEastAsia"/>
          <w:color w:val="auto"/>
          <w:sz w:val="21"/>
          <w:szCs w:val="21"/>
        </w:rPr>
        <w:t>投标文件、签订合同和处理有关事宜，其法律后果由我方承担。</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委托期限：</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ind w:firstLine="1260" w:firstLineChars="6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代理人无转委托权。</w:t>
      </w:r>
    </w:p>
    <w:p>
      <w:pPr>
        <w:keepNext w:val="0"/>
        <w:keepLines w:val="0"/>
        <w:pageBreakBefore w:val="0"/>
        <w:kinsoku/>
        <w:overflowPunct/>
        <w:bidi w:val="0"/>
        <w:spacing w:beforeAutospacing="0" w:afterAutospacing="0" w:line="360" w:lineRule="auto"/>
        <w:ind w:firstLine="3570" w:firstLineChars="170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身份证号码：</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身份证号码：</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wordWrap w:val="0"/>
        <w:overflowPunct/>
        <w:bidi w:val="0"/>
        <w:spacing w:beforeAutospacing="0" w:afterAutospacing="0" w:line="36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1"/>
          <w:szCs w:val="21"/>
        </w:rPr>
        <w:t>委托代理人身份证复印件粘贴处：</w:t>
      </w:r>
    </w:p>
    <w:tbl>
      <w:tblPr>
        <w:tblStyle w:val="33"/>
        <w:tblpPr w:leftFromText="180" w:rightFromText="180" w:vertAnchor="text" w:horzAnchor="margin" w:tblpXSpec="center" w:tblpY="506"/>
        <w:tblOverlap w:val="never"/>
        <w:tblW w:w="5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5784" w:type="dxa"/>
            <w:vAlign w:val="top"/>
          </w:tcPr>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在此粘贴身份证复印件</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tc>
      </w:tr>
    </w:tbl>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Theme="minorEastAsia" w:hAnsiTheme="minorEastAsia" w:eastAsiaTheme="minorEastAsia" w:cstheme="minorEastAsia"/>
          <w:color w:val="auto"/>
        </w:rPr>
      </w:pPr>
    </w:p>
    <w:p>
      <w:pPr>
        <w:bidi w:val="0"/>
        <w:rPr>
          <w:rFonts w:hint="eastAsia" w:ascii="宋体" w:hAnsi="宋体" w:cs="宋体"/>
          <w:b/>
          <w:color w:val="auto"/>
          <w:sz w:val="30"/>
          <w:szCs w:val="30"/>
        </w:rPr>
      </w:pPr>
      <w:bookmarkStart w:id="310" w:name="_Toc9467"/>
    </w:p>
    <w:p>
      <w:pPr>
        <w:bidi w:val="0"/>
        <w:rPr>
          <w:rFonts w:hint="eastAsia" w:ascii="宋体" w:hAnsi="宋体" w:cs="宋体"/>
          <w:b/>
          <w:color w:val="auto"/>
          <w:sz w:val="21"/>
          <w:szCs w:val="21"/>
          <w:lang w:val="en-US" w:eastAsia="zh-CN"/>
        </w:rPr>
      </w:pPr>
      <w:r>
        <w:rPr>
          <w:rFonts w:hint="eastAsia" w:ascii="宋体" w:hAnsi="宋体" w:cs="宋体"/>
          <w:b/>
          <w:color w:val="auto"/>
          <w:sz w:val="21"/>
          <w:szCs w:val="21"/>
        </w:rPr>
        <w:t>被授权委托人</w:t>
      </w:r>
      <w:r>
        <w:rPr>
          <w:rFonts w:hint="eastAsia" w:ascii="宋体" w:hAnsi="宋体" w:cs="宋体"/>
          <w:b/>
          <w:color w:val="auto"/>
          <w:sz w:val="21"/>
          <w:szCs w:val="21"/>
          <w:lang w:val="en-US" w:eastAsia="zh-CN"/>
        </w:rPr>
        <w:t>的社保缴纳证明附后</w:t>
      </w:r>
    </w:p>
    <w:p>
      <w:pPr>
        <w:rPr>
          <w:rFonts w:hint="eastAsia" w:ascii="宋体" w:hAnsi="宋体" w:cs="宋体"/>
          <w:b/>
          <w:color w:val="auto"/>
          <w:sz w:val="21"/>
          <w:szCs w:val="21"/>
          <w:lang w:val="en-US" w:eastAsia="zh-CN"/>
        </w:rPr>
      </w:pPr>
      <w:r>
        <w:rPr>
          <w:rFonts w:hint="eastAsia" w:ascii="宋体" w:hAnsi="宋体" w:cs="宋体"/>
          <w:b/>
          <w:color w:val="auto"/>
          <w:sz w:val="21"/>
          <w:szCs w:val="21"/>
          <w:lang w:val="en-US" w:eastAsia="zh-CN"/>
        </w:rPr>
        <w:br w:type="page"/>
      </w:r>
    </w:p>
    <w:p>
      <w:pPr>
        <w:bidi w:val="0"/>
        <w:jc w:val="center"/>
        <w:rPr>
          <w:rFonts w:hint="default" w:ascii="宋体" w:hAnsi="宋体" w:cs="宋体"/>
          <w:b/>
          <w:color w:val="auto"/>
          <w:sz w:val="30"/>
          <w:szCs w:val="30"/>
          <w:lang w:val="en-US" w:eastAsia="zh-CN"/>
        </w:rPr>
      </w:pPr>
      <w:r>
        <w:rPr>
          <w:rFonts w:hint="eastAsia" w:ascii="宋体" w:hAnsi="宋体" w:cs="宋体"/>
          <w:b/>
          <w:color w:val="auto"/>
          <w:sz w:val="30"/>
          <w:szCs w:val="30"/>
        </w:rPr>
        <w:t>被授权委托人</w:t>
      </w:r>
      <w:r>
        <w:rPr>
          <w:rFonts w:hint="eastAsia" w:ascii="宋体" w:hAnsi="宋体" w:cs="宋体"/>
          <w:b/>
          <w:color w:val="auto"/>
          <w:sz w:val="30"/>
          <w:szCs w:val="30"/>
          <w:lang w:val="en-US" w:eastAsia="zh-CN"/>
        </w:rPr>
        <w:t>的社保缴纳证明</w:t>
      </w: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color w:val="auto"/>
        </w:rPr>
      </w:pPr>
      <w:r>
        <w:rPr>
          <w:rFonts w:hint="eastAsia" w:ascii="宋体" w:hAnsi="宋体" w:cs="宋体"/>
          <w:color w:val="auto"/>
          <w:lang w:val="en-US" w:eastAsia="zh-CN"/>
        </w:rPr>
        <w:t>近三个月内任意一个月、由投标单位为其缴纳的社保证明材料，代缴社保不予认可</w:t>
      </w:r>
    </w:p>
    <w:p>
      <w:pPr>
        <w:rPr>
          <w:rFonts w:hint="eastAsia" w:ascii="宋体" w:hAnsi="宋体" w:eastAsia="宋体" w:cs="宋体"/>
          <w:color w:val="auto"/>
        </w:rPr>
      </w:pPr>
    </w:p>
    <w:p>
      <w:pPr>
        <w:pStyle w:val="12"/>
        <w:rPr>
          <w:rFonts w:hint="eastAsia"/>
          <w:color w:val="auto"/>
        </w:rPr>
      </w:pPr>
    </w:p>
    <w:p>
      <w:pPr>
        <w:bidi w:val="0"/>
        <w:jc w:val="left"/>
        <w:rPr>
          <w:rFonts w:hint="eastAsia" w:asciiTheme="minorEastAsia" w:hAnsiTheme="minorEastAsia" w:eastAsiaTheme="minorEastAsia" w:cstheme="minorEastAsia"/>
          <w:color w:val="auto"/>
          <w:sz w:val="30"/>
          <w:szCs w:val="30"/>
        </w:rPr>
      </w:pPr>
    </w:p>
    <w:p>
      <w:pPr>
        <w:tabs>
          <w:tab w:val="right" w:pos="8244"/>
        </w:tabs>
        <w:bidi w:val="0"/>
        <w:jc w:val="left"/>
        <w:rPr>
          <w:rFonts w:hint="eastAsia" w:asciiTheme="minorEastAsia" w:hAnsiTheme="minorEastAsia" w:eastAsiaTheme="minorEastAsia" w:cstheme="minorEastAsia"/>
          <w:b/>
          <w:bCs/>
          <w:color w:val="auto"/>
          <w:sz w:val="30"/>
          <w:szCs w:val="30"/>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p>
    <w:p>
      <w:pPr>
        <w:tabs>
          <w:tab w:val="right" w:pos="8244"/>
        </w:tabs>
        <w:bidi w:val="0"/>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开标一览表</w:t>
      </w:r>
      <w:bookmarkEnd w:id="305"/>
      <w:bookmarkEnd w:id="310"/>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lang w:eastAsia="zh-CN"/>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项目编号</w:t>
      </w:r>
      <w:r>
        <w:rPr>
          <w:rFonts w:hint="eastAsia" w:asciiTheme="minorEastAsia" w:hAnsiTheme="minorEastAsia" w:eastAsiaTheme="minorEastAsia" w:cstheme="minorEastAsia"/>
          <w:color w:val="auto"/>
          <w:sz w:val="21"/>
          <w:szCs w:val="21"/>
        </w:rPr>
        <w:t>：0613-</w:t>
      </w:r>
      <w:r>
        <w:rPr>
          <w:rFonts w:hint="eastAsia" w:asciiTheme="minorEastAsia" w:hAnsiTheme="minorEastAsia" w:eastAsiaTheme="minorEastAsia" w:cstheme="minorEastAsia"/>
          <w:color w:val="auto"/>
          <w:sz w:val="21"/>
          <w:szCs w:val="21"/>
          <w:lang w:eastAsia="zh-CN"/>
        </w:rPr>
        <w:t>247123065821</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3239"/>
        <w:gridCol w:w="2865"/>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1915" w:type="pct"/>
            <w:vAlign w:val="center"/>
          </w:tcPr>
          <w:p>
            <w:pPr>
              <w:jc w:val="center"/>
              <w:rPr>
                <w:rFonts w:ascii="宋体" w:hAnsi="宋体"/>
                <w:color w:val="auto"/>
                <w:szCs w:val="21"/>
              </w:rPr>
            </w:pPr>
            <w:r>
              <w:rPr>
                <w:rFonts w:hint="eastAsia" w:ascii="宋体" w:hAnsi="宋体"/>
                <w:color w:val="auto"/>
                <w:szCs w:val="21"/>
              </w:rPr>
              <w:t>项目名称</w:t>
            </w:r>
          </w:p>
        </w:tc>
        <w:tc>
          <w:tcPr>
            <w:tcW w:w="1693" w:type="pct"/>
            <w:vAlign w:val="center"/>
          </w:tcPr>
          <w:p>
            <w:pPr>
              <w:jc w:val="center"/>
              <w:rPr>
                <w:rFonts w:ascii="宋体" w:hAnsi="宋体"/>
                <w:color w:val="auto"/>
                <w:szCs w:val="21"/>
              </w:rPr>
            </w:pPr>
            <w:r>
              <w:rPr>
                <w:rFonts w:hint="eastAsia" w:ascii="宋体" w:hAnsi="宋体"/>
                <w:color w:val="auto"/>
                <w:szCs w:val="21"/>
              </w:rPr>
              <w:t>投标总价</w:t>
            </w:r>
          </w:p>
          <w:p>
            <w:pPr>
              <w:jc w:val="center"/>
              <w:rPr>
                <w:rFonts w:ascii="宋体" w:hAnsi="宋体"/>
                <w:color w:val="auto"/>
                <w:szCs w:val="21"/>
              </w:rPr>
            </w:pPr>
            <w:r>
              <w:rPr>
                <w:rFonts w:hint="eastAsia" w:ascii="宋体" w:hAnsi="宋体" w:cs="宋体"/>
                <w:color w:val="auto"/>
                <w:szCs w:val="21"/>
              </w:rPr>
              <w:t>元人民币</w:t>
            </w:r>
          </w:p>
        </w:tc>
        <w:tc>
          <w:tcPr>
            <w:tcW w:w="1391" w:type="pct"/>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1915" w:type="pct"/>
            <w:vAlign w:val="center"/>
          </w:tcPr>
          <w:p>
            <w:pPr>
              <w:jc w:val="center"/>
              <w:rPr>
                <w:rFonts w:hint="eastAsia" w:ascii="宋体" w:hAnsi="宋体" w:eastAsia="宋体"/>
                <w:color w:val="auto"/>
                <w:szCs w:val="21"/>
                <w:lang w:eastAsia="zh-CN"/>
              </w:rPr>
            </w:pPr>
            <w:r>
              <w:rPr>
                <w:rFonts w:hint="eastAsia" w:asciiTheme="minorEastAsia" w:hAnsiTheme="minorEastAsia" w:eastAsiaTheme="minorEastAsia" w:cstheme="minorEastAsia"/>
                <w:color w:val="auto"/>
                <w:sz w:val="21"/>
                <w:szCs w:val="21"/>
                <w:lang w:eastAsia="zh-CN"/>
              </w:rPr>
              <w:t>彩色多普勒超声诊断仪</w:t>
            </w:r>
          </w:p>
        </w:tc>
        <w:tc>
          <w:tcPr>
            <w:tcW w:w="1693" w:type="pct"/>
            <w:vAlign w:val="center"/>
          </w:tcPr>
          <w:p>
            <w:pPr>
              <w:jc w:val="center"/>
              <w:rPr>
                <w:rFonts w:ascii="宋体" w:hAnsi="宋体"/>
                <w:color w:val="auto"/>
                <w:szCs w:val="21"/>
              </w:rPr>
            </w:pPr>
          </w:p>
        </w:tc>
        <w:tc>
          <w:tcPr>
            <w:tcW w:w="1391" w:type="pct"/>
            <w:vAlign w:val="center"/>
          </w:tcPr>
          <w:p>
            <w:pPr>
              <w:jc w:val="center"/>
              <w:rPr>
                <w:rFonts w:ascii="宋体" w:hAnsi="宋体"/>
                <w:color w:val="auto"/>
                <w:szCs w:val="21"/>
              </w:rPr>
            </w:pPr>
          </w:p>
        </w:tc>
      </w:tr>
    </w:tbl>
    <w:p>
      <w:pPr>
        <w:pStyle w:val="12"/>
        <w:rPr>
          <w:rFonts w:hint="eastAsia" w:ascii="宋体" w:hAnsi="宋体" w:cs="宋体"/>
          <w:color w:val="auto"/>
          <w:szCs w:val="21"/>
        </w:rPr>
      </w:pPr>
    </w:p>
    <w:p>
      <w:pPr>
        <w:pStyle w:val="12"/>
        <w:rPr>
          <w:rFonts w:hint="eastAsia" w:asciiTheme="minorEastAsia" w:hAnsiTheme="minorEastAsia" w:eastAsiaTheme="minorEastAsia" w:cstheme="minorEastAsia"/>
          <w:color w:val="auto"/>
          <w:sz w:val="21"/>
          <w:szCs w:val="21"/>
        </w:rPr>
      </w:pPr>
      <w:r>
        <w:rPr>
          <w:rFonts w:hint="eastAsia" w:ascii="宋体" w:hAnsi="宋体" w:cs="宋体"/>
          <w:color w:val="auto"/>
          <w:szCs w:val="21"/>
        </w:rPr>
        <w:t>投标声明：</w:t>
      </w:r>
      <w:r>
        <w:rPr>
          <w:rFonts w:hint="eastAsia" w:ascii="宋体" w:hAnsi="宋体" w:cs="宋体"/>
          <w:color w:val="auto"/>
          <w:szCs w:val="21"/>
          <w:lang w:val="en-US" w:eastAsia="zh-CN"/>
        </w:rPr>
        <w:t>_______</w:t>
      </w:r>
      <w:r>
        <w:rPr>
          <w:rFonts w:hint="eastAsia" w:ascii="宋体" w:hAnsi="宋体"/>
          <w:color w:val="auto"/>
          <w:szCs w:val="21"/>
        </w:rPr>
        <w:t>（填写“无”或“有”，如有的话，请详细说明）</w:t>
      </w: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topLinePunct/>
        <w:bidi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p>
    <w:bookmarkEnd w:id="286"/>
    <w:bookmarkEnd w:id="287"/>
    <w:bookmarkEnd w:id="288"/>
    <w:bookmarkEnd w:id="289"/>
    <w:bookmarkEnd w:id="290"/>
    <w:bookmarkEnd w:id="291"/>
    <w:bookmarkEnd w:id="292"/>
    <w:bookmarkEnd w:id="293"/>
    <w:bookmarkEnd w:id="294"/>
    <w:bookmarkEnd w:id="295"/>
    <w:bookmarkEnd w:id="296"/>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lang w:eastAsia="zh-CN"/>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bookmarkStart w:id="311" w:name="_Toc30778"/>
      <w:bookmarkStart w:id="312" w:name="_Toc457748056"/>
      <w:bookmarkStart w:id="313" w:name="_Toc392227914"/>
    </w:p>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rPr>
      </w:pPr>
      <w:bookmarkStart w:id="314" w:name="_Toc995"/>
      <w:r>
        <w:rPr>
          <w:rFonts w:hint="eastAsia" w:asciiTheme="minorEastAsia" w:hAnsiTheme="minorEastAsia" w:eastAsiaTheme="minorEastAsia" w:cstheme="minorEastAsia"/>
          <w:color w:val="auto"/>
          <w:sz w:val="30"/>
          <w:szCs w:val="30"/>
          <w:lang w:eastAsia="zh-CN"/>
        </w:rPr>
        <w:t>投标</w:t>
      </w:r>
      <w:r>
        <w:rPr>
          <w:rFonts w:hint="eastAsia" w:asciiTheme="minorEastAsia" w:hAnsiTheme="minorEastAsia" w:eastAsiaTheme="minorEastAsia" w:cstheme="minorEastAsia"/>
          <w:color w:val="auto"/>
          <w:sz w:val="30"/>
          <w:szCs w:val="30"/>
        </w:rPr>
        <w:t>分项报价表</w:t>
      </w:r>
      <w:bookmarkEnd w:id="311"/>
      <w:bookmarkEnd w:id="312"/>
      <w:bookmarkEnd w:id="313"/>
      <w:bookmarkEnd w:id="314"/>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投标人名称：</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项目名称：彩色多普勒超声诊断仪</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项目编号：0613-247123065821    </w:t>
      </w:r>
      <w:r>
        <w:rPr>
          <w:rFonts w:hint="eastAsia" w:asciiTheme="minorEastAsia" w:hAnsiTheme="minorEastAsia" w:eastAsiaTheme="minorEastAsia" w:cstheme="minorEastAsia"/>
          <w:color w:val="auto"/>
          <w:sz w:val="21"/>
          <w:szCs w:val="21"/>
        </w:rPr>
        <w:t xml:space="preserve">                   单位：人民币元</w:t>
      </w:r>
    </w:p>
    <w:tbl>
      <w:tblPr>
        <w:tblStyle w:val="33"/>
        <w:tblW w:w="139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2"/>
        <w:gridCol w:w="2015"/>
        <w:gridCol w:w="1337"/>
        <w:gridCol w:w="2422"/>
        <w:gridCol w:w="1007"/>
        <w:gridCol w:w="1733"/>
        <w:gridCol w:w="3380"/>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015"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名称</w:t>
            </w:r>
          </w:p>
        </w:tc>
        <w:tc>
          <w:tcPr>
            <w:tcW w:w="1337"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型号和规格</w:t>
            </w:r>
          </w:p>
        </w:tc>
        <w:tc>
          <w:tcPr>
            <w:tcW w:w="2422"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原产地和制造商</w:t>
            </w:r>
          </w:p>
        </w:tc>
        <w:tc>
          <w:tcPr>
            <w:tcW w:w="1007"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733"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w:t>
            </w:r>
          </w:p>
        </w:tc>
        <w:tc>
          <w:tcPr>
            <w:tcW w:w="3380"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125"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to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to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to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to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top"/>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32" w:type="dxa"/>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2015" w:type="dxa"/>
            <w:vAlign w:val="top"/>
          </w:tcPr>
          <w:p>
            <w:pPr>
              <w:jc w:val="center"/>
              <w:rPr>
                <w:rFonts w:hint="eastAsia" w:asciiTheme="minorEastAsia" w:hAnsiTheme="minorEastAsia" w:eastAsiaTheme="minorEastAsia" w:cstheme="minorEastAsia"/>
                <w:color w:val="auto"/>
              </w:rPr>
            </w:pPr>
          </w:p>
        </w:tc>
        <w:tc>
          <w:tcPr>
            <w:tcW w:w="1337" w:type="dxa"/>
            <w:vAlign w:val="top"/>
          </w:tcPr>
          <w:p>
            <w:pPr>
              <w:jc w:val="center"/>
              <w:rPr>
                <w:rFonts w:hint="eastAsia" w:asciiTheme="minorEastAsia" w:hAnsiTheme="minorEastAsia" w:eastAsiaTheme="minorEastAsia" w:cstheme="minorEastAsia"/>
                <w:color w:val="auto"/>
              </w:rPr>
            </w:pPr>
          </w:p>
        </w:tc>
        <w:tc>
          <w:tcPr>
            <w:tcW w:w="2422" w:type="dxa"/>
            <w:vAlign w:val="top"/>
          </w:tcPr>
          <w:p>
            <w:pPr>
              <w:jc w:val="center"/>
              <w:rPr>
                <w:rFonts w:hint="eastAsia" w:asciiTheme="minorEastAsia" w:hAnsiTheme="minorEastAsia" w:eastAsiaTheme="minorEastAsia" w:cstheme="minorEastAsia"/>
                <w:color w:val="auto"/>
              </w:rPr>
            </w:pPr>
          </w:p>
        </w:tc>
        <w:tc>
          <w:tcPr>
            <w:tcW w:w="1007" w:type="dxa"/>
            <w:vAlign w:val="top"/>
          </w:tcPr>
          <w:p>
            <w:pPr>
              <w:jc w:val="center"/>
              <w:rPr>
                <w:rFonts w:hint="eastAsia" w:asciiTheme="minorEastAsia" w:hAnsiTheme="minorEastAsia" w:eastAsiaTheme="minorEastAsia" w:cstheme="minorEastAsia"/>
                <w:color w:val="auto"/>
              </w:rPr>
            </w:pPr>
          </w:p>
        </w:tc>
        <w:tc>
          <w:tcPr>
            <w:tcW w:w="1733" w:type="dxa"/>
            <w:vAlign w:val="top"/>
          </w:tcPr>
          <w:p>
            <w:pPr>
              <w:jc w:val="center"/>
              <w:rPr>
                <w:rFonts w:hint="eastAsia" w:asciiTheme="minorEastAsia" w:hAnsiTheme="minorEastAsia" w:eastAsiaTheme="minorEastAsia" w:cstheme="minorEastAsia"/>
                <w:color w:val="auto"/>
              </w:rPr>
            </w:pP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9446" w:type="dxa"/>
            <w:gridSpan w:val="6"/>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Cs w:val="21"/>
              </w:rPr>
              <w:t>合计：</w:t>
            </w:r>
          </w:p>
        </w:tc>
        <w:tc>
          <w:tcPr>
            <w:tcW w:w="3380" w:type="dxa"/>
            <w:vAlign w:val="top"/>
          </w:tcPr>
          <w:p>
            <w:pPr>
              <w:jc w:val="center"/>
              <w:rPr>
                <w:rFonts w:hint="eastAsia" w:asciiTheme="minorEastAsia" w:hAnsiTheme="minorEastAsia" w:eastAsiaTheme="minorEastAsia" w:cstheme="minorEastAsia"/>
                <w:color w:val="auto"/>
              </w:rPr>
            </w:pPr>
          </w:p>
        </w:tc>
        <w:tc>
          <w:tcPr>
            <w:tcW w:w="1125" w:type="dxa"/>
            <w:vAlign w:val="top"/>
          </w:tcPr>
          <w:p>
            <w:pPr>
              <w:jc w:val="center"/>
              <w:rPr>
                <w:rFonts w:hint="eastAsia" w:asciiTheme="minorEastAsia" w:hAnsiTheme="minorEastAsia" w:eastAsiaTheme="minorEastAsia" w:cstheme="minorEastAsia"/>
                <w:color w:val="auto"/>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lang w:val="en-US" w:eastAsia="zh-CN"/>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olor w:val="auto"/>
          <w:szCs w:val="21"/>
          <w:lang w:val="en-US" w:eastAsia="zh-CN"/>
        </w:rPr>
      </w:pPr>
      <w:r>
        <w:rPr>
          <w:rFonts w:hint="eastAsia" w:ascii="宋体" w:hAnsi="宋体"/>
          <w:color w:val="auto"/>
          <w:szCs w:val="21"/>
          <w:lang w:val="en-US" w:eastAsia="zh-CN"/>
        </w:rPr>
        <w:t>交货期：</w:t>
      </w:r>
      <w:r>
        <w:rPr>
          <w:rFonts w:hint="eastAsia" w:ascii="宋体" w:hAnsi="宋体" w:cs="宋体"/>
          <w:color w:val="auto"/>
          <w:szCs w:val="21"/>
          <w:u w:val="single"/>
        </w:rPr>
        <w:t xml:space="preserve">           </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rPr>
      </w:pPr>
      <w:r>
        <w:rPr>
          <w:rFonts w:hint="eastAsia" w:ascii="宋体" w:hAnsi="宋体"/>
          <w:color w:val="auto"/>
          <w:szCs w:val="21"/>
          <w:lang w:val="en-US" w:eastAsia="zh-CN"/>
        </w:rPr>
        <w:t>保修期：</w:t>
      </w:r>
      <w:r>
        <w:rPr>
          <w:rFonts w:hint="eastAsia" w:ascii="宋体" w:hAnsi="宋体" w:cs="宋体"/>
          <w:color w:val="auto"/>
          <w:szCs w:val="21"/>
          <w:u w:val="single"/>
        </w:rPr>
        <w:t xml:space="preserve">           </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olor w:val="auto"/>
          <w:szCs w:val="21"/>
        </w:rPr>
      </w:pPr>
      <w:r>
        <w:rPr>
          <w:rFonts w:hint="eastAsia" w:ascii="宋体" w:hAnsi="宋体"/>
          <w:color w:val="auto"/>
          <w:szCs w:val="21"/>
        </w:rPr>
        <w:t>①</w:t>
      </w:r>
      <w:r>
        <w:rPr>
          <w:rFonts w:hint="eastAsia" w:ascii="宋体" w:hAnsi="宋体" w:cs="宋体"/>
          <w:snapToGrid w:val="0"/>
          <w:color w:val="auto"/>
          <w:kern w:val="0"/>
          <w:szCs w:val="21"/>
        </w:rPr>
        <w:t>开标一览表中“投标总价”应与投标分项报价表中“合计”保持一致。</w:t>
      </w: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Cs w:val="21"/>
          <w:lang w:eastAsia="zh-CN"/>
        </w:rPr>
      </w:pPr>
      <w:r>
        <w:rPr>
          <w:rFonts w:hint="eastAsia" w:ascii="宋体" w:hAnsi="宋体"/>
          <w:color w:val="auto"/>
          <w:szCs w:val="21"/>
        </w:rPr>
        <w:t>②以上报价均为含税价。</w:t>
      </w: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Cs w:val="21"/>
          <w:lang w:eastAsia="zh-CN"/>
        </w:rPr>
      </w:pP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topLinePunct/>
        <w:bidi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Cs/>
          <w:color w:val="auto"/>
          <w:sz w:val="21"/>
          <w:szCs w:val="21"/>
        </w:rPr>
      </w:pPr>
    </w:p>
    <w:p>
      <w:pPr>
        <w:keepNext w:val="0"/>
        <w:keepLines w:val="0"/>
        <w:pageBreakBefore w:val="0"/>
        <w:kinsoku/>
        <w:overflowPunct/>
        <w:bidi w:val="0"/>
        <w:spacing w:beforeAutospacing="0" w:afterAutospacing="0" w:line="360" w:lineRule="auto"/>
        <w:jc w:val="left"/>
        <w:rPr>
          <w:rFonts w:hint="eastAsia" w:asciiTheme="minorEastAsia" w:hAnsiTheme="minorEastAsia" w:eastAsiaTheme="minorEastAsia" w:cstheme="minorEastAsia"/>
          <w:b/>
          <w:color w:val="auto"/>
          <w:sz w:val="24"/>
        </w:rPr>
        <w:sectPr>
          <w:pgSz w:w="16783" w:h="11850" w:orient="landscape"/>
          <w:pgMar w:top="1803" w:right="1440" w:bottom="1803" w:left="1440" w:header="720" w:footer="720" w:gutter="0"/>
          <w:pgBorders>
            <w:top w:val="none" w:sz="0" w:space="0"/>
            <w:left w:val="none" w:sz="0" w:space="0"/>
            <w:bottom w:val="none" w:sz="0" w:space="0"/>
            <w:right w:val="none" w:sz="0" w:space="0"/>
          </w:pgBorders>
          <w:cols w:space="720" w:num="1"/>
          <w:rtlGutter w:val="0"/>
          <w:docGrid w:linePitch="286" w:charSpace="0"/>
        </w:sectPr>
      </w:pPr>
    </w:p>
    <w:p>
      <w:pPr>
        <w:keepNext w:val="0"/>
        <w:keepLines w:val="0"/>
        <w:pageBreakBefore w:val="0"/>
        <w:kinsoku/>
        <w:overflowPunct/>
        <w:bidi w:val="0"/>
        <w:spacing w:beforeAutospacing="0" w:afterAutospacing="0" w:line="360" w:lineRule="auto"/>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附表：</w:t>
      </w:r>
    </w:p>
    <w:p>
      <w:pPr>
        <w:spacing w:line="360" w:lineRule="auto"/>
        <w:jc w:val="center"/>
        <w:rPr>
          <w:rFonts w:hint="eastAsia" w:asciiTheme="minorEastAsia" w:hAnsiTheme="minorEastAsia" w:eastAsiaTheme="minorEastAsia" w:cstheme="minorEastAsia"/>
          <w:b/>
          <w:color w:val="auto"/>
          <w:sz w:val="28"/>
          <w:szCs w:val="21"/>
        </w:rPr>
      </w:pPr>
      <w:r>
        <w:rPr>
          <w:rFonts w:hint="eastAsia" w:asciiTheme="minorEastAsia" w:hAnsiTheme="minorEastAsia" w:eastAsiaTheme="minorEastAsia" w:cstheme="minorEastAsia"/>
          <w:b/>
          <w:color w:val="auto"/>
          <w:sz w:val="28"/>
          <w:szCs w:val="21"/>
        </w:rPr>
        <w:t>详细的配置清单</w:t>
      </w:r>
    </w:p>
    <w:p>
      <w:pPr>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eastAsia="zh-CN"/>
        </w:rPr>
        <w:t>复旦大学附属中山医院</w:t>
      </w:r>
      <w:r>
        <w:rPr>
          <w:rFonts w:hint="eastAsia" w:asciiTheme="minorEastAsia" w:hAnsiTheme="minorEastAsia" w:eastAsiaTheme="minorEastAsia" w:cstheme="minorEastAsia"/>
          <w:b/>
          <w:color w:val="auto"/>
        </w:rPr>
        <w:t>：</w:t>
      </w:r>
    </w:p>
    <w:p>
      <w:pPr>
        <w:ind w:firstLine="42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针对</w:t>
      </w:r>
      <w:r>
        <w:rPr>
          <w:rFonts w:hint="eastAsia" w:asciiTheme="minorEastAsia" w:hAnsiTheme="minorEastAsia" w:eastAsiaTheme="minorEastAsia" w:cstheme="minorEastAsia"/>
          <w:b/>
          <w:color w:val="auto"/>
          <w:lang w:eastAsia="zh-CN"/>
        </w:rPr>
        <w:t>彩色多普勒超声诊断仪</w:t>
      </w:r>
      <w:r>
        <w:rPr>
          <w:rFonts w:hint="eastAsia" w:asciiTheme="minorEastAsia" w:hAnsiTheme="minorEastAsia" w:eastAsiaTheme="minorEastAsia" w:cstheme="minorEastAsia"/>
          <w:b/>
          <w:color w:val="auto"/>
        </w:rPr>
        <w:t>（</w:t>
      </w:r>
      <w:r>
        <w:rPr>
          <w:rFonts w:hint="eastAsia" w:asciiTheme="minorEastAsia" w:hAnsiTheme="minorEastAsia" w:eastAsiaTheme="minorEastAsia" w:cstheme="minorEastAsia"/>
          <w:b/>
          <w:color w:val="auto"/>
          <w:lang w:eastAsia="zh-CN"/>
        </w:rPr>
        <w:t>项目编号</w:t>
      </w:r>
      <w:r>
        <w:rPr>
          <w:rFonts w:hint="eastAsia" w:asciiTheme="minorEastAsia" w:hAnsiTheme="minorEastAsia" w:eastAsiaTheme="minorEastAsia" w:cstheme="minorEastAsia"/>
          <w:b/>
          <w:color w:val="auto"/>
        </w:rPr>
        <w:t>：0613-</w:t>
      </w:r>
      <w:r>
        <w:rPr>
          <w:rFonts w:hint="eastAsia" w:asciiTheme="minorEastAsia" w:hAnsiTheme="minorEastAsia" w:eastAsiaTheme="minorEastAsia" w:cstheme="minorEastAsia"/>
          <w:b/>
          <w:color w:val="auto"/>
          <w:lang w:eastAsia="zh-CN"/>
        </w:rPr>
        <w:t>247123065821</w:t>
      </w:r>
      <w:r>
        <w:rPr>
          <w:rFonts w:hint="eastAsia" w:asciiTheme="minorEastAsia" w:hAnsiTheme="minorEastAsia" w:eastAsiaTheme="minorEastAsia" w:cstheme="minorEastAsia"/>
          <w:b/>
          <w:color w:val="auto"/>
        </w:rPr>
        <w:t>），详细的配置清单如下：</w:t>
      </w: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2" w:firstLineChars="200"/>
        <w:rPr>
          <w:rFonts w:hint="eastAsia" w:asciiTheme="minorEastAsia" w:hAnsiTheme="minorEastAsia" w:eastAsiaTheme="minorEastAsia" w:cstheme="minorEastAsia"/>
          <w:b/>
          <w:color w:val="auto"/>
        </w:rPr>
      </w:pP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ind w:firstLine="420" w:firstLineChars="200"/>
        <w:rPr>
          <w:rFonts w:hint="eastAsia" w:asciiTheme="minorEastAsia" w:hAnsiTheme="minorEastAsia" w:eastAsiaTheme="minorEastAsia" w:cstheme="minorEastAsia"/>
          <w:color w:val="auto"/>
          <w:sz w:val="21"/>
          <w:szCs w:val="21"/>
        </w:rPr>
      </w:pP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ind w:firstLine="420" w:firstLineChars="200"/>
        <w:rPr>
          <w:rFonts w:hint="eastAsia" w:asciiTheme="minorEastAsia" w:hAnsiTheme="minorEastAsia" w:eastAsiaTheme="minorEastAsia" w:cstheme="minorEastAsia"/>
          <w:color w:val="auto"/>
          <w:sz w:val="21"/>
          <w:szCs w:val="21"/>
        </w:rPr>
      </w:pPr>
    </w:p>
    <w:p>
      <w:pPr>
        <w:ind w:firstLine="420"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keepNext w:val="0"/>
        <w:keepLines w:val="0"/>
        <w:pageBreakBefore w:val="0"/>
        <w:kinsoku/>
        <w:overflowPunct/>
        <w:bidi w:val="0"/>
        <w:spacing w:beforeAutospacing="0" w:afterAutospacing="0" w:line="360" w:lineRule="auto"/>
        <w:jc w:val="left"/>
        <w:rPr>
          <w:rFonts w:hint="eastAsia" w:asciiTheme="minorEastAsia" w:hAnsiTheme="minorEastAsia" w:eastAsiaTheme="minorEastAsia" w:cstheme="minorEastAsia"/>
          <w:b/>
          <w:color w:val="auto"/>
          <w:sz w:val="24"/>
        </w:rPr>
      </w:pP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color w:val="auto"/>
          <w:sz w:val="30"/>
          <w:szCs w:val="30"/>
        </w:rPr>
        <w:br w:type="page"/>
      </w:r>
      <w:r>
        <w:rPr>
          <w:rFonts w:hint="eastAsia" w:asciiTheme="minorEastAsia" w:hAnsiTheme="minorEastAsia" w:eastAsiaTheme="minorEastAsia" w:cstheme="minorEastAsia"/>
          <w:b/>
          <w:color w:val="auto"/>
          <w:sz w:val="30"/>
          <w:szCs w:val="30"/>
        </w:rPr>
        <w:t>备品备件报价表</w:t>
      </w:r>
    </w:p>
    <w:p>
      <w:pPr>
        <w:keepNext w:val="0"/>
        <w:keepLines w:val="0"/>
        <w:pageBreakBefore w:val="0"/>
        <w:kinsoku/>
        <w:overflowPunct/>
        <w:bidi w:val="0"/>
        <w:spacing w:beforeAutospacing="0" w:afterAutospacing="0" w:line="360" w:lineRule="auto"/>
        <w:ind w:firstLine="480"/>
        <w:jc w:val="center"/>
        <w:rPr>
          <w:rFonts w:hint="eastAsia" w:asciiTheme="minorEastAsia" w:hAnsiTheme="minorEastAsia" w:eastAsiaTheme="minorEastAsia" w:cstheme="minorEastAsia"/>
          <w:b/>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彩色多普勒超声诊断仪</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项目编号</w:t>
      </w:r>
      <w:r>
        <w:rPr>
          <w:rFonts w:hint="eastAsia" w:asciiTheme="minorEastAsia" w:hAnsiTheme="minorEastAsia" w:eastAsiaTheme="minorEastAsia" w:cstheme="minorEastAsia"/>
          <w:color w:val="auto"/>
          <w:sz w:val="21"/>
          <w:szCs w:val="21"/>
        </w:rPr>
        <w:t>：0613-</w:t>
      </w:r>
      <w:r>
        <w:rPr>
          <w:rFonts w:hint="eastAsia" w:asciiTheme="minorEastAsia" w:hAnsiTheme="minorEastAsia" w:eastAsiaTheme="minorEastAsia" w:cstheme="minorEastAsia"/>
          <w:color w:val="auto"/>
          <w:sz w:val="21"/>
          <w:szCs w:val="21"/>
          <w:lang w:eastAsia="zh-CN"/>
        </w:rPr>
        <w:t>247123065821</w:t>
      </w:r>
      <w:r>
        <w:rPr>
          <w:rFonts w:hint="eastAsia" w:asciiTheme="minorEastAsia" w:hAnsiTheme="minorEastAsia" w:eastAsiaTheme="minorEastAsia" w:cstheme="minorEastAsia"/>
          <w:color w:val="auto"/>
          <w:sz w:val="21"/>
          <w:szCs w:val="21"/>
        </w:rPr>
        <w:t xml:space="preserve">                     单位：人民币元</w:t>
      </w:r>
    </w:p>
    <w:tbl>
      <w:tblPr>
        <w:tblStyle w:val="3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18"/>
        <w:gridCol w:w="1777"/>
        <w:gridCol w:w="1955"/>
        <w:gridCol w:w="908"/>
        <w:gridCol w:w="1403"/>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名称与规格</w:t>
            </w: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原产地与制造商</w:t>
            </w: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单价</w:t>
            </w: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777"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955"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908"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403"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6861" w:type="dxa"/>
            <w:gridSpan w:val="5"/>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合计</w:t>
            </w:r>
          </w:p>
        </w:tc>
        <w:tc>
          <w:tcPr>
            <w:tcW w:w="1599" w:type="dxa"/>
            <w:vAlign w:val="top"/>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b/>
                <w:color w:val="auto"/>
                <w:sz w:val="21"/>
                <w:szCs w:val="21"/>
              </w:rPr>
            </w:pPr>
          </w:p>
        </w:tc>
      </w:tr>
    </w:tbl>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注：投标人需按本表格式提供质保期后运行2年所需的备品备件的清单和价格，并承诺在</w:t>
      </w:r>
      <w:r>
        <w:rPr>
          <w:rFonts w:hint="eastAsia" w:asciiTheme="minorEastAsia" w:hAnsiTheme="minorEastAsia" w:eastAsiaTheme="minorEastAsia" w:cstheme="minorEastAsia"/>
          <w:snapToGrid w:val="0"/>
          <w:color w:val="auto"/>
          <w:sz w:val="21"/>
          <w:szCs w:val="21"/>
        </w:rPr>
        <w:t>质保期满后</w:t>
      </w:r>
      <w:r>
        <w:rPr>
          <w:rFonts w:hint="eastAsia" w:asciiTheme="minorEastAsia" w:hAnsiTheme="minorEastAsia" w:eastAsiaTheme="minorEastAsia" w:cstheme="minorEastAsia"/>
          <w:color w:val="auto"/>
          <w:sz w:val="21"/>
          <w:szCs w:val="21"/>
        </w:rPr>
        <w:t>5年内不高于上述清单的价格，此报价不计入投标总价。</w:t>
      </w:r>
    </w:p>
    <w:p>
      <w:pPr>
        <w:keepNext w:val="0"/>
        <w:keepLines w:val="0"/>
        <w:pageBreakBefore w:val="0"/>
        <w:kinsoku/>
        <w:overflowPunct/>
        <w:bidi w:val="0"/>
        <w:spacing w:beforeAutospacing="0" w:afterAutospacing="0" w:line="360" w:lineRule="auto"/>
        <w:ind w:firstLine="480"/>
        <w:jc w:val="center"/>
        <w:rPr>
          <w:rFonts w:hint="eastAsia" w:asciiTheme="minorEastAsia" w:hAnsiTheme="minorEastAsia" w:eastAsiaTheme="minorEastAsia" w:cstheme="minorEastAsia"/>
          <w:b/>
          <w:color w:val="auto"/>
          <w:sz w:val="21"/>
          <w:szCs w:val="21"/>
        </w:rPr>
      </w:pP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topLinePunct/>
        <w:bidi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jc w:val="center"/>
        <w:rPr>
          <w:rFonts w:hint="eastAsia" w:asciiTheme="minorEastAsia" w:hAnsiTheme="minorEastAsia" w:eastAsiaTheme="minorEastAsia" w:cstheme="minorEastAsia"/>
          <w:b/>
          <w:color w:val="auto"/>
          <w:sz w:val="30"/>
          <w:szCs w:val="30"/>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p>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rPr>
      </w:pPr>
      <w:bookmarkStart w:id="315" w:name="_Toc392227913"/>
      <w:bookmarkStart w:id="316" w:name="_Toc457748057"/>
      <w:bookmarkStart w:id="317" w:name="_Toc1690"/>
      <w:bookmarkStart w:id="318" w:name="_Toc21961"/>
      <w:r>
        <w:rPr>
          <w:rFonts w:hint="eastAsia" w:asciiTheme="minorEastAsia" w:hAnsiTheme="minorEastAsia" w:eastAsiaTheme="minorEastAsia" w:cstheme="minorEastAsia"/>
          <w:color w:val="auto"/>
          <w:sz w:val="30"/>
          <w:szCs w:val="30"/>
        </w:rPr>
        <w:t>商务偏差表</w:t>
      </w:r>
      <w:bookmarkEnd w:id="315"/>
      <w:bookmarkEnd w:id="316"/>
      <w:bookmarkEnd w:id="317"/>
      <w:bookmarkEnd w:id="318"/>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r>
        <w:rPr>
          <w:rFonts w:hint="eastAsia" w:ascii="宋体" w:hAnsi="宋体" w:cs="宋体"/>
          <w:color w:val="auto"/>
          <w:sz w:val="21"/>
          <w:szCs w:val="21"/>
          <w:lang w:val="en-US" w:eastAsia="zh-CN"/>
        </w:rPr>
        <w:t>彩色多普勒超声诊断仪</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项目编号：0613-</w:t>
      </w:r>
      <w:r>
        <w:rPr>
          <w:rFonts w:hint="eastAsia" w:ascii="宋体" w:hAnsi="宋体" w:cs="宋体"/>
          <w:color w:val="auto"/>
          <w:sz w:val="21"/>
          <w:szCs w:val="21"/>
          <w:lang w:val="en-US" w:eastAsia="zh-CN"/>
        </w:rPr>
        <w:t>247123065821</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bCs/>
          <w:color w:val="auto"/>
          <w:sz w:val="21"/>
          <w:szCs w:val="21"/>
          <w:highlight w:val="yellow"/>
        </w:rPr>
      </w:pP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以下二选一</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sym w:font="Wingdings 2" w:char="00A3"/>
      </w:r>
      <w:r>
        <w:rPr>
          <w:rFonts w:hint="eastAsia" w:asciiTheme="minorEastAsia" w:hAnsiTheme="minorEastAsia" w:eastAsiaTheme="minorEastAsia" w:cstheme="minorEastAsia"/>
          <w:b w:val="0"/>
          <w:bCs w:val="0"/>
          <w:color w:val="auto"/>
          <w:sz w:val="21"/>
          <w:szCs w:val="21"/>
          <w:highlight w:val="none"/>
          <w:lang w:val="en-US" w:eastAsia="zh-CN"/>
        </w:rPr>
        <w:t>均无偏差</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□有偏差：</w:t>
      </w:r>
      <w:r>
        <w:rPr>
          <w:rFonts w:hint="eastAsia" w:ascii="宋体" w:hAnsi="宋体" w:cs="宋体"/>
          <w:b w:val="0"/>
          <w:bCs w:val="0"/>
          <w:color w:val="auto"/>
          <w:sz w:val="21"/>
          <w:szCs w:val="21"/>
          <w:lang w:val="en-US" w:eastAsia="zh-CN"/>
        </w:rPr>
        <w:t>（详细列明偏差项）</w:t>
      </w:r>
    </w:p>
    <w:tbl>
      <w:tblPr>
        <w:tblStyle w:val="33"/>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5" w:type="dxa"/>
          <w:left w:w="28" w:type="dxa"/>
          <w:bottom w:w="85" w:type="dxa"/>
          <w:right w:w="28" w:type="dxa"/>
        </w:tblCellMar>
      </w:tblPr>
      <w:tblGrid>
        <w:gridCol w:w="2772"/>
        <w:gridCol w:w="3416"/>
        <w:gridCol w:w="21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招标要求</w:t>
            </w:r>
          </w:p>
        </w:tc>
        <w:tc>
          <w:tcPr>
            <w:tcW w:w="2058"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w:t>
            </w:r>
          </w:p>
        </w:tc>
        <w:tc>
          <w:tcPr>
            <w:tcW w:w="12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偏差说明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2058"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2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2058"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2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keepNext w:val="0"/>
              <w:keepLines w:val="0"/>
              <w:pageBreakBefore w:val="0"/>
              <w:kinsoku/>
              <w:overflowPunct/>
              <w:bidi w:val="0"/>
              <w:spacing w:beforeAutospacing="0" w:afterAutospacing="0"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可增加行</w:t>
            </w:r>
          </w:p>
        </w:tc>
        <w:tc>
          <w:tcPr>
            <w:tcW w:w="2058"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270" w:type="pct"/>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bl>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说明：投标人须对招标文件的商务要求列出偏差内容，</w:t>
      </w:r>
      <w:r>
        <w:rPr>
          <w:rFonts w:hint="eastAsia" w:asciiTheme="minorEastAsia" w:hAnsiTheme="minorEastAsia" w:eastAsiaTheme="minorEastAsia" w:cstheme="minorEastAsia"/>
          <w:b/>
          <w:color w:val="auto"/>
          <w:sz w:val="21"/>
          <w:szCs w:val="21"/>
        </w:rPr>
        <w:t>如全部内容均无偏差，则注明“</w:t>
      </w:r>
      <w:r>
        <w:rPr>
          <w:rFonts w:hint="eastAsia" w:asciiTheme="minorEastAsia" w:hAnsiTheme="minorEastAsia" w:eastAsiaTheme="minorEastAsia" w:cstheme="minorEastAsia"/>
          <w:b/>
          <w:bCs/>
          <w:color w:val="auto"/>
          <w:sz w:val="21"/>
          <w:szCs w:val="21"/>
        </w:rPr>
        <w:t>均无偏差</w:t>
      </w:r>
      <w:r>
        <w:rPr>
          <w:rFonts w:hint="eastAsia" w:asciiTheme="minorEastAsia" w:hAnsiTheme="minorEastAsia" w:eastAsiaTheme="minorEastAsia" w:cstheme="minorEastAsia"/>
          <w:b/>
          <w:color w:val="auto"/>
          <w:sz w:val="21"/>
          <w:szCs w:val="21"/>
        </w:rPr>
        <w:t>”。投标人未填写本偏差表的，视作均无偏差，但在评审时将作不利于投标人的评判。</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topLinePunct/>
        <w:bidi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pStyle w:val="4"/>
        <w:keepNext w:val="0"/>
        <w:keepLines w:val="0"/>
        <w:pageBreakBefore w:val="0"/>
        <w:kinsoku/>
        <w:overflowPunct/>
        <w:bidi w:val="0"/>
        <w:spacing w:before="0" w:beforeLines="0" w:beforeAutospacing="0" w:after="0" w:afterLines="0" w:afterAutospacing="0" w:line="360" w:lineRule="auto"/>
        <w:jc w:val="center"/>
        <w:outlineLvl w:val="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24"/>
          <w:szCs w:val="24"/>
        </w:rPr>
        <w:br w:type="page"/>
      </w:r>
      <w:bookmarkStart w:id="319" w:name="_Toc457748058"/>
      <w:bookmarkStart w:id="320" w:name="_Toc5720"/>
      <w:bookmarkStart w:id="321" w:name="_Toc22415"/>
      <w:bookmarkStart w:id="322" w:name="_Toc392227915"/>
      <w:bookmarkStart w:id="323" w:name="_Toc361508760"/>
      <w:r>
        <w:rPr>
          <w:rFonts w:hint="eastAsia" w:asciiTheme="minorEastAsia" w:hAnsiTheme="minorEastAsia" w:eastAsiaTheme="minorEastAsia" w:cstheme="minorEastAsia"/>
          <w:color w:val="auto"/>
          <w:sz w:val="30"/>
          <w:szCs w:val="30"/>
        </w:rPr>
        <w:t>履约能力证明资料</w:t>
      </w:r>
      <w:bookmarkEnd w:id="319"/>
      <w:bookmarkEnd w:id="320"/>
      <w:bookmarkEnd w:id="321"/>
      <w:bookmarkEnd w:id="322"/>
    </w:p>
    <w:p>
      <w:pPr>
        <w:keepNext w:val="0"/>
        <w:keepLines w:val="0"/>
        <w:pageBreakBefore w:val="0"/>
        <w:tabs>
          <w:tab w:val="left" w:pos="425"/>
        </w:tabs>
        <w:kinsoku/>
        <w:overflowPunct/>
        <w:bidi w:val="0"/>
        <w:spacing w:beforeAutospacing="0" w:afterAutospacing="0" w:line="360" w:lineRule="auto"/>
        <w:ind w:firstLine="316"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投标人应如实填写并提供证明材料。若填写内容和提供的材料与事实不符的，将依照《中华人民共和国政府采购法》第七十七条第一款的规定追究法律责任。</w:t>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bookmarkStart w:id="324" w:name="_Toc457748059"/>
      <w:bookmarkStart w:id="325" w:name="_Toc392227916"/>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val="en-US" w:eastAsia="zh-CN"/>
        </w:rPr>
        <w:t>投标人</w:t>
      </w:r>
      <w:r>
        <w:rPr>
          <w:rFonts w:hint="eastAsia" w:asciiTheme="minorEastAsia" w:hAnsiTheme="minorEastAsia" w:eastAsiaTheme="minorEastAsia" w:cstheme="minorEastAsia"/>
          <w:b/>
          <w:color w:val="auto"/>
          <w:sz w:val="21"/>
          <w:szCs w:val="21"/>
        </w:rPr>
        <w:t>基本情况</w:t>
      </w:r>
      <w:bookmarkEnd w:id="324"/>
      <w:bookmarkEnd w:id="325"/>
    </w:p>
    <w:p>
      <w:pPr>
        <w:pStyle w:val="5"/>
        <w:keepNext w:val="0"/>
        <w:keepLines w:val="0"/>
        <w:spacing w:before="0" w:after="0" w:line="360" w:lineRule="auto"/>
        <w:ind w:firstLine="732" w:firstLineChars="349"/>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营业执照</w:t>
      </w:r>
    </w:p>
    <w:p>
      <w:pPr>
        <w:pStyle w:val="5"/>
        <w:keepNext w:val="0"/>
        <w:keepLines w:val="0"/>
        <w:spacing w:before="0" w:after="0" w:line="360" w:lineRule="auto"/>
        <w:ind w:firstLine="732" w:firstLineChars="34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医疗器械经营许可证</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备案证</w:t>
      </w:r>
      <w:r>
        <w:rPr>
          <w:rFonts w:hint="eastAsia" w:ascii="宋体" w:hAnsi="宋体" w:eastAsia="宋体" w:cs="宋体"/>
          <w:bCs/>
          <w:color w:val="auto"/>
          <w:sz w:val="21"/>
          <w:szCs w:val="21"/>
          <w:lang w:eastAsia="zh-CN"/>
        </w:rPr>
        <w:t>）</w:t>
      </w:r>
    </w:p>
    <w:p>
      <w:pPr>
        <w:pStyle w:val="5"/>
        <w:keepNext w:val="0"/>
        <w:keepLines w:val="0"/>
        <w:spacing w:before="0" w:after="0" w:line="360" w:lineRule="auto"/>
        <w:ind w:firstLine="732" w:firstLineChars="34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医疗器械注册证</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备案证</w:t>
      </w:r>
      <w:r>
        <w:rPr>
          <w:rFonts w:hint="eastAsia" w:ascii="宋体" w:hAnsi="宋体" w:eastAsia="宋体" w:cs="宋体"/>
          <w:bCs/>
          <w:color w:val="auto"/>
          <w:sz w:val="21"/>
          <w:szCs w:val="21"/>
          <w:lang w:eastAsia="zh-CN"/>
        </w:rPr>
        <w:t>）</w:t>
      </w:r>
    </w:p>
    <w:p>
      <w:pPr>
        <w:pStyle w:val="5"/>
        <w:keepNext w:val="0"/>
        <w:keepLines w:val="0"/>
        <w:spacing w:before="0" w:after="0" w:line="360" w:lineRule="auto"/>
        <w:ind w:firstLine="732" w:firstLineChars="34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投标人认为需要提供的资料</w:t>
      </w:r>
    </w:p>
    <w:p>
      <w:pPr>
        <w:pStyle w:val="5"/>
        <w:keepNext w:val="0"/>
        <w:keepLines w:val="0"/>
        <w:spacing w:before="0" w:after="0" w:line="360" w:lineRule="auto"/>
        <w:ind w:firstLine="977" w:firstLineChars="349"/>
        <w:rPr>
          <w:rFonts w:hint="default"/>
          <w:color w:val="auto"/>
          <w:lang w:val="en-US"/>
        </w:rPr>
      </w:pPr>
    </w:p>
    <w:p>
      <w:pPr>
        <w:keepNext w:val="0"/>
        <w:keepLines w:val="0"/>
        <w:pageBreakBefore w:val="0"/>
        <w:numPr>
          <w:ilvl w:val="0"/>
          <w:numId w:val="0"/>
        </w:numPr>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overflowPunct/>
        <w:bidi w:val="0"/>
        <w:spacing w:beforeAutospacing="0" w:afterAutospacing="0" w:line="360" w:lineRule="auto"/>
        <w:jc w:val="both"/>
        <w:rPr>
          <w:rFonts w:hint="eastAsia" w:asciiTheme="minorEastAsia" w:hAnsiTheme="minorEastAsia" w:eastAsiaTheme="minorEastAsia" w:cstheme="minorEastAsia"/>
          <w:color w:val="auto"/>
          <w:sz w:val="24"/>
        </w:rPr>
      </w:pP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br w:type="page"/>
      </w:r>
      <w:r>
        <w:rPr>
          <w:rFonts w:hint="eastAsia" w:asciiTheme="minorEastAsia" w:hAnsiTheme="minorEastAsia" w:eastAsiaTheme="minorEastAsia" w:cstheme="minorEastAsia"/>
          <w:b/>
          <w:color w:val="auto"/>
          <w:sz w:val="30"/>
          <w:szCs w:val="30"/>
        </w:rPr>
        <w:t>制造商出具的授权函</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pStyle w:val="5"/>
        <w:keepNext w:val="0"/>
        <w:keepLines w:val="0"/>
        <w:pageBreakBefore w:val="0"/>
        <w:kinsoku/>
        <w:overflowPunct/>
        <w:bidi w:val="0"/>
        <w:spacing w:before="0" w:beforeLines="0" w:beforeAutospacing="0" w:after="0" w:afterLines="0" w:afterAutospacing="0" w:line="360" w:lineRule="auto"/>
        <w:ind w:firstLine="137"/>
        <w:jc w:val="left"/>
        <w:rPr>
          <w:rFonts w:hint="eastAsia" w:asciiTheme="minorEastAsia" w:hAnsiTheme="minorEastAsia" w:eastAsiaTheme="minorEastAsia" w:cstheme="minorEastAsia"/>
          <w:b/>
          <w:color w:val="auto"/>
          <w:sz w:val="24"/>
          <w:szCs w:val="24"/>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bookmarkStart w:id="326" w:name="_Toc457748060"/>
      <w:bookmarkStart w:id="327" w:name="_Toc392227918"/>
    </w:p>
    <w:p>
      <w:pPr>
        <w:pStyle w:val="5"/>
        <w:keepNext w:val="0"/>
        <w:keepLines w:val="0"/>
        <w:pageBreakBefore w:val="0"/>
        <w:kinsoku/>
        <w:overflowPunct/>
        <w:bidi w:val="0"/>
        <w:spacing w:before="0" w:beforeLines="0" w:beforeAutospacing="0" w:after="0" w:afterLines="0" w:afterAutospacing="0" w:line="360" w:lineRule="auto"/>
        <w:ind w:firstLine="137"/>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（二）业绩情况表</w:t>
      </w:r>
      <w:bookmarkEnd w:id="326"/>
      <w:bookmarkEnd w:id="327"/>
    </w:p>
    <w:p>
      <w:pPr>
        <w:keepNext w:val="0"/>
        <w:keepLines w:val="0"/>
        <w:pageBreakBefore w:val="0"/>
        <w:kinsoku/>
        <w:overflowPunct/>
        <w:bidi w:val="0"/>
        <w:spacing w:beforeAutospacing="0" w:afterAutospacing="0"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1、投标人业绩情况</w:t>
      </w:r>
    </w:p>
    <w:bookmarkEnd w:id="323"/>
    <w:tbl>
      <w:tblPr>
        <w:tblStyle w:val="33"/>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bookmarkStart w:id="328" w:name="_Toc300835217"/>
            <w:bookmarkStart w:id="329" w:name="_Toc352691669"/>
            <w:bookmarkStart w:id="330" w:name="_Toc369531705"/>
            <w:bookmarkStart w:id="331" w:name="_Toc28644"/>
            <w:r>
              <w:rPr>
                <w:rFonts w:hint="eastAsia" w:asciiTheme="minorEastAsia" w:hAnsiTheme="minorEastAsia" w:eastAsiaTheme="minorEastAsia" w:cstheme="minorEastAsia"/>
                <w:color w:val="auto"/>
                <w:szCs w:val="21"/>
              </w:rPr>
              <w:t>产品名称</w:t>
            </w: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规格和型号</w:t>
            </w: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买方名称</w:t>
            </w: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买方联系人及电话</w:t>
            </w:r>
          </w:p>
        </w:tc>
        <w:tc>
          <w:tcPr>
            <w:tcW w:w="1900" w:type="dxa"/>
            <w:vAlign w:val="center"/>
          </w:tcPr>
          <w:p>
            <w:pPr>
              <w:topLinePunct/>
              <w:spacing w:line="400" w:lineRule="exact"/>
              <w:jc w:val="center"/>
              <w:rPr>
                <w:rFonts w:hint="eastAsia" w:ascii="宋体" w:hAnsi="宋体" w:eastAsia="宋体" w:cs="宋体"/>
                <w:color w:val="auto"/>
                <w:kern w:val="2"/>
                <w:sz w:val="21"/>
                <w:szCs w:val="21"/>
                <w:lang w:val="en-US" w:eastAsia="zh-CN" w:bidi="ar-SA"/>
              </w:rPr>
            </w:pPr>
            <w:r>
              <w:rPr>
                <w:rFonts w:ascii="宋体" w:hAnsi="宋体"/>
                <w:color w:val="auto"/>
                <w:szCs w:val="21"/>
              </w:rPr>
              <w:t>合同价格</w:t>
            </w:r>
            <w:r>
              <w:rPr>
                <w:rFonts w:hint="eastAsia" w:ascii="宋体" w:hAnsi="宋体"/>
                <w:color w:val="auto"/>
                <w:szCs w:val="21"/>
              </w:rPr>
              <w:t>（可以隐藏价格）</w:t>
            </w:r>
          </w:p>
        </w:tc>
        <w:tc>
          <w:tcPr>
            <w:tcW w:w="1900" w:type="dxa"/>
            <w:vAlign w:val="center"/>
          </w:tcPr>
          <w:p>
            <w:pPr>
              <w:topLinePunct/>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合同签订日期</w:t>
            </w: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left"/>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248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12"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900"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c>
          <w:tcPr>
            <w:tcW w:w="1897" w:type="dxa"/>
            <w:vAlign w:val="center"/>
          </w:tcPr>
          <w:p>
            <w:pPr>
              <w:topLinePunct/>
              <w:spacing w:line="400" w:lineRule="exact"/>
              <w:jc w:val="center"/>
              <w:rPr>
                <w:rFonts w:hint="eastAsia" w:asciiTheme="minorEastAsia" w:hAnsiTheme="minorEastAsia" w:eastAsiaTheme="minorEastAsia" w:cstheme="minorEastAsia"/>
                <w:color w:val="auto"/>
                <w:szCs w:val="21"/>
              </w:rPr>
            </w:pPr>
          </w:p>
        </w:tc>
      </w:tr>
    </w:tbl>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w:t>
      </w:r>
      <w:bookmarkEnd w:id="328"/>
      <w:r>
        <w:rPr>
          <w:rFonts w:hint="eastAsia" w:asciiTheme="minorEastAsia" w:hAnsiTheme="minorEastAsia" w:eastAsiaTheme="minorEastAsia" w:cstheme="minorEastAsia"/>
          <w:color w:val="auto"/>
          <w:sz w:val="21"/>
          <w:szCs w:val="21"/>
        </w:rPr>
        <w:t>如投标人须知对投标人业绩有要求的，投标</w:t>
      </w:r>
      <w:bookmarkEnd w:id="329"/>
      <w:bookmarkEnd w:id="330"/>
      <w:bookmarkEnd w:id="331"/>
      <w:r>
        <w:rPr>
          <w:rFonts w:hint="eastAsia" w:asciiTheme="minorEastAsia" w:hAnsiTheme="minorEastAsia" w:eastAsiaTheme="minorEastAsia" w:cstheme="minorEastAsia"/>
          <w:color w:val="auto"/>
          <w:sz w:val="21"/>
          <w:szCs w:val="21"/>
        </w:rPr>
        <w:t>人应填写本表并根据投标人须知的要求在本表后附合同复印件。</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2、投标设备的业绩情况</w:t>
      </w:r>
    </w:p>
    <w:p>
      <w:pPr>
        <w:keepNext w:val="0"/>
        <w:keepLines w:val="0"/>
        <w:pageBreakBefore w:val="0"/>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如投标人须知要求投标人提供投标设备的业绩的，投标人应按照上表的格式和要求提供投标设备的业绩情况及相关证明材料。</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sectPr>
          <w:pgSz w:w="16783" w:h="11850" w:orient="landscape"/>
          <w:pgMar w:top="1803" w:right="1440" w:bottom="1803" w:left="1440" w:header="720" w:footer="720" w:gutter="0"/>
          <w:pgBorders>
            <w:top w:val="none" w:sz="0" w:space="0"/>
            <w:left w:val="none" w:sz="0" w:space="0"/>
            <w:bottom w:val="none" w:sz="0" w:space="0"/>
            <w:right w:val="none" w:sz="0" w:space="0"/>
          </w:pgBorders>
          <w:cols w:space="720" w:num="1"/>
          <w:rtlGutter w:val="0"/>
          <w:docGrid w:linePitch="286" w:charSpace="0"/>
        </w:sectPr>
      </w:pPr>
      <w:bookmarkStart w:id="332" w:name="_Toc457748061"/>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）财务报告</w:t>
      </w:r>
      <w:r>
        <w:rPr>
          <w:rFonts w:hint="eastAsia" w:asciiTheme="minorEastAsia" w:hAnsiTheme="minorEastAsia" w:eastAsiaTheme="minorEastAsia" w:cstheme="minorEastAsia"/>
          <w:b/>
          <w:color w:val="auto"/>
          <w:sz w:val="21"/>
          <w:szCs w:val="21"/>
          <w:lang w:val="en-US" w:eastAsia="zh-CN"/>
        </w:rPr>
        <w:t>或</w:t>
      </w:r>
      <w:r>
        <w:rPr>
          <w:rFonts w:hint="eastAsia" w:asciiTheme="minorEastAsia" w:hAnsiTheme="minorEastAsia" w:eastAsiaTheme="minorEastAsia" w:cstheme="minorEastAsia"/>
          <w:b/>
          <w:color w:val="auto"/>
          <w:sz w:val="21"/>
          <w:szCs w:val="21"/>
        </w:rPr>
        <w:t>银行资信证明</w:t>
      </w:r>
      <w:bookmarkEnd w:id="332"/>
    </w:p>
    <w:p>
      <w:pPr>
        <w:keepNext w:val="0"/>
        <w:keepLines w:val="0"/>
        <w:pageBreakBefore w:val="0"/>
        <w:kinsoku/>
        <w:overflowPunct/>
        <w:bidi w:val="0"/>
        <w:spacing w:beforeAutospacing="0" w:afterAutospacing="0" w:line="360" w:lineRule="auto"/>
        <w:ind w:firstLine="630" w:firstLineChars="300"/>
        <w:rPr>
          <w:rFonts w:hint="eastAsia" w:asciiTheme="minorEastAsia" w:hAnsiTheme="minorEastAsia" w:eastAsiaTheme="minorEastAsia" w:cstheme="minorEastAsia"/>
          <w:color w:val="auto"/>
          <w:sz w:val="21"/>
          <w:szCs w:val="21"/>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近年</w:t>
      </w:r>
      <w:r>
        <w:rPr>
          <w:rFonts w:hint="eastAsia" w:asciiTheme="minorEastAsia" w:hAnsiTheme="minorEastAsia" w:eastAsiaTheme="minorEastAsia" w:cstheme="minorEastAsia"/>
          <w:b/>
          <w:color w:val="auto"/>
          <w:sz w:val="21"/>
          <w:szCs w:val="21"/>
          <w:lang w:val="en-US" w:eastAsia="zh-CN"/>
        </w:rPr>
        <w:t>经审计的</w:t>
      </w:r>
      <w:r>
        <w:rPr>
          <w:rFonts w:hint="eastAsia" w:asciiTheme="minorEastAsia" w:hAnsiTheme="minorEastAsia" w:eastAsiaTheme="minorEastAsia" w:cstheme="minorEastAsia"/>
          <w:b/>
          <w:color w:val="auto"/>
          <w:sz w:val="21"/>
          <w:szCs w:val="21"/>
        </w:rPr>
        <w:t>财务报告</w:t>
      </w:r>
    </w:p>
    <w:p>
      <w:pPr>
        <w:keepNext w:val="0"/>
        <w:keepLines w:val="0"/>
        <w:pageBreakBefore w:val="0"/>
        <w:tabs>
          <w:tab w:val="left" w:pos="425"/>
        </w:tabs>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投标人须根据投标人须知的规定，提供一定期限内的财务报告。</w:t>
      </w:r>
    </w:p>
    <w:p>
      <w:pPr>
        <w:keepNext w:val="0"/>
        <w:keepLines w:val="0"/>
        <w:pageBreakBefore w:val="0"/>
        <w:tabs>
          <w:tab w:val="left" w:pos="425"/>
        </w:tabs>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提供的具体年份要求见投标人须知前附表。投标人的成立时间少于投标人须知前附表规定年份的，应提供成立以来的财务状况表。</w:t>
      </w:r>
    </w:p>
    <w:p>
      <w:pPr>
        <w:keepNext w:val="0"/>
        <w:keepLines w:val="0"/>
        <w:pageBreakBefore w:val="0"/>
        <w:kinsoku/>
        <w:overflowPunct/>
        <w:bidi w:val="0"/>
        <w:spacing w:beforeAutospacing="0" w:afterAutospacing="0" w:line="360" w:lineRule="auto"/>
        <w:ind w:firstLine="630" w:firstLineChars="30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630" w:firstLineChars="3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或者</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银行资信证明</w:t>
      </w:r>
    </w:p>
    <w:p>
      <w:pPr>
        <w:keepNext w:val="0"/>
        <w:keepLines w:val="0"/>
        <w:pageBreakBefore w:val="0"/>
        <w:tabs>
          <w:tab w:val="left" w:pos="425"/>
        </w:tabs>
        <w:kinsoku/>
        <w:overflowPunct/>
        <w:bidi w:val="0"/>
        <w:spacing w:beforeAutospacing="0" w:afterAutospacing="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投标人须提供其基本开户银行在开标前</w:t>
      </w:r>
      <w:r>
        <w:rPr>
          <w:rFonts w:hint="eastAsia" w:asciiTheme="minorEastAsia" w:hAnsiTheme="minorEastAsia" w:eastAsiaTheme="minorEastAsia" w:cstheme="minorEastAsia"/>
          <w:color w:val="auto"/>
          <w:sz w:val="21"/>
          <w:szCs w:val="21"/>
          <w:lang w:eastAsia="zh-CN"/>
        </w:rPr>
        <w:t>六个</w:t>
      </w:r>
      <w:r>
        <w:rPr>
          <w:rFonts w:hint="eastAsia" w:asciiTheme="minorEastAsia" w:hAnsiTheme="minorEastAsia" w:eastAsiaTheme="minorEastAsia" w:cstheme="minorEastAsia"/>
          <w:color w:val="auto"/>
          <w:sz w:val="21"/>
          <w:szCs w:val="21"/>
        </w:rPr>
        <w:t>月内开具的资信证明的原件的复印件</w:t>
      </w:r>
      <w:r>
        <w:rPr>
          <w:rFonts w:hint="eastAsia" w:asciiTheme="minorEastAsia" w:hAnsiTheme="minorEastAsia" w:eastAsiaTheme="minorEastAsia" w:cstheme="minorEastAsia"/>
          <w:b/>
          <w:color w:val="auto"/>
          <w:sz w:val="21"/>
          <w:szCs w:val="21"/>
        </w:rPr>
        <w:t>（无需针对本招标项目</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本项目招标人</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color w:val="auto"/>
          <w:sz w:val="21"/>
          <w:szCs w:val="21"/>
        </w:rPr>
        <w:t>。</w:t>
      </w:r>
    </w:p>
    <w:p>
      <w:pPr>
        <w:pStyle w:val="12"/>
        <w:rPr>
          <w:rFonts w:hint="eastAsia" w:asciiTheme="minorEastAsia" w:hAnsiTheme="minorEastAsia" w:eastAsiaTheme="minorEastAsia" w:cstheme="minorEastAsia"/>
          <w:color w:val="auto"/>
          <w:sz w:val="21"/>
          <w:szCs w:val="21"/>
        </w:rPr>
      </w:pPr>
    </w:p>
    <w:p>
      <w:pPr>
        <w:pStyle w:val="12"/>
        <w:rPr>
          <w:rFonts w:hint="eastAsia" w:asciiTheme="minorEastAsia" w:hAnsiTheme="minorEastAsia" w:eastAsiaTheme="minorEastAsia" w:cstheme="minorEastAsia"/>
          <w:color w:val="auto"/>
          <w:sz w:val="21"/>
          <w:szCs w:val="21"/>
        </w:rPr>
      </w:pPr>
    </w:p>
    <w:p>
      <w:pPr>
        <w:pStyle w:val="12"/>
        <w:rPr>
          <w:rFonts w:hint="eastAsia" w:asciiTheme="minorEastAsia" w:hAnsiTheme="minorEastAsia" w:eastAsiaTheme="minorEastAsia" w:cstheme="minorEastAsia"/>
          <w:color w:val="auto"/>
          <w:sz w:val="21"/>
          <w:szCs w:val="21"/>
        </w:rPr>
      </w:pPr>
    </w:p>
    <w:p>
      <w:pPr>
        <w:keepNext w:val="0"/>
        <w:keepLines w:val="0"/>
        <w:pageBreakBefore w:val="0"/>
        <w:tabs>
          <w:tab w:val="left" w:pos="425"/>
        </w:tabs>
        <w:kinsoku/>
        <w:overflowPunct/>
        <w:bidi w:val="0"/>
        <w:spacing w:beforeAutospacing="0" w:afterAutospacing="0" w:line="360" w:lineRule="auto"/>
        <w:ind w:firstLine="422" w:firstLineChars="200"/>
        <w:rPr>
          <w:rFonts w:hint="eastAsia" w:asciiTheme="minorEastAsia" w:hAnsiTheme="minorEastAsia" w:eastAsiaTheme="minorEastAsia" w:cstheme="minorEastAsia"/>
          <w:b/>
          <w:color w:val="auto"/>
          <w:sz w:val="21"/>
          <w:szCs w:val="21"/>
        </w:rPr>
      </w:pPr>
      <w:bookmarkStart w:id="333" w:name="_Toc457748062"/>
      <w:bookmarkStart w:id="334" w:name="_Toc392227917"/>
      <w:r>
        <w:rPr>
          <w:rFonts w:hint="eastAsia" w:asciiTheme="minorEastAsia" w:hAnsiTheme="minorEastAsia" w:eastAsiaTheme="minorEastAsia" w:cstheme="minorEastAsia"/>
          <w:b/>
          <w:color w:val="auto"/>
          <w:sz w:val="21"/>
          <w:szCs w:val="21"/>
        </w:rPr>
        <w:br w:type="page"/>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w:t>
      </w:r>
      <w:bookmarkEnd w:id="333"/>
      <w:bookmarkEnd w:id="334"/>
      <w:bookmarkStart w:id="335" w:name="_Toc457748063"/>
      <w:r>
        <w:rPr>
          <w:rFonts w:hint="eastAsia" w:asciiTheme="minorEastAsia" w:hAnsiTheme="minorEastAsia" w:eastAsiaTheme="minorEastAsia" w:cstheme="minorEastAsia"/>
          <w:b/>
          <w:color w:val="auto"/>
          <w:sz w:val="21"/>
          <w:szCs w:val="21"/>
        </w:rPr>
        <w:t>依法缴纳税收</w:t>
      </w:r>
    </w:p>
    <w:p>
      <w:pPr>
        <w:keepNext w:val="0"/>
        <w:keepLines w:val="0"/>
        <w:pageBreakBefore w:val="0"/>
        <w:kinsoku/>
        <w:overflowPunct/>
        <w:bidi w:val="0"/>
        <w:spacing w:beforeAutospacing="0" w:afterAutospacing="0" w:line="360" w:lineRule="auto"/>
        <w:ind w:firstLine="525" w:firstLine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投标人须根据投标人须知的规定，提供一定期限内的</w:t>
      </w:r>
      <w:r>
        <w:rPr>
          <w:rFonts w:hint="eastAsia" w:asciiTheme="minorEastAsia" w:hAnsiTheme="minorEastAsia" w:eastAsiaTheme="minorEastAsia" w:cstheme="minorEastAsia"/>
          <w:color w:val="auto"/>
          <w:sz w:val="21"/>
          <w:szCs w:val="21"/>
          <w:lang w:val="en-US" w:eastAsia="zh-CN"/>
        </w:rPr>
        <w:t>纳税证明文件</w:t>
      </w:r>
      <w:r>
        <w:rPr>
          <w:rFonts w:hint="eastAsia" w:asciiTheme="minorEastAsia" w:hAnsiTheme="minorEastAsia" w:eastAsiaTheme="minorEastAsia" w:cstheme="minorEastAsia"/>
          <w:color w:val="auto"/>
          <w:sz w:val="21"/>
          <w:szCs w:val="21"/>
        </w:rPr>
        <w:t>。</w:t>
      </w:r>
    </w:p>
    <w:p>
      <w:pPr>
        <w:pStyle w:val="12"/>
        <w:rPr>
          <w:rFonts w:hint="eastAsia"/>
          <w:color w:val="auto"/>
        </w:rPr>
      </w:pPr>
    </w:p>
    <w:p>
      <w:pPr>
        <w:keepNext w:val="0"/>
        <w:keepLines w:val="0"/>
        <w:pageBreakBefore w:val="0"/>
        <w:kinsoku/>
        <w:overflowPunct/>
        <w:bidi w:val="0"/>
        <w:spacing w:beforeAutospacing="0" w:afterAutospacing="0" w:line="360" w:lineRule="auto"/>
        <w:ind w:firstLine="525" w:firstLine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提供的期限要求见投标人须知前附表。投标人的成立时间少于投标人须知前附表规定期限的，应提供成立以来的上述缴款证明。</w:t>
      </w:r>
    </w:p>
    <w:p>
      <w:pPr>
        <w:pStyle w:val="12"/>
        <w:rPr>
          <w:rFonts w:hint="eastAsia"/>
          <w:color w:val="auto"/>
        </w:rPr>
      </w:pPr>
    </w:p>
    <w:p>
      <w:pPr>
        <w:keepNext w:val="0"/>
        <w:keepLines w:val="0"/>
        <w:pageBreakBefore w:val="0"/>
        <w:kinsoku/>
        <w:overflowPunct/>
        <w:bidi w:val="0"/>
        <w:spacing w:beforeAutospacing="0" w:afterAutospacing="0" w:line="360" w:lineRule="auto"/>
        <w:ind w:firstLine="527" w:firstLineChars="25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依法免税的投标人，应提供依法免税的证明。</w:t>
      </w:r>
    </w:p>
    <w:p>
      <w:pPr>
        <w:keepNext w:val="0"/>
        <w:keepLines w:val="0"/>
        <w:pageBreakBefore w:val="0"/>
        <w:kinsoku/>
        <w:overflowPunct/>
        <w:bidi w:val="0"/>
        <w:spacing w:beforeAutospacing="0" w:afterAutospacing="0"/>
        <w:rPr>
          <w:rFonts w:hint="eastAsia" w:asciiTheme="minorEastAsia" w:hAnsiTheme="minorEastAsia" w:eastAsiaTheme="minorEastAsia" w:cstheme="minorEastAsia"/>
          <w:b/>
          <w:color w:val="auto"/>
          <w:sz w:val="21"/>
          <w:szCs w:val="21"/>
        </w:rPr>
      </w:pPr>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p>
    <w:p>
      <w:pPr>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rPr>
        <w:t>） 社会保障金的证明</w:t>
      </w:r>
    </w:p>
    <w:p>
      <w:pPr>
        <w:keepNext w:val="0"/>
        <w:keepLines w:val="0"/>
        <w:pageBreakBefore w:val="0"/>
        <w:kinsoku/>
        <w:overflowPunct/>
        <w:bidi w:val="0"/>
        <w:spacing w:beforeAutospacing="0" w:afterAutospacing="0" w:line="360" w:lineRule="auto"/>
        <w:ind w:firstLine="525" w:firstLineChars="25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525" w:firstLine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投标人须根据投标人须知的规定，提供一定期限内的缴纳社会保险的</w:t>
      </w:r>
      <w:r>
        <w:rPr>
          <w:rFonts w:hint="eastAsia" w:asciiTheme="minorEastAsia" w:hAnsiTheme="minorEastAsia" w:eastAsiaTheme="minorEastAsia" w:cstheme="minorEastAsia"/>
          <w:color w:val="auto"/>
          <w:sz w:val="21"/>
          <w:szCs w:val="21"/>
          <w:lang w:val="en-US" w:eastAsia="zh-CN"/>
        </w:rPr>
        <w:t>证明文件</w:t>
      </w:r>
      <w:r>
        <w:rPr>
          <w:rFonts w:hint="eastAsia" w:asciiTheme="minorEastAsia" w:hAnsiTheme="minorEastAsia" w:eastAsiaTheme="minorEastAsia" w:cstheme="minorEastAsia"/>
          <w:color w:val="auto"/>
          <w:sz w:val="21"/>
          <w:szCs w:val="21"/>
        </w:rPr>
        <w:t>。</w:t>
      </w:r>
    </w:p>
    <w:p>
      <w:pPr>
        <w:pStyle w:val="12"/>
        <w:rPr>
          <w:rFonts w:hint="eastAsia"/>
          <w:color w:val="auto"/>
        </w:rPr>
      </w:pPr>
    </w:p>
    <w:p>
      <w:pPr>
        <w:keepNext w:val="0"/>
        <w:keepLines w:val="0"/>
        <w:pageBreakBefore w:val="0"/>
        <w:kinsoku/>
        <w:overflowPunct/>
        <w:bidi w:val="0"/>
        <w:spacing w:beforeAutospacing="0" w:afterAutospacing="0" w:line="360" w:lineRule="auto"/>
        <w:ind w:firstLine="525" w:firstLine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提供的期限要求见投标人须知前附表。投标人的成立时间少于投标人须知前附表规定期限的，应提供成立以来的上述缴款证明。</w:t>
      </w:r>
    </w:p>
    <w:p>
      <w:pPr>
        <w:pStyle w:val="12"/>
        <w:rPr>
          <w:rFonts w:hint="eastAsia"/>
          <w:color w:val="auto"/>
        </w:rPr>
      </w:pPr>
    </w:p>
    <w:p>
      <w:pPr>
        <w:keepNext w:val="0"/>
        <w:keepLines w:val="0"/>
        <w:pageBreakBefore w:val="0"/>
        <w:kinsoku/>
        <w:overflowPunct/>
        <w:bidi w:val="0"/>
        <w:spacing w:beforeAutospacing="0" w:afterAutospacing="0" w:line="360" w:lineRule="auto"/>
        <w:ind w:firstLine="527" w:firstLineChars="25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依法不需要缴纳社会保障资金的投标人，应提供依法不需要缴纳社会保障资金的证明。</w:t>
      </w:r>
    </w:p>
    <w:p>
      <w:pPr>
        <w:keepNext w:val="0"/>
        <w:keepLines w:val="0"/>
        <w:pageBreakBefore w:val="0"/>
        <w:kinsoku/>
        <w:overflowPunct/>
        <w:bidi w:val="0"/>
        <w:spacing w:beforeAutospacing="0" w:afterAutospacing="0" w:line="360" w:lineRule="auto"/>
        <w:ind w:firstLine="527" w:firstLineChars="250"/>
        <w:rPr>
          <w:rFonts w:hint="eastAsia" w:asciiTheme="minorEastAsia" w:hAnsiTheme="minorEastAsia" w:eastAsiaTheme="minorEastAsia" w:cstheme="minorEastAsia"/>
          <w:b/>
          <w:color w:val="auto"/>
          <w:sz w:val="21"/>
          <w:szCs w:val="21"/>
        </w:rPr>
      </w:pPr>
    </w:p>
    <w:p>
      <w:pPr>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sz w:val="21"/>
          <w:szCs w:val="21"/>
        </w:r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bookmarkEnd w:id="335"/>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）参加本次政府采购活动前3年内在经营活动中没有重大违法记录的承诺书，截止至开标日成立不足3年的投标人可提供自成立以来无重大违法记录的承诺书</w:t>
      </w:r>
    </w:p>
    <w:p>
      <w:pPr>
        <w:spacing w:line="276"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近3年</w:t>
      </w:r>
      <w:r>
        <w:rPr>
          <w:rFonts w:hint="eastAsia" w:asciiTheme="minorEastAsia" w:hAnsiTheme="minorEastAsia" w:eastAsiaTheme="minorEastAsia" w:cstheme="minorEastAsia"/>
          <w:b/>
          <w:bCs/>
          <w:color w:val="auto"/>
          <w:sz w:val="28"/>
          <w:szCs w:val="28"/>
          <w:lang w:val="en-US" w:eastAsia="zh-CN"/>
        </w:rPr>
        <w:t>投标人无重大违法</w:t>
      </w:r>
      <w:r>
        <w:rPr>
          <w:rFonts w:hint="eastAsia" w:asciiTheme="minorEastAsia" w:hAnsiTheme="minorEastAsia" w:eastAsiaTheme="minorEastAsia" w:cstheme="minorEastAsia"/>
          <w:b/>
          <w:bCs/>
          <w:color w:val="auto"/>
          <w:sz w:val="28"/>
          <w:szCs w:val="28"/>
        </w:rPr>
        <w:t>的书面声明</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复旦大学附属中山医院</w:t>
      </w:r>
      <w:r>
        <w:rPr>
          <w:rFonts w:hint="eastAsia" w:asciiTheme="minorEastAsia" w:hAnsiTheme="minorEastAsia" w:eastAsiaTheme="minorEastAsia" w:cstheme="minorEastAsia"/>
          <w:color w:val="auto"/>
        </w:rPr>
        <w:t>：</w:t>
      </w:r>
    </w:p>
    <w:p>
      <w:pPr>
        <w:rPr>
          <w:rFonts w:hint="eastAsia" w:asciiTheme="minorEastAsia" w:hAnsiTheme="minorEastAsia" w:eastAsiaTheme="minorEastAsia" w:cstheme="minorEastAsia"/>
          <w:color w:val="auto"/>
        </w:rPr>
      </w:pPr>
    </w:p>
    <w:p>
      <w:pPr>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lang w:val="en-US" w:eastAsia="zh-CN"/>
        </w:rPr>
        <w:t>近三年无重大违法记录，现声明如下：</w:t>
      </w:r>
    </w:p>
    <w:p>
      <w:pPr>
        <w:numPr>
          <w:ilvl w:val="0"/>
          <w:numId w:val="21"/>
        </w:numPr>
        <w:spacing w:line="360" w:lineRule="auto"/>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color w:val="auto"/>
          <w:szCs w:val="21"/>
          <w:lang w:val="en-US" w:eastAsia="zh-CN"/>
        </w:rPr>
        <w:t>未被责令停产停业、暂扣或</w:t>
      </w:r>
      <w:r>
        <w:rPr>
          <w:rFonts w:hint="eastAsia" w:asciiTheme="minorEastAsia" w:hAnsiTheme="minorEastAsia" w:eastAsiaTheme="minorEastAsia" w:cstheme="minorEastAsia"/>
          <w:b w:val="0"/>
          <w:bCs w:val="0"/>
          <w:color w:val="auto"/>
          <w:szCs w:val="21"/>
          <w:lang w:val="en-US" w:eastAsia="zh-CN"/>
        </w:rPr>
        <w:t>者吊销许可证、暂扣或者吊销执照的；</w:t>
      </w:r>
    </w:p>
    <w:p>
      <w:pPr>
        <w:numPr>
          <w:ilvl w:val="0"/>
          <w:numId w:val="21"/>
        </w:numPr>
        <w:spacing w:line="360" w:lineRule="auto"/>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无</w:t>
      </w:r>
      <w:r>
        <w:rPr>
          <w:rFonts w:hint="eastAsia" w:asciiTheme="minorEastAsia" w:hAnsiTheme="minorEastAsia" w:eastAsiaTheme="minorEastAsia" w:cstheme="minorEastAsia"/>
          <w:b w:val="0"/>
          <w:bCs w:val="0"/>
          <w:color w:val="auto"/>
          <w:sz w:val="21"/>
          <w:szCs w:val="21"/>
        </w:rPr>
        <w:t>因违法经营受到刑事处罚或者较大数额罚款等行政处罚</w:t>
      </w:r>
      <w:r>
        <w:rPr>
          <w:rFonts w:hint="eastAsia" w:asciiTheme="minorEastAsia" w:hAnsiTheme="minorEastAsia" w:eastAsiaTheme="minorEastAsia" w:cstheme="minorEastAsia"/>
          <w:b w:val="0"/>
          <w:bCs w:val="0"/>
          <w:color w:val="auto"/>
          <w:sz w:val="21"/>
          <w:szCs w:val="21"/>
          <w:lang w:eastAsia="zh-CN"/>
        </w:rPr>
        <w:t>；</w:t>
      </w:r>
    </w:p>
    <w:p>
      <w:pPr>
        <w:numPr>
          <w:ilvl w:val="0"/>
          <w:numId w:val="21"/>
        </w:numPr>
        <w:spacing w:line="360" w:lineRule="auto"/>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未处于投标资格被暂停或取消、财产被接管、冻结、破产等状态；</w:t>
      </w:r>
    </w:p>
    <w:p>
      <w:pPr>
        <w:numPr>
          <w:ilvl w:val="0"/>
          <w:numId w:val="21"/>
        </w:numPr>
        <w:spacing w:line="360" w:lineRule="auto"/>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未被人民法院公布为失信被执行人；</w:t>
      </w:r>
    </w:p>
    <w:p>
      <w:pPr>
        <w:numPr>
          <w:ilvl w:val="0"/>
          <w:numId w:val="21"/>
        </w:numP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未列入“国家企业信用信息公示系统”（www.gsxt.gov.cn）“列入严重违法失信企业名单（黑名单）；</w:t>
      </w:r>
    </w:p>
    <w:p>
      <w:pPr>
        <w:numPr>
          <w:ilvl w:val="0"/>
          <w:numId w:val="21"/>
        </w:numP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未列入“信用中国网站”（www.creditchina.gov.cn）“黑名单”</w:t>
      </w:r>
    </w:p>
    <w:p>
      <w:pPr>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我方承诺以上信息是真实的，如有虚假或被发现与事实不符，我方同意并接受以下条款：</w:t>
      </w:r>
    </w:p>
    <w:p>
      <w:pPr>
        <w:numPr>
          <w:ilvl w:val="0"/>
          <w:numId w:val="22"/>
        </w:numPr>
        <w:spacing w:line="360" w:lineRule="auto"/>
        <w:ind w:left="985" w:leftChars="269" w:hanging="420" w:hanging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招标人或评标委员会可以按弄虚作假行为进行认定；</w:t>
      </w:r>
    </w:p>
    <w:p>
      <w:pPr>
        <w:numPr>
          <w:ilvl w:val="0"/>
          <w:numId w:val="22"/>
        </w:numPr>
        <w:spacing w:line="360" w:lineRule="auto"/>
        <w:ind w:left="985" w:leftChars="269" w:hanging="420" w:hanging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如我方已中标，招标人可以取消我方中标资格；</w:t>
      </w:r>
    </w:p>
    <w:p>
      <w:pPr>
        <w:numPr>
          <w:ilvl w:val="0"/>
          <w:numId w:val="22"/>
        </w:numPr>
        <w:spacing w:line="360" w:lineRule="auto"/>
        <w:ind w:left="985" w:leftChars="269" w:hanging="420" w:hanging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如已与招标人签订合同，招标人可以无条件终止合同并不承担任何违约责任；</w:t>
      </w:r>
    </w:p>
    <w:p>
      <w:pPr>
        <w:numPr>
          <w:ilvl w:val="0"/>
          <w:numId w:val="22"/>
        </w:numPr>
        <w:spacing w:line="360" w:lineRule="auto"/>
        <w:ind w:left="985" w:leftChars="269" w:hanging="420" w:hanging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我方愿意承担由此给招标人造成的直接或间接损失以及相应的法律责任。</w:t>
      </w:r>
    </w:p>
    <w:p>
      <w:pPr>
        <w:spacing w:line="360" w:lineRule="auto"/>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特此声明</w:t>
      </w:r>
      <w:r>
        <w:rPr>
          <w:rFonts w:hint="eastAsia" w:asciiTheme="minorEastAsia" w:hAnsiTheme="minorEastAsia" w:eastAsiaTheme="minorEastAsia" w:cstheme="minorEastAsia"/>
          <w:color w:val="auto"/>
          <w:lang w:eastAsia="zh-CN"/>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（盖单位公章）</w:t>
      </w:r>
    </w:p>
    <w:p>
      <w:pPr>
        <w:topLinePunct/>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法定代表人（单位负责人）或其委托代理人：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（签字或盖章）</w:t>
      </w:r>
    </w:p>
    <w:p>
      <w:pPr>
        <w:pStyle w:val="49"/>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w:t>
      </w:r>
    </w:p>
    <w:p>
      <w:pPr>
        <w:pStyle w:val="16"/>
        <w:rPr>
          <w:rFonts w:hint="eastAsia" w:asciiTheme="minorEastAsia" w:hAnsiTheme="minorEastAsia" w:eastAsiaTheme="minorEastAsia" w:cstheme="minorEastAsia"/>
          <w:color w:val="auto"/>
        </w:rPr>
      </w:pPr>
    </w:p>
    <w:p>
      <w:pPr>
        <w:keepNext w:val="0"/>
        <w:keepLines w:val="0"/>
        <w:pageBreakBefore w:val="0"/>
        <w:tabs>
          <w:tab w:val="left" w:pos="425"/>
        </w:tabs>
        <w:kinsoku/>
        <w:overflowPunct/>
        <w:bidi w:val="0"/>
        <w:spacing w:beforeAutospacing="0" w:afterAutospacing="0" w:line="360" w:lineRule="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备注1：</w:t>
      </w:r>
      <w:r>
        <w:rPr>
          <w:rFonts w:hint="eastAsia" w:asciiTheme="minorEastAsia" w:hAnsiTheme="minorEastAsia" w:eastAsiaTheme="minorEastAsia" w:cstheme="minorEastAsia"/>
          <w:b w:val="0"/>
          <w:bCs/>
          <w:color w:val="auto"/>
          <w:sz w:val="21"/>
          <w:szCs w:val="21"/>
        </w:rPr>
        <w:t>重大违法记录指投标人因违法经营受到刑事处罚或者责令停产停业、吊销许可证或者执照、较大数额罚款等行政处罚。</w:t>
      </w:r>
    </w:p>
    <w:p>
      <w:pPr>
        <w:keepNext w:val="0"/>
        <w:keepLines w:val="0"/>
        <w:pageBreakBefore w:val="0"/>
        <w:tabs>
          <w:tab w:val="left" w:pos="425"/>
        </w:tabs>
        <w:kinsoku/>
        <w:overflowPunct/>
        <w:bidi w:val="0"/>
        <w:spacing w:beforeAutospacing="0" w:afterAutospacing="0" w:line="360" w:lineRule="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备注</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：近三年是指扣除投标截止日当日往前顺推三年，如投标人截止至投标日成立不足3</w:t>
      </w:r>
      <w:r>
        <w:rPr>
          <w:rFonts w:hint="eastAsia" w:asciiTheme="minorEastAsia" w:hAnsiTheme="minorEastAsia" w:eastAsiaTheme="minorEastAsia" w:cstheme="minorEastAsia"/>
          <w:b w:val="0"/>
          <w:bCs/>
          <w:color w:val="auto"/>
          <w:sz w:val="21"/>
          <w:szCs w:val="21"/>
          <w:lang w:eastAsia="zh-CN"/>
        </w:rPr>
        <w:t>年的自提供自成立以来。</w:t>
      </w:r>
    </w:p>
    <w:p>
      <w:pPr>
        <w:keepNext w:val="0"/>
        <w:keepLines w:val="0"/>
        <w:pageBreakBefore w:val="0"/>
        <w:tabs>
          <w:tab w:val="left" w:pos="425"/>
        </w:tabs>
        <w:kinsoku/>
        <w:overflowPunct/>
        <w:bidi w:val="0"/>
        <w:spacing w:beforeAutospacing="0" w:afterAutospacing="0" w:line="360" w:lineRule="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备注3：供应商在参加政府采购活动前3年内因违法经营被禁止在一定期限内参加政府采购活动，期限届满的，可以参加政府采购活动。</w:t>
      </w:r>
    </w:p>
    <w:p>
      <w:pPr>
        <w:keepNext w:val="0"/>
        <w:keepLines w:val="0"/>
        <w:pageBreakBefore w:val="0"/>
        <w:tabs>
          <w:tab w:val="left" w:pos="425"/>
        </w:tabs>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br w:type="page"/>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七</w:t>
      </w:r>
      <w:r>
        <w:rPr>
          <w:rFonts w:hint="eastAsia" w:asciiTheme="minorEastAsia" w:hAnsiTheme="minorEastAsia" w:eastAsiaTheme="minorEastAsia" w:cstheme="minorEastAsia"/>
          <w:b/>
          <w:color w:val="auto"/>
          <w:sz w:val="21"/>
          <w:szCs w:val="21"/>
        </w:rPr>
        <w:t>）参加本次政府采购活动前3年内在经营活动中没有</w:t>
      </w:r>
      <w:r>
        <w:rPr>
          <w:rFonts w:hint="eastAsia" w:asciiTheme="minorEastAsia" w:hAnsiTheme="minorEastAsia" w:eastAsiaTheme="minorEastAsia" w:cstheme="minorEastAsia"/>
          <w:b/>
          <w:color w:val="auto"/>
          <w:sz w:val="21"/>
          <w:szCs w:val="21"/>
          <w:lang w:val="en-US" w:eastAsia="zh-CN"/>
        </w:rPr>
        <w:t>行贿犯罪</w:t>
      </w:r>
      <w:r>
        <w:rPr>
          <w:rFonts w:hint="eastAsia" w:asciiTheme="minorEastAsia" w:hAnsiTheme="minorEastAsia" w:eastAsiaTheme="minorEastAsia" w:cstheme="minorEastAsia"/>
          <w:b/>
          <w:color w:val="auto"/>
          <w:sz w:val="21"/>
          <w:szCs w:val="21"/>
        </w:rPr>
        <w:t>记录的承诺书，截止至开标日成立不足3年的投标人可提供自成立以来无</w:t>
      </w:r>
      <w:r>
        <w:rPr>
          <w:rFonts w:hint="eastAsia" w:asciiTheme="minorEastAsia" w:hAnsiTheme="minorEastAsia" w:eastAsiaTheme="minorEastAsia" w:cstheme="minorEastAsia"/>
          <w:b/>
          <w:color w:val="auto"/>
          <w:sz w:val="21"/>
          <w:szCs w:val="21"/>
          <w:lang w:val="en-US" w:eastAsia="zh-CN"/>
        </w:rPr>
        <w:t>行贿犯罪</w:t>
      </w:r>
      <w:r>
        <w:rPr>
          <w:rFonts w:hint="eastAsia" w:asciiTheme="minorEastAsia" w:hAnsiTheme="minorEastAsia" w:eastAsiaTheme="minorEastAsia" w:cstheme="minorEastAsia"/>
          <w:b/>
          <w:color w:val="auto"/>
          <w:sz w:val="21"/>
          <w:szCs w:val="21"/>
        </w:rPr>
        <w:t>记录的承诺书</w:t>
      </w:r>
    </w:p>
    <w:p>
      <w:pPr>
        <w:spacing w:line="276"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近3年</w:t>
      </w:r>
      <w:r>
        <w:rPr>
          <w:rFonts w:hint="eastAsia" w:asciiTheme="minorEastAsia" w:hAnsiTheme="minorEastAsia" w:eastAsiaTheme="minorEastAsia" w:cstheme="minorEastAsia"/>
          <w:b/>
          <w:bCs/>
          <w:color w:val="auto"/>
          <w:sz w:val="28"/>
          <w:szCs w:val="28"/>
          <w:lang w:val="en-US" w:eastAsia="zh-CN"/>
        </w:rPr>
        <w:t>投标人无行贿犯罪</w:t>
      </w:r>
      <w:r>
        <w:rPr>
          <w:rFonts w:hint="eastAsia" w:asciiTheme="minorEastAsia" w:hAnsiTheme="minorEastAsia" w:eastAsiaTheme="minorEastAsia" w:cstheme="minorEastAsia"/>
          <w:b/>
          <w:bCs/>
          <w:color w:val="auto"/>
          <w:sz w:val="28"/>
          <w:szCs w:val="28"/>
        </w:rPr>
        <w:t>情况的书面声明</w:t>
      </w:r>
    </w:p>
    <w:p>
      <w:pPr>
        <w:spacing w:line="276" w:lineRule="auto"/>
        <w:jc w:val="center"/>
        <w:rPr>
          <w:rFonts w:hint="eastAsia" w:asciiTheme="minorEastAsia" w:hAnsiTheme="minorEastAsia" w:eastAsiaTheme="minorEastAsia" w:cstheme="minorEastAsia"/>
          <w:b/>
          <w:bCs/>
          <w:color w:val="auto"/>
          <w:sz w:val="28"/>
          <w:szCs w:val="28"/>
        </w:rPr>
      </w:pP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复旦大学附属中山医院：</w:t>
      </w:r>
    </w:p>
    <w:p>
      <w:pPr>
        <w:rPr>
          <w:rFonts w:hint="eastAsia" w:asciiTheme="minorEastAsia" w:hAnsiTheme="minorEastAsia" w:eastAsiaTheme="minorEastAsia" w:cstheme="minor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lang w:val="en-US" w:eastAsia="zh-CN"/>
        </w:rPr>
        <w:t>，法定代表人：_______________，身份证号：____________________，本项目负责人：________________，身份证号：______________________，近三年没有行贿犯罪记录。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我方承诺以上信息是真实的，如有虚假或被发现与事实不符，我方同意并接受以下条款：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（1）招标人或评标委员会可以按弄虚作假行为进行认定；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（2）如我方已中标，招标人可以取消我方中标资格；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（3）如已与招标人签订合同，招标人可以无条件终止合同并不承担任何违约责任；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（4）我方愿意承担由此给招标人造成的直接或间接损失以及相应的法律责任。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特此声明。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lang w:val="en-US" w:eastAsia="zh-CN"/>
        </w:rPr>
      </w:pPr>
    </w:p>
    <w:p>
      <w:pPr>
        <w:rPr>
          <w:rFonts w:hint="eastAsia" w:asciiTheme="minorEastAsia" w:hAnsiTheme="minorEastAsia" w:eastAsiaTheme="minorEastAsia" w:cstheme="minorEastAsia"/>
          <w:color w:val="auto"/>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（盖单位公章）</w:t>
      </w:r>
    </w:p>
    <w:p>
      <w:pPr>
        <w:topLinePunct/>
        <w:spacing w:line="36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法定代表人（单位负责人）或其委托代理人：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（签字或盖章）</w:t>
      </w:r>
    </w:p>
    <w:p>
      <w:pPr>
        <w:pStyle w:val="49"/>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w:t>
      </w:r>
    </w:p>
    <w:p>
      <w:pPr>
        <w:keepNext w:val="0"/>
        <w:keepLines w:val="0"/>
        <w:pageBreakBefore w:val="0"/>
        <w:tabs>
          <w:tab w:val="left" w:pos="425"/>
        </w:tabs>
        <w:kinsoku/>
        <w:overflowPunct/>
        <w:bidi w:val="0"/>
        <w:spacing w:beforeAutospacing="0" w:afterAutospacing="0"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备注：近三年是指扣除投标截止日当日往前顺推三年，如投标人截止至投标日成立不足3年的自提供自成立以来</w:t>
      </w:r>
    </w:p>
    <w:p>
      <w:pPr>
        <w:rPr>
          <w:rFonts w:hint="eastAsia" w:ascii="宋体" w:hAnsi="宋体" w:cs="宋体"/>
          <w:b/>
          <w:bCs/>
          <w:color w:val="auto"/>
          <w:sz w:val="28"/>
          <w:szCs w:val="28"/>
        </w:rPr>
      </w:pPr>
      <w:r>
        <w:rPr>
          <w:rFonts w:hint="eastAsia" w:asciiTheme="minorEastAsia" w:hAnsiTheme="minorEastAsia" w:eastAsiaTheme="minorEastAsia" w:cstheme="minorEastAsia"/>
          <w:b/>
          <w:color w:val="auto"/>
          <w:sz w:val="24"/>
          <w:szCs w:val="24"/>
        </w:rPr>
        <w:br w:type="page"/>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八</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未为本项目提供整体设计、规范编制或者项目管理、监理、检测服务</w:t>
      </w:r>
      <w:r>
        <w:rPr>
          <w:rFonts w:hint="eastAsia" w:asciiTheme="minorEastAsia" w:hAnsiTheme="minorEastAsia" w:eastAsiaTheme="minorEastAsia" w:cstheme="minorEastAsia"/>
          <w:b/>
          <w:bCs/>
          <w:color w:val="auto"/>
          <w:sz w:val="21"/>
          <w:szCs w:val="21"/>
        </w:rPr>
        <w:t>的书面声明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未提供整体设计、规范编制或者项目管理、监理、检测服务的书面声明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复旦大学附属中山医院：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我方参加</w:t>
      </w:r>
      <w:r>
        <w:rPr>
          <w:rFonts w:hint="eastAsia" w:ascii="宋体" w:hAnsi="宋体" w:cs="宋体"/>
          <w:color w:val="auto"/>
          <w:szCs w:val="21"/>
          <w:u w:val="single"/>
          <w:lang w:eastAsia="zh-CN"/>
        </w:rPr>
        <w:t>彩色多普勒超声诊断仪</w:t>
      </w:r>
      <w:r>
        <w:rPr>
          <w:rFonts w:hint="eastAsia" w:ascii="宋体" w:hAnsi="宋体" w:cs="宋体"/>
          <w:color w:val="auto"/>
          <w:szCs w:val="21"/>
        </w:rPr>
        <w:t>的投标，</w:t>
      </w:r>
      <w:r>
        <w:rPr>
          <w:rFonts w:hint="eastAsia" w:ascii="宋体" w:hAnsi="宋体" w:cs="宋体"/>
          <w:color w:val="auto"/>
          <w:szCs w:val="21"/>
          <w:lang w:val="en-US" w:eastAsia="zh-CN"/>
        </w:rPr>
        <w:t>特声明如下：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我方未为本项目提供整体设计、规范编制或者项目管理、监理、检测服务。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以上信息是真实的，如有虚假或被发现与事实不符，招标人或评标委员会可以按弄虚作假行为进行认定。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特此声明</w:t>
      </w:r>
      <w:r>
        <w:rPr>
          <w:rFonts w:hint="eastAsia" w:asciiTheme="minorEastAsia" w:hAnsiTheme="minorEastAsia" w:eastAsiaTheme="minorEastAsia" w:cstheme="minorEastAsia"/>
          <w:color w:val="auto"/>
          <w:lang w:eastAsia="zh-CN"/>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Theme="minorEastAsia" w:hAnsiTheme="minorEastAsia" w:eastAsiaTheme="minorEastAsia" w:cstheme="minorEastAsia"/>
          <w:color w:val="auto"/>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法定代表人（单位负责人）或其委托代理人：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spacing w:line="276" w:lineRule="auto"/>
        <w:jc w:val="both"/>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九</w:t>
      </w:r>
      <w:r>
        <w:rPr>
          <w:rFonts w:hint="eastAsia" w:ascii="宋体" w:hAnsi="宋体" w:cs="宋体"/>
          <w:b/>
          <w:bCs/>
          <w:color w:val="auto"/>
          <w:sz w:val="21"/>
          <w:szCs w:val="21"/>
          <w:lang w:eastAsia="zh-CN"/>
        </w:rPr>
        <w:t>）</w:t>
      </w:r>
      <w:r>
        <w:rPr>
          <w:rFonts w:hint="eastAsia" w:ascii="宋体" w:hAnsi="宋体" w:cs="宋体"/>
          <w:b/>
          <w:bCs/>
          <w:color w:val="auto"/>
          <w:sz w:val="21"/>
          <w:szCs w:val="21"/>
        </w:rPr>
        <w:t>投标人控股及管理关系情况申报表</w:t>
      </w:r>
    </w:p>
    <w:p>
      <w:pPr>
        <w:spacing w:line="276" w:lineRule="auto"/>
        <w:jc w:val="center"/>
        <w:rPr>
          <w:rFonts w:hint="eastAsia" w:ascii="宋体" w:hAnsi="宋体" w:cs="宋体"/>
          <w:b/>
          <w:bCs/>
          <w:color w:val="auto"/>
          <w:sz w:val="28"/>
          <w:szCs w:val="28"/>
        </w:rPr>
      </w:pPr>
    </w:p>
    <w:p>
      <w:pPr>
        <w:spacing w:line="276" w:lineRule="auto"/>
        <w:jc w:val="center"/>
        <w:rPr>
          <w:rFonts w:ascii="宋体" w:hAnsi="宋体" w:cs="宋体"/>
          <w:b/>
          <w:color w:val="auto"/>
        </w:rPr>
      </w:pPr>
      <w:r>
        <w:rPr>
          <w:rFonts w:hint="eastAsia" w:ascii="宋体" w:hAnsi="宋体" w:cs="宋体"/>
          <w:b/>
          <w:bCs/>
          <w:color w:val="auto"/>
          <w:sz w:val="28"/>
          <w:szCs w:val="28"/>
        </w:rPr>
        <w:t>投标人控股及管理关系情况申报表</w:t>
      </w:r>
    </w:p>
    <w:p>
      <w:pPr>
        <w:spacing w:line="360" w:lineRule="auto"/>
        <w:rPr>
          <w:rFonts w:ascii="宋体" w:hAnsi="宋体" w:cs="宋体"/>
          <w:b/>
          <w:bCs/>
          <w:color w:val="auto"/>
          <w:szCs w:val="28"/>
        </w:rPr>
      </w:pPr>
    </w:p>
    <w:p>
      <w:pPr>
        <w:spacing w:line="360" w:lineRule="auto"/>
        <w:rPr>
          <w:rFonts w:ascii="宋体" w:hAnsi="宋体" w:cs="宋体"/>
          <w:b/>
          <w:bCs/>
          <w:color w:val="auto"/>
          <w:szCs w:val="28"/>
          <w:u w:val="single"/>
        </w:rPr>
      </w:pPr>
      <w:r>
        <w:rPr>
          <w:rFonts w:hint="eastAsia" w:ascii="宋体" w:hAnsi="宋体" w:cs="宋体"/>
          <w:b/>
          <w:bCs/>
          <w:color w:val="auto"/>
          <w:szCs w:val="28"/>
          <w:lang w:eastAsia="zh-CN"/>
        </w:rPr>
        <w:t>复旦大学附属中山医院</w:t>
      </w:r>
      <w:r>
        <w:rPr>
          <w:rFonts w:hint="eastAsia" w:ascii="宋体" w:hAnsi="宋体" w:cs="宋体"/>
          <w:b/>
          <w:bCs/>
          <w:color w:val="auto"/>
          <w:szCs w:val="28"/>
        </w:rPr>
        <w:t>：</w:t>
      </w:r>
    </w:p>
    <w:p>
      <w:pPr>
        <w:adjustRightInd w:val="0"/>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我方参加</w:t>
      </w:r>
      <w:r>
        <w:rPr>
          <w:rFonts w:hint="eastAsia" w:ascii="宋体" w:hAnsi="宋体" w:cs="宋体"/>
          <w:color w:val="auto"/>
          <w:szCs w:val="21"/>
          <w:u w:val="single"/>
          <w:lang w:eastAsia="zh-CN"/>
        </w:rPr>
        <w:t>彩色多普勒超声诊断仪</w:t>
      </w:r>
      <w:r>
        <w:rPr>
          <w:rFonts w:hint="eastAsia" w:ascii="宋体" w:hAnsi="宋体" w:cs="宋体"/>
          <w:color w:val="auto"/>
          <w:szCs w:val="21"/>
        </w:rPr>
        <w:t>的投标，根据法律法规维护投标公正性的相关规定，特就本单位控股及管理关系情况申报如下</w:t>
      </w:r>
      <w:r>
        <w:rPr>
          <w:rFonts w:hint="eastAsia" w:asciiTheme="minorEastAsia" w:hAnsiTheme="minorEastAsia" w:eastAsiaTheme="minorEastAsia" w:cstheme="minorEastAsia"/>
          <w:color w:val="auto"/>
          <w:lang w:val="en-US" w:eastAsia="zh-CN"/>
        </w:rPr>
        <w:t>。</w:t>
      </w:r>
    </w:p>
    <w:tbl>
      <w:tblPr>
        <w:tblStyle w:val="33"/>
        <w:tblW w:w="846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285"/>
        <w:gridCol w:w="370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申报人名称</w:t>
            </w:r>
          </w:p>
        </w:tc>
        <w:tc>
          <w:tcPr>
            <w:tcW w:w="5987" w:type="dxa"/>
            <w:gridSpan w:val="2"/>
            <w:vAlign w:val="center"/>
          </w:tcPr>
          <w:p>
            <w:pPr>
              <w:adjustRightInd w:val="0"/>
              <w:snapToGrid w:val="0"/>
              <w:spacing w:before="96" w:beforeLines="40" w:after="96" w:afterLines="40"/>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restart"/>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法定代表人/单位负责人</w:t>
            </w:r>
          </w:p>
        </w:tc>
        <w:tc>
          <w:tcPr>
            <w:tcW w:w="2285" w:type="dxa"/>
            <w:vAlign w:val="center"/>
          </w:tcPr>
          <w:p>
            <w:pPr>
              <w:adjustRightInd w:val="0"/>
              <w:snapToGrid w:val="0"/>
              <w:spacing w:before="96" w:beforeLines="40" w:after="96" w:afterLines="40"/>
              <w:jc w:val="center"/>
              <w:rPr>
                <w:rFonts w:ascii="宋体" w:hAnsi="宋体" w:cs="宋体"/>
                <w:color w:val="auto"/>
                <w:szCs w:val="21"/>
              </w:rPr>
            </w:pPr>
            <w:r>
              <w:rPr>
                <w:rFonts w:hint="eastAsia" w:ascii="宋体" w:hAnsi="宋体" w:cs="宋体"/>
                <w:color w:val="auto"/>
                <w:szCs w:val="21"/>
              </w:rPr>
              <w:t>姓    名</w:t>
            </w:r>
          </w:p>
        </w:tc>
        <w:tc>
          <w:tcPr>
            <w:tcW w:w="3702" w:type="dxa"/>
            <w:vAlign w:val="center"/>
          </w:tcPr>
          <w:p>
            <w:pPr>
              <w:adjustRightInd w:val="0"/>
              <w:snapToGrid w:val="0"/>
              <w:spacing w:before="96" w:beforeLines="40" w:after="96" w:afterLines="40"/>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continue"/>
            <w:vAlign w:val="center"/>
          </w:tcPr>
          <w:p>
            <w:pPr>
              <w:adjustRightInd w:val="0"/>
              <w:snapToGrid w:val="0"/>
              <w:spacing w:before="96" w:beforeLines="40" w:after="96" w:afterLines="40"/>
              <w:rPr>
                <w:rFonts w:ascii="宋体" w:hAnsi="宋体" w:cs="宋体"/>
                <w:color w:val="auto"/>
                <w:szCs w:val="21"/>
              </w:rPr>
            </w:pPr>
          </w:p>
        </w:tc>
        <w:tc>
          <w:tcPr>
            <w:tcW w:w="2285" w:type="dxa"/>
            <w:vAlign w:val="center"/>
          </w:tcPr>
          <w:p>
            <w:pPr>
              <w:adjustRightInd w:val="0"/>
              <w:snapToGrid w:val="0"/>
              <w:spacing w:before="96" w:beforeLines="40" w:after="96" w:afterLines="40"/>
              <w:jc w:val="center"/>
              <w:rPr>
                <w:rFonts w:ascii="宋体" w:hAnsi="宋体" w:cs="宋体"/>
                <w:color w:val="auto"/>
                <w:szCs w:val="21"/>
              </w:rPr>
            </w:pPr>
            <w:r>
              <w:rPr>
                <w:rFonts w:hint="eastAsia" w:ascii="宋体" w:hAnsi="宋体" w:cs="宋体"/>
                <w:color w:val="auto"/>
                <w:szCs w:val="21"/>
              </w:rPr>
              <w:t>身份证号</w:t>
            </w:r>
          </w:p>
        </w:tc>
        <w:tc>
          <w:tcPr>
            <w:tcW w:w="3702" w:type="dxa"/>
            <w:vAlign w:val="center"/>
          </w:tcPr>
          <w:p>
            <w:pPr>
              <w:adjustRightInd w:val="0"/>
              <w:snapToGrid w:val="0"/>
              <w:spacing w:before="96" w:beforeLines="40" w:after="96" w:afterLines="40"/>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控股股东/投资人名称</w:t>
            </w:r>
          </w:p>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及出资比例</w:t>
            </w:r>
          </w:p>
        </w:tc>
        <w:tc>
          <w:tcPr>
            <w:tcW w:w="5987" w:type="dxa"/>
            <w:gridSpan w:val="2"/>
            <w:vAlign w:val="center"/>
          </w:tcPr>
          <w:p>
            <w:pPr>
              <w:adjustRightInd w:val="0"/>
              <w:snapToGrid w:val="0"/>
              <w:spacing w:before="96" w:beforeLines="40" w:after="96" w:afterLines="40"/>
              <w:jc w:val="center"/>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非控股股东/投资人名称</w:t>
            </w:r>
          </w:p>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及出资比例</w:t>
            </w:r>
          </w:p>
        </w:tc>
        <w:tc>
          <w:tcPr>
            <w:tcW w:w="5987" w:type="dxa"/>
            <w:gridSpan w:val="2"/>
            <w:vAlign w:val="center"/>
          </w:tcPr>
          <w:p>
            <w:pPr>
              <w:adjustRightInd w:val="0"/>
              <w:snapToGrid w:val="0"/>
              <w:spacing w:before="96" w:beforeLines="40" w:after="96" w:afterLines="40"/>
              <w:jc w:val="center"/>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restart"/>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管理关系单位名称</w:t>
            </w:r>
          </w:p>
        </w:tc>
        <w:tc>
          <w:tcPr>
            <w:tcW w:w="2285" w:type="dxa"/>
            <w:vAlign w:val="center"/>
          </w:tcPr>
          <w:p>
            <w:pPr>
              <w:adjustRightInd w:val="0"/>
              <w:snapToGrid w:val="0"/>
              <w:spacing w:before="96" w:beforeLines="40" w:after="96" w:afterLines="40"/>
              <w:jc w:val="center"/>
              <w:rPr>
                <w:rFonts w:ascii="宋体" w:hAnsi="宋体" w:cs="宋体"/>
                <w:color w:val="auto"/>
                <w:szCs w:val="21"/>
              </w:rPr>
            </w:pPr>
            <w:r>
              <w:rPr>
                <w:rFonts w:hint="eastAsia" w:ascii="宋体" w:hAnsi="宋体" w:cs="宋体"/>
                <w:color w:val="auto"/>
                <w:szCs w:val="21"/>
              </w:rPr>
              <w:t>管理关系单位名称</w:t>
            </w:r>
          </w:p>
        </w:tc>
        <w:tc>
          <w:tcPr>
            <w:tcW w:w="3702" w:type="dxa"/>
            <w:vAlign w:val="center"/>
          </w:tcPr>
          <w:p>
            <w:pPr>
              <w:adjustRightInd w:val="0"/>
              <w:snapToGrid w:val="0"/>
              <w:spacing w:before="96" w:beforeLines="40" w:after="96" w:afterLines="40"/>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continue"/>
            <w:vAlign w:val="center"/>
          </w:tcPr>
          <w:p>
            <w:pPr>
              <w:adjustRightInd w:val="0"/>
              <w:snapToGrid w:val="0"/>
              <w:spacing w:before="96" w:beforeLines="40" w:after="96" w:afterLines="40"/>
              <w:rPr>
                <w:rFonts w:ascii="宋体" w:hAnsi="宋体" w:cs="宋体"/>
                <w:color w:val="auto"/>
                <w:szCs w:val="21"/>
              </w:rPr>
            </w:pPr>
          </w:p>
        </w:tc>
        <w:tc>
          <w:tcPr>
            <w:tcW w:w="2285" w:type="dxa"/>
            <w:vAlign w:val="center"/>
          </w:tcPr>
          <w:p>
            <w:pPr>
              <w:adjustRightInd w:val="0"/>
              <w:snapToGrid w:val="0"/>
              <w:spacing w:before="96" w:beforeLines="40" w:after="96" w:afterLines="40"/>
              <w:jc w:val="center"/>
              <w:rPr>
                <w:rFonts w:ascii="宋体" w:hAnsi="宋体" w:cs="宋体"/>
                <w:color w:val="auto"/>
                <w:szCs w:val="21"/>
              </w:rPr>
            </w:pPr>
            <w:r>
              <w:rPr>
                <w:rFonts w:hint="eastAsia" w:ascii="宋体" w:hAnsi="宋体" w:cs="宋体"/>
                <w:color w:val="auto"/>
                <w:szCs w:val="21"/>
              </w:rPr>
              <w:t>被管理关系单位名称</w:t>
            </w:r>
          </w:p>
        </w:tc>
        <w:tc>
          <w:tcPr>
            <w:tcW w:w="3702" w:type="dxa"/>
            <w:vAlign w:val="center"/>
          </w:tcPr>
          <w:p>
            <w:pPr>
              <w:adjustRightInd w:val="0"/>
              <w:snapToGrid w:val="0"/>
              <w:spacing w:before="96" w:beforeLines="40" w:after="96" w:afterLines="40"/>
              <w:rPr>
                <w:rFonts w:ascii="宋体" w:hAnsi="宋体" w:cs="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466" w:type="dxa"/>
            <w:gridSpan w:val="3"/>
            <w:vAlign w:val="center"/>
          </w:tcPr>
          <w:p>
            <w:pPr>
              <w:adjustRightInd w:val="0"/>
              <w:snapToGrid w:val="0"/>
              <w:spacing w:before="96" w:beforeLines="40" w:after="96" w:afterLines="40"/>
              <w:rPr>
                <w:rFonts w:ascii="宋体" w:hAnsi="宋体" w:cs="宋体"/>
                <w:color w:val="auto"/>
                <w:szCs w:val="21"/>
              </w:rPr>
            </w:pPr>
            <w:r>
              <w:rPr>
                <w:rFonts w:hint="eastAsia" w:ascii="宋体" w:hAnsi="宋体" w:cs="宋体"/>
                <w:color w:val="auto"/>
                <w:szCs w:val="21"/>
              </w:rPr>
              <w:t>备注：</w:t>
            </w:r>
          </w:p>
        </w:tc>
      </w:tr>
    </w:tbl>
    <w:p>
      <w:pPr>
        <w:adjustRightInd w:val="0"/>
        <w:snapToGrid w:val="0"/>
        <w:spacing w:line="440" w:lineRule="exact"/>
        <w:rPr>
          <w:rFonts w:hint="eastAsia" w:ascii="宋体" w:hAnsi="宋体" w:cs="宋体"/>
          <w:color w:val="auto"/>
          <w:szCs w:val="21"/>
        </w:rPr>
      </w:pPr>
      <w:r>
        <w:rPr>
          <w:rFonts w:hint="eastAsia" w:asciiTheme="minorEastAsia" w:hAnsiTheme="minorEastAsia" w:eastAsiaTheme="minorEastAsia" w:cstheme="minorEastAsia"/>
          <w:color w:val="auto"/>
          <w:lang w:val="en-US" w:eastAsia="zh-CN"/>
        </w:rPr>
        <w:t>以上信息是真实的，如有虚假或被发现与事实不符，招标人或评标委员会可以按弄虚作假行为进行认定。</w:t>
      </w:r>
    </w:p>
    <w:p>
      <w:pPr>
        <w:adjustRightInd w:val="0"/>
        <w:snapToGrid w:val="0"/>
        <w:spacing w:line="440" w:lineRule="exact"/>
        <w:rPr>
          <w:rFonts w:hint="eastAsia" w:ascii="宋体" w:hAnsi="宋体" w:cs="宋体"/>
          <w:color w:val="auto"/>
          <w:szCs w:val="21"/>
        </w:rPr>
      </w:pPr>
    </w:p>
    <w:p>
      <w:pPr>
        <w:adjustRightInd w:val="0"/>
        <w:snapToGrid w:val="0"/>
        <w:spacing w:line="440" w:lineRule="exact"/>
        <w:rPr>
          <w:rFonts w:ascii="宋体" w:hAnsi="宋体" w:cs="宋体"/>
          <w:color w:val="auto"/>
          <w:szCs w:val="21"/>
        </w:rPr>
      </w:pPr>
      <w:r>
        <w:rPr>
          <w:rFonts w:hint="eastAsia" w:ascii="宋体" w:hAnsi="宋体" w:cs="宋体"/>
          <w:color w:val="auto"/>
          <w:szCs w:val="21"/>
        </w:rPr>
        <w:t>注：</w:t>
      </w:r>
    </w:p>
    <w:p>
      <w:pPr>
        <w:pStyle w:val="66"/>
        <w:ind w:left="735" w:leftChars="200" w:hanging="315" w:hangingChars="150"/>
        <w:rPr>
          <w:rFonts w:ascii="宋体" w:hAnsi="宋体" w:cs="宋体"/>
          <w:color w:val="auto"/>
          <w:sz w:val="21"/>
        </w:rPr>
      </w:pPr>
      <w:r>
        <w:rPr>
          <w:rFonts w:hint="eastAsia" w:ascii="宋体" w:hAnsi="宋体" w:cs="宋体"/>
          <w:color w:val="auto"/>
          <w:sz w:val="21"/>
        </w:rPr>
        <w:t>1．控股股东/投资人是指出资比例在50%以上，或者出资比例不足50%，但享有公司股东会/董事会控制权的投资方（含单位或者个人）；</w:t>
      </w:r>
    </w:p>
    <w:p>
      <w:pPr>
        <w:pStyle w:val="66"/>
        <w:ind w:left="735" w:leftChars="200" w:hanging="315" w:hangingChars="150"/>
        <w:rPr>
          <w:rFonts w:ascii="宋体" w:hAnsi="宋体" w:cs="宋体"/>
          <w:color w:val="auto"/>
          <w:sz w:val="21"/>
        </w:rPr>
      </w:pPr>
      <w:r>
        <w:rPr>
          <w:rFonts w:hint="eastAsia" w:ascii="宋体" w:hAnsi="宋体" w:cs="宋体"/>
          <w:color w:val="auto"/>
          <w:sz w:val="21"/>
        </w:rPr>
        <w:t>2．</w:t>
      </w:r>
      <w:r>
        <w:rPr>
          <w:rFonts w:hint="eastAsia" w:ascii="宋体" w:hAnsi="宋体" w:cs="宋体"/>
          <w:color w:val="auto"/>
          <w:spacing w:val="4"/>
          <w:sz w:val="21"/>
        </w:rPr>
        <w:t xml:space="preserve">管理关系单位是指与不具有出资持股关系的其他单位之间存在管理与被管理关系的单位； </w:t>
      </w:r>
    </w:p>
    <w:p>
      <w:pPr>
        <w:pStyle w:val="66"/>
        <w:ind w:left="735" w:leftChars="200" w:hanging="315" w:hangingChars="150"/>
        <w:rPr>
          <w:rFonts w:ascii="宋体" w:hAnsi="宋体" w:cs="宋体"/>
          <w:color w:val="auto"/>
          <w:sz w:val="21"/>
        </w:rPr>
      </w:pPr>
      <w:r>
        <w:rPr>
          <w:rFonts w:hint="eastAsia" w:ascii="宋体" w:hAnsi="宋体" w:cs="宋体"/>
          <w:color w:val="auto"/>
          <w:sz w:val="21"/>
        </w:rPr>
        <w:t>3．如未有相关情况，请在相应栏填写“无”。</w:t>
      </w:r>
    </w:p>
    <w:p>
      <w:pPr>
        <w:rPr>
          <w:rFonts w:ascii="宋体" w:hAnsi="宋体" w:cs="宋体"/>
          <w:color w:val="auto"/>
          <w:szCs w:val="21"/>
        </w:rPr>
      </w:pPr>
    </w:p>
    <w:p>
      <w:pPr>
        <w:rPr>
          <w:rFonts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r>
        <w:rPr>
          <w:rFonts w:hint="eastAsia" w:ascii="宋体" w:hAnsi="宋体" w:cs="宋体"/>
          <w:color w:val="auto"/>
          <w:szCs w:val="21"/>
        </w:rPr>
        <w:t>（盖单位公章）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lang w:val="en-US" w:eastAsia="zh-CN"/>
        </w:rPr>
      </w:pPr>
      <w:r>
        <w:rPr>
          <w:rFonts w:hint="eastAsia" w:ascii="宋体" w:hAnsi="宋体" w:cs="宋体"/>
          <w:color w:val="auto"/>
          <w:szCs w:val="21"/>
        </w:rPr>
        <w:t>法定代表人（单位负责人）或其委托代理人：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Ansi="宋体" w:cs="宋体"/>
          <w:color w:val="auto"/>
          <w:szCs w:val="21"/>
        </w:rPr>
      </w:pPr>
      <w:r>
        <w:rPr>
          <w:rFonts w:hint="eastAsia" w:hAnsi="宋体" w:cs="宋体"/>
          <w:color w:val="auto"/>
          <w:szCs w:val="21"/>
        </w:rPr>
        <w:t>日期：</w:t>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lang w:eastAsia="zh-CN"/>
        </w:rPr>
      </w:pPr>
    </w:p>
    <w:p>
      <w:pP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br w:type="page"/>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4"/>
          <w:szCs w:val="24"/>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廉洁诚信承诺书</w:t>
      </w:r>
    </w:p>
    <w:p>
      <w:pPr>
        <w:pStyle w:val="5"/>
        <w:keepNext w:val="0"/>
        <w:keepLines w:val="0"/>
        <w:spacing w:before="0" w:after="0" w:line="360" w:lineRule="auto"/>
        <w:ind w:firstLine="0" w:firstLineChars="0"/>
        <w:rPr>
          <w:rFonts w:ascii="宋体" w:hAnsi="宋体" w:eastAsia="宋体" w:cs="宋体"/>
          <w:b/>
          <w:color w:val="auto"/>
          <w:sz w:val="21"/>
          <w:szCs w:val="21"/>
        </w:rPr>
      </w:pPr>
    </w:p>
    <w:p>
      <w:pPr>
        <w:spacing w:line="360" w:lineRule="auto"/>
        <w:jc w:val="center"/>
        <w:rPr>
          <w:rFonts w:ascii="宋体" w:hAnsi="宋体" w:cs="宋体"/>
          <w:b/>
          <w:color w:val="auto"/>
          <w:sz w:val="36"/>
        </w:rPr>
      </w:pPr>
      <w:r>
        <w:rPr>
          <w:rFonts w:hint="eastAsia" w:ascii="宋体" w:hAnsi="宋体" w:cs="宋体"/>
          <w:b/>
          <w:color w:val="auto"/>
          <w:sz w:val="30"/>
          <w:szCs w:val="30"/>
        </w:rPr>
        <w:t>廉洁诚信承诺书</w:t>
      </w:r>
    </w:p>
    <w:p>
      <w:pPr>
        <w:rPr>
          <w:rFonts w:ascii="宋体" w:hAnsi="宋体" w:cs="宋体"/>
          <w:color w:val="auto"/>
          <w:szCs w:val="21"/>
        </w:rPr>
      </w:pPr>
    </w:p>
    <w:p>
      <w:pPr>
        <w:rPr>
          <w:rFonts w:hint="eastAsia" w:ascii="宋体" w:hAnsi="宋体" w:eastAsia="宋体" w:cs="宋体"/>
          <w:color w:val="auto"/>
          <w:szCs w:val="21"/>
          <w:lang w:eastAsia="zh-CN"/>
        </w:rPr>
      </w:pPr>
      <w:r>
        <w:rPr>
          <w:rFonts w:hint="eastAsia" w:ascii="宋体" w:hAnsi="宋体" w:cs="宋体"/>
          <w:color w:val="auto"/>
          <w:szCs w:val="21"/>
        </w:rPr>
        <w:t>致</w:t>
      </w:r>
      <w:r>
        <w:rPr>
          <w:rFonts w:hint="eastAsia" w:ascii="宋体" w:hAnsi="宋体" w:cs="宋体"/>
          <w:color w:val="auto"/>
          <w:szCs w:val="21"/>
          <w:lang w:eastAsia="zh-CN"/>
        </w:rPr>
        <w:t>复旦大学附属中山医院</w:t>
      </w:r>
    </w:p>
    <w:p>
      <w:pPr>
        <w:ind w:firstLine="420" w:firstLineChars="200"/>
        <w:jc w:val="left"/>
        <w:rPr>
          <w:rFonts w:ascii="宋体" w:hAnsi="宋体" w:cs="宋体"/>
          <w:color w:val="auto"/>
          <w:szCs w:val="21"/>
        </w:rPr>
      </w:pPr>
      <w:r>
        <w:rPr>
          <w:rFonts w:hint="eastAsia" w:ascii="宋体" w:hAnsi="宋体" w:cs="宋体"/>
          <w:color w:val="auto"/>
          <w:szCs w:val="21"/>
        </w:rPr>
        <w:t xml:space="preserve">为确保采购、招标活动公平、公开、公正开展，推进廉洁诚信建设，预防商业贿赂和不正当竞争，保障采购、招标活动中各方的合法权益，我公司在参与采购人的采购、招标工作时自愿作出如下承诺： </w:t>
      </w:r>
    </w:p>
    <w:p>
      <w:pPr>
        <w:ind w:left="-2" w:leftChars="-1" w:firstLine="420" w:firstLineChars="200"/>
        <w:rPr>
          <w:rFonts w:ascii="宋体" w:hAnsi="宋体" w:cs="宋体"/>
          <w:color w:val="auto"/>
          <w:szCs w:val="21"/>
        </w:rPr>
      </w:pPr>
      <w:r>
        <w:rPr>
          <w:rFonts w:hint="eastAsia" w:ascii="宋体" w:hAnsi="宋体" w:cs="宋体"/>
          <w:color w:val="auto"/>
          <w:szCs w:val="21"/>
        </w:rPr>
        <w:t>一、严格遵守国家法律法规。坚持廉洁、诚信的原则，恪守商业道德和职业道德规范，不从事并抵制不廉洁、不诚信行为。</w:t>
      </w:r>
    </w:p>
    <w:p>
      <w:pPr>
        <w:ind w:left="-2" w:leftChars="-1" w:firstLine="422" w:firstLineChars="200"/>
        <w:rPr>
          <w:rFonts w:ascii="宋体" w:hAnsi="宋体" w:cs="宋体"/>
          <w:b/>
          <w:color w:val="auto"/>
          <w:szCs w:val="21"/>
        </w:rPr>
      </w:pPr>
      <w:r>
        <w:rPr>
          <w:rFonts w:hint="eastAsia" w:ascii="宋体" w:hAnsi="宋体" w:cs="宋体"/>
          <w:b/>
          <w:color w:val="auto"/>
          <w:szCs w:val="21"/>
        </w:rPr>
        <w:t>二、严格杜绝以下行为：</w:t>
      </w:r>
    </w:p>
    <w:p>
      <w:pPr>
        <w:ind w:firstLine="420" w:firstLineChars="200"/>
        <w:rPr>
          <w:rFonts w:ascii="宋体" w:hAnsi="宋体" w:cs="宋体"/>
          <w:b/>
          <w:color w:val="auto"/>
          <w:szCs w:val="21"/>
        </w:rPr>
      </w:pPr>
      <w:r>
        <w:rPr>
          <w:rFonts w:hint="eastAsia" w:ascii="宋体" w:hAnsi="宋体" w:cs="宋体"/>
          <w:color w:val="auto"/>
          <w:szCs w:val="21"/>
        </w:rPr>
        <w:t>（一）给予或以借用等名义向采购人有关工作人员、采购招标代理机构有关工作人员、评标委员会成员等提供财物；</w:t>
      </w:r>
    </w:p>
    <w:p>
      <w:pPr>
        <w:ind w:firstLine="420" w:firstLineChars="200"/>
        <w:rPr>
          <w:rFonts w:ascii="宋体" w:hAnsi="宋体" w:cs="宋体"/>
          <w:color w:val="auto"/>
          <w:szCs w:val="21"/>
        </w:rPr>
      </w:pPr>
      <w:r>
        <w:rPr>
          <w:rFonts w:hint="eastAsia" w:ascii="宋体" w:hAnsi="宋体" w:cs="宋体"/>
          <w:color w:val="auto"/>
          <w:szCs w:val="21"/>
        </w:rPr>
        <w:t>（二）向采购人有关工作人员、采购招标代理机构有关工作人员、评标委员会成员等提供礼品、宴请以及旅游、健身、娱乐等活动安排；</w:t>
      </w:r>
    </w:p>
    <w:p>
      <w:pPr>
        <w:ind w:firstLine="420" w:firstLineChars="200"/>
        <w:rPr>
          <w:rFonts w:ascii="宋体" w:hAnsi="宋体" w:cs="宋体"/>
          <w:color w:val="auto"/>
          <w:szCs w:val="21"/>
        </w:rPr>
      </w:pPr>
      <w:r>
        <w:rPr>
          <w:rFonts w:hint="eastAsia" w:ascii="宋体" w:hAnsi="宋体" w:cs="宋体"/>
          <w:color w:val="auto"/>
          <w:szCs w:val="21"/>
        </w:rPr>
        <w:t>（三）向采购人有关工作人员、采购招标代理机构有关工作人员、评标委员会成员等赠送礼金、各种有价证券、支付凭证；</w:t>
      </w:r>
    </w:p>
    <w:p>
      <w:pPr>
        <w:ind w:firstLine="420" w:firstLineChars="200"/>
        <w:rPr>
          <w:rFonts w:ascii="宋体" w:hAnsi="宋体" w:cs="宋体"/>
          <w:color w:val="auto"/>
          <w:szCs w:val="21"/>
        </w:rPr>
      </w:pPr>
      <w:r>
        <w:rPr>
          <w:rFonts w:hint="eastAsia" w:ascii="宋体" w:hAnsi="宋体" w:cs="宋体"/>
          <w:color w:val="auto"/>
          <w:szCs w:val="21"/>
        </w:rPr>
        <w:t xml:space="preserve">（四）支付、报销应由采购人有关工作人员本人、配偶及子女，采购招标代理机构有关工作人员，评标委员会成员等负担的费用、票据； </w:t>
      </w:r>
    </w:p>
    <w:p>
      <w:pPr>
        <w:ind w:firstLine="420" w:firstLineChars="200"/>
        <w:rPr>
          <w:rFonts w:ascii="宋体" w:hAnsi="宋体" w:cs="宋体"/>
          <w:b/>
          <w:color w:val="auto"/>
          <w:szCs w:val="21"/>
        </w:rPr>
      </w:pPr>
      <w:r>
        <w:rPr>
          <w:rFonts w:hint="eastAsia" w:ascii="宋体" w:hAnsi="宋体" w:cs="宋体"/>
          <w:color w:val="auto"/>
          <w:szCs w:val="21"/>
        </w:rPr>
        <w:t xml:space="preserve">（五）隐瞒真实情况，提交虚假资质证明、资信证明、财务证明等材料；进行虚假承诺、夸大产品或服务性能和质量等指标；泄露采购人商业秘密；与其他单位等相互勾结、串通，用不正当手段排挤其他竞争者，干扰公平竞争的情形； </w:t>
      </w:r>
    </w:p>
    <w:p>
      <w:pPr>
        <w:ind w:firstLine="420" w:firstLineChars="200"/>
        <w:rPr>
          <w:rFonts w:ascii="宋体" w:hAnsi="宋体" w:cs="宋体"/>
          <w:color w:val="auto"/>
          <w:szCs w:val="21"/>
        </w:rPr>
      </w:pPr>
      <w:r>
        <w:rPr>
          <w:rFonts w:hint="eastAsia" w:ascii="宋体" w:hAnsi="宋体" w:cs="宋体"/>
          <w:color w:val="auto"/>
          <w:szCs w:val="21"/>
        </w:rPr>
        <w:t>（六）其他影响采购招标活动公平、公开、公正开展及损害采购人经济利益、形象和声誉的不廉洁、不诚信行为。</w:t>
      </w:r>
    </w:p>
    <w:p>
      <w:pPr>
        <w:ind w:firstLine="420" w:firstLineChars="200"/>
        <w:rPr>
          <w:rFonts w:ascii="宋体" w:hAnsi="宋体" w:cs="宋体"/>
          <w:color w:val="auto"/>
          <w:szCs w:val="21"/>
        </w:rPr>
      </w:pPr>
      <w:r>
        <w:rPr>
          <w:rFonts w:hint="eastAsia" w:ascii="宋体" w:hAnsi="宋体" w:cs="宋体"/>
          <w:color w:val="auto"/>
          <w:szCs w:val="21"/>
        </w:rPr>
        <w:t>三、如采购人有关工作人员、采购招标代理机构有关工作人员、评标委员会成员等发生不廉洁、不诚信行为，我公司有义务及时向采购人监督检查部门举报或投诉。</w:t>
      </w:r>
    </w:p>
    <w:p>
      <w:pPr>
        <w:ind w:firstLine="420" w:firstLineChars="200"/>
        <w:rPr>
          <w:rFonts w:ascii="宋体" w:hAnsi="宋体" w:cs="宋体"/>
          <w:color w:val="auto"/>
          <w:szCs w:val="21"/>
        </w:rPr>
      </w:pPr>
      <w:r>
        <w:rPr>
          <w:rFonts w:hint="eastAsia" w:ascii="宋体" w:hAnsi="宋体" w:cs="宋体"/>
          <w:color w:val="auto"/>
          <w:szCs w:val="21"/>
        </w:rPr>
        <w:t>四、我公司相关部门和工作人员支持、配合采购人有关部门对有关不廉洁、不诚信行为的调查。</w:t>
      </w:r>
    </w:p>
    <w:p>
      <w:pPr>
        <w:ind w:firstLine="420" w:firstLineChars="200"/>
        <w:rPr>
          <w:rFonts w:ascii="宋体" w:hAnsi="宋体" w:cs="宋体"/>
          <w:color w:val="auto"/>
          <w:szCs w:val="21"/>
        </w:rPr>
      </w:pPr>
      <w:r>
        <w:rPr>
          <w:rFonts w:hint="eastAsia" w:ascii="宋体" w:hAnsi="宋体" w:cs="宋体"/>
          <w:color w:val="auto"/>
          <w:szCs w:val="21"/>
        </w:rPr>
        <w:t>五、如违反以上承诺，我公司自愿接受采购人依据相关规定对我公司进行严肃处理。采购人可按我公司不廉洁、不诚信行为的严重程度，对我公司实行1至3年或永久期限的市场禁入。</w:t>
      </w:r>
    </w:p>
    <w:p>
      <w:pPr>
        <w:ind w:firstLine="420" w:firstLineChars="200"/>
        <w:rPr>
          <w:rFonts w:ascii="宋体" w:hAnsi="宋体" w:cs="宋体"/>
          <w:color w:val="auto"/>
          <w:szCs w:val="21"/>
        </w:rPr>
      </w:pPr>
      <w:r>
        <w:rPr>
          <w:rFonts w:hint="eastAsia" w:ascii="宋体" w:hAnsi="宋体" w:cs="宋体"/>
          <w:color w:val="auto"/>
          <w:szCs w:val="21"/>
        </w:rPr>
        <w:t>六、我公司不廉洁、不诚信行为造成采购人经济损失的，由我公司予以赔偿。</w:t>
      </w:r>
    </w:p>
    <w:p>
      <w:pPr>
        <w:ind w:firstLine="420" w:firstLineChars="200"/>
        <w:rPr>
          <w:rFonts w:ascii="宋体" w:hAnsi="宋体" w:cs="宋体"/>
          <w:color w:val="auto"/>
          <w:szCs w:val="21"/>
        </w:rPr>
      </w:pPr>
      <w:r>
        <w:rPr>
          <w:rFonts w:hint="eastAsia" w:ascii="宋体" w:hAnsi="宋体" w:cs="宋体"/>
          <w:color w:val="auto"/>
          <w:szCs w:val="21"/>
        </w:rPr>
        <w:t>七、本廉洁诚信承诺书经我公司法定代表人（或法定代表人授权委托人）签字并加盖公司印章后生效。</w:t>
      </w:r>
    </w:p>
    <w:p>
      <w:pPr>
        <w:ind w:firstLine="420" w:firstLineChars="200"/>
        <w:rPr>
          <w:rFonts w:ascii="宋体" w:hAnsi="宋体" w:cs="宋体"/>
          <w:color w:val="auto"/>
          <w:szCs w:val="21"/>
        </w:rPr>
      </w:pPr>
      <w:r>
        <w:rPr>
          <w:rFonts w:hint="eastAsia" w:ascii="宋体" w:hAnsi="宋体" w:cs="宋体"/>
          <w:color w:val="auto"/>
          <w:szCs w:val="21"/>
        </w:rPr>
        <w:t>八、本廉洁诚信承诺书的效力范围既包括采购与招标阶段的行为，也包括合同签订及履行阶段的行为。</w:t>
      </w:r>
    </w:p>
    <w:p>
      <w:pPr>
        <w:ind w:left="4933" w:leftChars="2199" w:hanging="315" w:hangingChars="150"/>
        <w:rPr>
          <w:rFonts w:ascii="宋体" w:hAnsi="宋体" w:cs="宋体"/>
          <w:color w:val="auto"/>
          <w:szCs w:val="21"/>
        </w:rPr>
      </w:pPr>
    </w:p>
    <w:p>
      <w:pPr>
        <w:rPr>
          <w:rFonts w:ascii="宋体" w:hAnsi="宋体" w:cs="宋体"/>
          <w:color w:val="auto"/>
          <w:szCs w:val="21"/>
        </w:rPr>
      </w:pPr>
    </w:p>
    <w:p>
      <w:pPr>
        <w:ind w:left="4933" w:leftChars="2199" w:hanging="315" w:hangingChars="150"/>
        <w:rPr>
          <w:rFonts w:ascii="宋体" w:hAnsi="宋体" w:cs="宋体"/>
          <w:color w:val="auto"/>
          <w:szCs w:val="21"/>
        </w:rPr>
      </w:pPr>
    </w:p>
    <w:p>
      <w:pPr>
        <w:ind w:firstLine="1680" w:firstLineChars="800"/>
        <w:rPr>
          <w:rFonts w:ascii="宋体" w:hAnsi="宋体" w:cs="宋体"/>
          <w:color w:val="auto"/>
          <w:szCs w:val="21"/>
        </w:rPr>
      </w:pPr>
      <w:r>
        <w:rPr>
          <w:rFonts w:hint="eastAsia" w:ascii="宋体" w:hAnsi="宋体" w:cs="宋体"/>
          <w:color w:val="auto"/>
          <w:szCs w:val="21"/>
        </w:rPr>
        <w:t xml:space="preserve">单位名称（盖章）： </w:t>
      </w:r>
    </w:p>
    <w:p>
      <w:pPr>
        <w:ind w:left="4933" w:leftChars="2199" w:hanging="315" w:hangingChars="150"/>
        <w:rPr>
          <w:rFonts w:ascii="宋体" w:hAnsi="宋体" w:cs="宋体"/>
          <w:color w:val="auto"/>
          <w:szCs w:val="21"/>
        </w:rPr>
      </w:pPr>
    </w:p>
    <w:p>
      <w:pPr>
        <w:ind w:right="1200" w:firstLine="1680" w:firstLineChars="800"/>
        <w:rPr>
          <w:rFonts w:ascii="宋体" w:hAnsi="宋体" w:cs="宋体"/>
          <w:color w:val="auto"/>
          <w:szCs w:val="21"/>
        </w:rPr>
      </w:pPr>
      <w:r>
        <w:rPr>
          <w:rFonts w:hint="eastAsia" w:ascii="宋体" w:hAnsi="宋体" w:cs="宋体"/>
          <w:color w:val="auto"/>
          <w:szCs w:val="21"/>
        </w:rPr>
        <w:t xml:space="preserve">法定代表人（授权委托人）签字： </w:t>
      </w:r>
    </w:p>
    <w:p>
      <w:pPr>
        <w:ind w:right="1200" w:firstLine="1365" w:firstLineChars="650"/>
        <w:rPr>
          <w:rFonts w:ascii="宋体" w:hAnsi="宋体" w:cs="宋体"/>
          <w:color w:val="auto"/>
          <w:szCs w:val="21"/>
        </w:rPr>
      </w:pPr>
    </w:p>
    <w:p>
      <w:pPr>
        <w:ind w:right="1200" w:firstLine="1680" w:firstLineChars="800"/>
        <w:rPr>
          <w:rFonts w:ascii="宋体" w:hAnsi="宋体" w:cs="宋体"/>
          <w:b/>
          <w:color w:val="auto"/>
          <w:szCs w:val="21"/>
          <w:u w:val="single"/>
        </w:rPr>
      </w:pPr>
      <w:r>
        <w:rPr>
          <w:rFonts w:hint="eastAsia" w:ascii="宋体" w:hAnsi="宋体" w:cs="宋体"/>
          <w:color w:val="auto"/>
          <w:szCs w:val="21"/>
        </w:rPr>
        <w:t>日期：     年    月     日</w:t>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十一</w:t>
      </w:r>
      <w:r>
        <w:rPr>
          <w:rFonts w:hint="eastAsia" w:asciiTheme="minorEastAsia" w:hAnsiTheme="minorEastAsia" w:eastAsiaTheme="minorEastAsia" w:cstheme="minorEastAsia"/>
          <w:b/>
          <w:color w:val="auto"/>
          <w:sz w:val="24"/>
          <w:szCs w:val="24"/>
        </w:rPr>
        <w:t>）中小企业声明函</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投标产品为进口产品的不适用）</w:t>
      </w:r>
    </w:p>
    <w:p>
      <w:pPr>
        <w:keepNext w:val="0"/>
        <w:keepLines w:val="0"/>
        <w:pageBreakBefore w:val="0"/>
        <w:kinsoku/>
        <w:overflowPunct/>
        <w:bidi w:val="0"/>
        <w:spacing w:beforeAutospacing="0" w:afterAutospacing="0"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szCs w:val="24"/>
        </w:rPr>
        <w:t>中小企业声明函</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货物）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1"/>
          <w:szCs w:val="21"/>
          <w:u w:val="single"/>
          <w:lang w:val="en-US" w:eastAsia="zh-CN"/>
        </w:rPr>
        <w:t>复旦大学附属中山医院</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u w:val="single"/>
          <w:lang w:eastAsia="zh-CN"/>
        </w:rPr>
        <w:t>彩色多普勒超声诊断仪</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rPr>
        <w:t>采购活动</w:t>
      </w:r>
      <w:r>
        <w:rPr>
          <w:rFonts w:hint="eastAsia" w:asciiTheme="minorEastAsia" w:hAnsiTheme="minorEastAsia" w:eastAsiaTheme="minorEastAsia" w:cstheme="minorEastAsia"/>
          <w:color w:val="auto"/>
          <w:sz w:val="21"/>
          <w:szCs w:val="21"/>
        </w:rPr>
        <w:t xml:space="preserve"> ，提供的货物全部由符合政策要求的中小企业制造。相关企业（含联合体中的中小企业、签订分包意向协议的中小企业）的具体情况如下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w:t>
      </w:r>
      <w:r>
        <w:rPr>
          <w:rFonts w:hint="eastAsia" w:asciiTheme="minorEastAsia" w:hAnsiTheme="minorEastAsia" w:eastAsiaTheme="minorEastAsia" w:cstheme="minorEastAsia"/>
          <w:color w:val="auto"/>
          <w:sz w:val="21"/>
          <w:szCs w:val="21"/>
          <w:u w:val="single"/>
          <w:lang w:eastAsia="zh-CN"/>
        </w:rPr>
        <w:t>彩色多普勒超声诊断仪</w:t>
      </w:r>
      <w:r>
        <w:rPr>
          <w:rFonts w:hint="eastAsia" w:asciiTheme="minorEastAsia" w:hAnsiTheme="minorEastAsia" w:eastAsiaTheme="minorEastAsia" w:cstheme="minorEastAsia"/>
          <w:color w:val="auto"/>
          <w:sz w:val="21"/>
          <w:szCs w:val="21"/>
        </w:rPr>
        <w:t xml:space="preserve">，属于 </w:t>
      </w:r>
      <w:r>
        <w:rPr>
          <w:rFonts w:hint="eastAsia" w:asciiTheme="minorEastAsia" w:hAnsiTheme="minorEastAsia" w:eastAsiaTheme="minorEastAsia" w:cstheme="minorEastAsia"/>
          <w:color w:val="auto"/>
          <w:sz w:val="21"/>
          <w:szCs w:val="21"/>
          <w:u w:val="single"/>
          <w:lang w:val="en-US" w:eastAsia="zh-CN"/>
        </w:rPr>
        <w:t xml:space="preserve">工业 </w:t>
      </w:r>
      <w:r>
        <w:rPr>
          <w:rFonts w:hint="eastAsia" w:asciiTheme="minorEastAsia" w:hAnsiTheme="minorEastAsia" w:eastAsiaTheme="minorEastAsia" w:cstheme="minorEastAsia"/>
          <w:color w:val="auto"/>
          <w:sz w:val="21"/>
          <w:szCs w:val="21"/>
        </w:rPr>
        <w:t xml:space="preserve">行业；制造商为 </w:t>
      </w:r>
      <w:r>
        <w:rPr>
          <w:rFonts w:hint="eastAsia" w:asciiTheme="minorEastAsia" w:hAnsiTheme="minorEastAsia" w:eastAsiaTheme="minorEastAsia" w:cstheme="minorEastAsia"/>
          <w:color w:val="auto"/>
          <w:sz w:val="21"/>
          <w:szCs w:val="21"/>
          <w:u w:val="single"/>
        </w:rPr>
        <w:t>（企业名称）</w:t>
      </w:r>
      <w:r>
        <w:rPr>
          <w:rFonts w:hint="eastAsia" w:asciiTheme="minorEastAsia" w:hAnsiTheme="minorEastAsia" w:eastAsiaTheme="minorEastAsia" w:cstheme="minorEastAsia"/>
          <w:color w:val="auto"/>
          <w:sz w:val="21"/>
          <w:szCs w:val="21"/>
        </w:rPr>
        <w:t>，从业人员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人， 营业收入为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万元，资产总额为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万元，属于 </w:t>
      </w:r>
      <w:r>
        <w:rPr>
          <w:rFonts w:hint="eastAsia" w:asciiTheme="minorEastAsia" w:hAnsiTheme="minorEastAsia" w:eastAsiaTheme="minorEastAsia" w:cstheme="minorEastAsia"/>
          <w:color w:val="auto"/>
          <w:sz w:val="21"/>
          <w:szCs w:val="21"/>
          <w:u w:val="single"/>
        </w:rPr>
        <w:t>（</w:t>
      </w:r>
      <w:r>
        <w:rPr>
          <w:rFonts w:hint="eastAsia" w:asciiTheme="minorEastAsia" w:hAnsiTheme="minorEastAsia" w:eastAsiaTheme="minorEastAsia" w:cstheme="minorEastAsia"/>
          <w:color w:val="auto"/>
          <w:sz w:val="21"/>
          <w:szCs w:val="21"/>
          <w:u w:val="single"/>
          <w:lang w:val="en-US" w:eastAsia="zh-CN"/>
        </w:rPr>
        <w:t>企业类型</w:t>
      </w:r>
      <w:r>
        <w:rPr>
          <w:rFonts w:hint="eastAsia" w:asciiTheme="minorEastAsia" w:hAnsiTheme="minorEastAsia" w:eastAsiaTheme="minorEastAsia" w:cstheme="minorEastAsia"/>
          <w:color w:val="auto"/>
          <w:sz w:val="21"/>
          <w:szCs w:val="21"/>
          <w:u w:val="single"/>
        </w:rPr>
        <w:t>）</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本企业对上述声明内容的真实性负责。如有虚假，将依法承担相应责任 。</w:t>
      </w:r>
    </w:p>
    <w:p>
      <w:pPr>
        <w:keepNext w:val="0"/>
        <w:keepLines w:val="0"/>
        <w:pageBreakBefore w:val="0"/>
        <w:kinsoku/>
        <w:overflowPunct/>
        <w:bidi w:val="0"/>
        <w:spacing w:beforeAutospacing="0" w:afterAutospacing="0" w:line="360" w:lineRule="auto"/>
        <w:ind w:left="546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left="546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ind w:firstLine="3150" w:firstLineChars="1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企业名称（盖章）：</w:t>
      </w:r>
    </w:p>
    <w:p>
      <w:pPr>
        <w:keepNext w:val="0"/>
        <w:keepLines w:val="0"/>
        <w:pageBreakBefore w:val="0"/>
        <w:kinsoku/>
        <w:overflowPunct/>
        <w:bidi w:val="0"/>
        <w:spacing w:beforeAutospacing="0" w:afterAutospacing="0" w:line="360" w:lineRule="auto"/>
        <w:ind w:firstLine="3150" w:firstLineChars="1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日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期：</w:t>
      </w:r>
    </w:p>
    <w:p>
      <w:pPr>
        <w:keepNext w:val="0"/>
        <w:keepLines w:val="0"/>
        <w:pageBreakBefore w:val="0"/>
        <w:kinsoku/>
        <w:overflowPunct/>
        <w:bidi w:val="0"/>
        <w:spacing w:beforeAutospacing="0" w:afterAutospacing="0" w:line="360" w:lineRule="auto"/>
        <w:jc w:val="center"/>
        <w:rPr>
          <w:rFonts w:hint="eastAsia" w:asciiTheme="minorEastAsia" w:hAnsiTheme="minorEastAsia" w:eastAsiaTheme="minorEastAsia" w:cstheme="minorEastAsia"/>
          <w:b/>
          <w:color w:val="auto"/>
          <w:sz w:val="30"/>
          <w:szCs w:val="30"/>
        </w:rPr>
      </w:pPr>
    </w:p>
    <w:p>
      <w:pPr>
        <w:keepNext w:val="0"/>
        <w:keepLines w:val="0"/>
        <w:pageBreakBefore w:val="0"/>
        <w:widowControl/>
        <w:shd w:val="clear" w:color="auto" w:fill="FFFFFF"/>
        <w:kinsoku/>
        <w:overflowPunct/>
        <w:bidi w:val="0"/>
        <w:spacing w:beforeAutospacing="0" w:afterAutospacing="0" w:line="360" w:lineRule="auto"/>
        <w:ind w:firstLine="482"/>
        <w:jc w:val="left"/>
        <w:rPr>
          <w:rFonts w:hint="eastAsia" w:asciiTheme="minorEastAsia" w:hAnsiTheme="minorEastAsia" w:eastAsiaTheme="minorEastAsia" w:cstheme="minorEastAsia"/>
          <w:snapToGrid w:val="0"/>
          <w:color w:val="auto"/>
          <w:kern w:val="0"/>
          <w:sz w:val="21"/>
          <w:szCs w:val="21"/>
          <w:lang w:val="en-US" w:eastAsia="zh-CN"/>
        </w:rPr>
      </w:pPr>
    </w:p>
    <w:p>
      <w:pPr>
        <w:keepNext w:val="0"/>
        <w:keepLines w:val="0"/>
        <w:pageBreakBefore w:val="0"/>
        <w:widowControl/>
        <w:shd w:val="clear" w:color="auto" w:fill="FFFFFF"/>
        <w:kinsoku/>
        <w:overflowPunct/>
        <w:bidi w:val="0"/>
        <w:spacing w:beforeAutospacing="0" w:afterAutospacing="0" w:line="360" w:lineRule="auto"/>
        <w:ind w:firstLine="482"/>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注：从业人员、营业收入、资产总额填报上一年度数据，无上一年度数据的新成立企业可不填报。</w:t>
      </w:r>
    </w:p>
    <w:p>
      <w:pPr>
        <w:keepNext w:val="0"/>
        <w:keepLines w:val="0"/>
        <w:pageBreakBefore w:val="0"/>
        <w:widowControl/>
        <w:shd w:val="clear" w:color="auto" w:fill="FFFFFF"/>
        <w:kinsoku/>
        <w:overflowPunct/>
        <w:bidi w:val="0"/>
        <w:spacing w:beforeAutospacing="0" w:afterAutospacing="0" w:line="360" w:lineRule="auto"/>
        <w:ind w:firstLine="482"/>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企业类型：从“大型企业、中型企业、小型企业、微型企业”中选择一个填写</w:t>
      </w:r>
    </w:p>
    <w:p>
      <w:pPr>
        <w:rPr>
          <w:rFonts w:hint="eastAsia"/>
          <w:color w:val="auto"/>
          <w:lang w:val="en-US" w:eastAsia="zh-CN"/>
        </w:rPr>
      </w:pPr>
    </w:p>
    <w:p>
      <w:pPr>
        <w:pStyle w:val="12"/>
        <w:rPr>
          <w:rFonts w:hint="eastAsia"/>
          <w:color w:val="auto"/>
          <w:lang w:val="en-US" w:eastAsia="zh-CN"/>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480" w:lineRule="atLeast"/>
        <w:ind w:left="0" w:right="0" w:firstLine="0"/>
        <w:jc w:val="center"/>
        <w:textAlignment w:val="baseline"/>
        <w:rPr>
          <w:rFonts w:ascii="宋体" w:hAnsi="宋体" w:eastAsia="宋体" w:cs="宋体"/>
          <w:b/>
          <w:caps w:val="0"/>
          <w:color w:val="auto"/>
          <w:spacing w:val="0"/>
          <w:sz w:val="24"/>
          <w:szCs w:val="24"/>
        </w:rPr>
      </w:pPr>
      <w:r>
        <w:rPr>
          <w:rFonts w:hint="eastAsia" w:ascii="宋体" w:hAnsi="宋体" w:eastAsia="宋体" w:cs="宋体"/>
          <w:b/>
          <w:caps w:val="0"/>
          <w:color w:val="auto"/>
          <w:spacing w:val="0"/>
          <w:sz w:val="24"/>
          <w:szCs w:val="24"/>
          <w:shd w:val="clear" w:color="auto" w:fill="FFFFFF"/>
          <w:vertAlign w:val="baseline"/>
        </w:rPr>
        <w:t>国家统计局关于印发《统计上大中小微型企业划分办法（2017）》的通知</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各省、自治区、直辖市统计局，新疆生产建设兵团统计局，国务院各有关部门，国家统计局各调查总队：</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keepNext w:val="0"/>
        <w:keepLines w:val="0"/>
        <w:widowControl/>
        <w:suppressLineNumbers w:val="0"/>
        <w:jc w:val="left"/>
        <w:rPr>
          <w:color w:val="auto"/>
        </w:rPr>
      </w:pP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附件：《统计上大中小微型企业划分办法（2017）》修订说明</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660" w:firstLine="0"/>
        <w:jc w:val="right"/>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国家统计局  </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660" w:firstLine="0"/>
        <w:jc w:val="right"/>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2017年12月28日</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36" w:lineRule="atLeast"/>
        <w:ind w:left="0" w:right="0" w:firstLine="0"/>
        <w:textAlignment w:val="baseline"/>
        <w:rPr>
          <w:rFonts w:hint="eastAsia" w:ascii="宋体" w:hAnsi="宋体" w:eastAsia="宋体" w:cs="宋体"/>
          <w:caps w:val="0"/>
          <w:color w:val="auto"/>
          <w:spacing w:val="0"/>
          <w:sz w:val="16"/>
          <w:szCs w:val="16"/>
        </w:rPr>
      </w:pP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480" w:lineRule="atLeast"/>
        <w:ind w:left="0" w:right="0" w:firstLine="0"/>
        <w:jc w:val="center"/>
        <w:textAlignment w:val="baseline"/>
        <w:rPr>
          <w:rFonts w:hint="eastAsia" w:ascii="宋体" w:hAnsi="宋体" w:eastAsia="宋体" w:cs="宋体"/>
          <w:b/>
          <w:caps w:val="0"/>
          <w:color w:val="auto"/>
          <w:spacing w:val="0"/>
          <w:sz w:val="28"/>
          <w:szCs w:val="28"/>
        </w:rPr>
      </w:pPr>
      <w:r>
        <w:rPr>
          <w:rFonts w:hint="eastAsia" w:ascii="宋体" w:hAnsi="宋体" w:eastAsia="宋体" w:cs="宋体"/>
          <w:b/>
          <w:caps w:val="0"/>
          <w:color w:val="auto"/>
          <w:spacing w:val="0"/>
          <w:sz w:val="28"/>
          <w:szCs w:val="28"/>
          <w:shd w:val="clear" w:color="auto" w:fill="FFFFFF"/>
          <w:vertAlign w:val="baseline"/>
        </w:rPr>
        <w:t>统计上大中小微型企业划分办法（2017）</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一、根据工业和信息化部、国家统计局、国家发展改革委、财政部《关于印发中小企业划型标准规定的通知》（工信部联企业〔2011〕300号），以《国民经济行业分类》（GB/T4754-2017）为基础，结合统计工作的实际情况，制定本办法。</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二、本办法适用对象为在中华人民共和国境内依法设立的各种组织形式的法人企业或单位。个体工商户参照本办法进行划分。</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四、本办法按照行业门类、大类、中类和组合类别，依据从业人员、营业收入、资产总额等指标或替代指标，将我国的企业划分为大型、中型、小型、微型等四种类型。具体划分标准见附表。</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五、企业划分由政府综合统计部门根据统计年报每年确定一次，定报统计原则上不进行调整。</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六、本办法自印发之日起执行，国家统计局2011年印发的《统计上大中小微型企业划分办法》（国统字〔2011〕75号）同时废止。</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240" w:lineRule="auto"/>
        <w:ind w:left="0" w:right="0" w:firstLine="0"/>
        <w:textAlignment w:val="baseline"/>
        <w:rPr>
          <w:rFonts w:hint="eastAsia" w:ascii="宋体" w:hAnsi="宋体" w:eastAsia="宋体" w:cs="宋体"/>
          <w:caps w:val="0"/>
          <w:color w:val="auto"/>
          <w:spacing w:val="0"/>
          <w:sz w:val="16"/>
          <w:szCs w:val="16"/>
        </w:rPr>
      </w:pPr>
      <w:r>
        <w:rPr>
          <w:rFonts w:hint="eastAsia" w:ascii="宋体" w:hAnsi="宋体" w:eastAsia="宋体" w:cs="宋体"/>
          <w:caps w:val="0"/>
          <w:color w:val="auto"/>
          <w:spacing w:val="0"/>
          <w:sz w:val="16"/>
          <w:szCs w:val="16"/>
          <w:shd w:val="clear" w:color="auto" w:fill="FFFFFF"/>
          <w:vertAlign w:val="baseline"/>
        </w:rPr>
        <w:t>附表：统计上大中小微型企业划分标准</w:t>
      </w:r>
    </w:p>
    <w:p>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480" w:lineRule="atLeast"/>
        <w:ind w:left="0" w:right="0" w:firstLine="0"/>
        <w:jc w:val="center"/>
        <w:textAlignment w:val="baseline"/>
        <w:rPr>
          <w:rFonts w:hint="eastAsia" w:ascii="宋体" w:hAnsi="宋体" w:eastAsia="宋体" w:cs="宋体"/>
          <w:b/>
          <w:caps w:val="0"/>
          <w:color w:val="auto"/>
          <w:spacing w:val="0"/>
          <w:sz w:val="21"/>
          <w:szCs w:val="21"/>
        </w:rPr>
      </w:pPr>
      <w:r>
        <w:rPr>
          <w:rFonts w:hint="eastAsia" w:ascii="宋体" w:hAnsi="宋体" w:eastAsia="宋体" w:cs="宋体"/>
          <w:b/>
          <w:caps w:val="0"/>
          <w:color w:val="auto"/>
          <w:spacing w:val="0"/>
          <w:sz w:val="21"/>
          <w:szCs w:val="21"/>
          <w:shd w:val="clear" w:color="auto" w:fill="FFFFFF"/>
          <w:vertAlign w:val="baseline"/>
        </w:rPr>
        <w:br w:type="page"/>
      </w:r>
      <w:r>
        <w:rPr>
          <w:rFonts w:hint="eastAsia" w:ascii="宋体" w:hAnsi="宋体" w:eastAsia="宋体" w:cs="宋体"/>
          <w:b/>
          <w:caps w:val="0"/>
          <w:color w:val="auto"/>
          <w:spacing w:val="0"/>
          <w:sz w:val="21"/>
          <w:szCs w:val="21"/>
          <w:shd w:val="clear" w:color="auto" w:fill="FFFFFF"/>
          <w:vertAlign w:val="baseline"/>
        </w:rPr>
        <w:t>统计上大中小微型企业划分标准</w:t>
      </w:r>
    </w:p>
    <w:tbl>
      <w:tblPr>
        <w:tblStyle w:val="3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7"/>
        <w:gridCol w:w="1279"/>
        <w:gridCol w:w="809"/>
        <w:gridCol w:w="1278"/>
        <w:gridCol w:w="1279"/>
        <w:gridCol w:w="1279"/>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行业名称</w:t>
            </w:r>
          </w:p>
        </w:tc>
        <w:tc>
          <w:tcPr>
            <w:tcW w:w="1279"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指标名称</w:t>
            </w:r>
          </w:p>
        </w:tc>
        <w:tc>
          <w:tcPr>
            <w:tcW w:w="809"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计量单位</w:t>
            </w:r>
          </w:p>
        </w:tc>
        <w:tc>
          <w:tcPr>
            <w:tcW w:w="1278"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大型</w:t>
            </w:r>
          </w:p>
        </w:tc>
        <w:tc>
          <w:tcPr>
            <w:tcW w:w="1279"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中型</w:t>
            </w:r>
          </w:p>
        </w:tc>
        <w:tc>
          <w:tcPr>
            <w:tcW w:w="1279"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小型</w:t>
            </w:r>
          </w:p>
        </w:tc>
        <w:tc>
          <w:tcPr>
            <w:tcW w:w="823" w:type="dxa"/>
            <w:tcBorders>
              <w:tl2br w:val="nil"/>
              <w:tr2bl w:val="nil"/>
            </w:tcBorders>
            <w:noWrap w:val="0"/>
            <w:tcMar>
              <w:top w:w="60" w:type="dxa"/>
              <w:left w:w="60" w:type="dxa"/>
              <w:bottom w:w="60" w:type="dxa"/>
              <w:right w:w="60" w:type="dxa"/>
            </w:tcMar>
            <w:vAlign w:val="top"/>
          </w:tcPr>
          <w:p>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b/>
                <w:color w:val="auto"/>
                <w:sz w:val="18"/>
                <w:szCs w:val="18"/>
              </w:rPr>
            </w:pPr>
            <w:r>
              <w:rPr>
                <w:rFonts w:hint="eastAsia" w:ascii="宋体" w:hAnsi="宋体" w:eastAsia="宋体" w:cs="宋体"/>
                <w:b/>
                <w:color w:val="auto"/>
                <w:kern w:val="0"/>
                <w:sz w:val="18"/>
                <w:szCs w:val="18"/>
                <w:vertAlign w:val="baseline"/>
                <w:lang w:val="en-US" w:eastAsia="zh-CN" w:bidi="ar"/>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农、林、牧、渔业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500≤Y＜20000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50≤Y＜500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工业 *</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300≤X＜1000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20≤X＜300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b/>
                <w:bCs/>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Y≥40000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2000≤Y＜40000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300≤Y＜2000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b/>
                <w:bCs/>
                <w:color w:val="auto"/>
                <w:sz w:val="18"/>
                <w:szCs w:val="18"/>
              </w:rPr>
            </w:pPr>
            <w:r>
              <w:rPr>
                <w:rFonts w:ascii="宋体" w:hAnsi="宋体" w:eastAsia="宋体" w:cs="宋体"/>
                <w:b/>
                <w:bCs/>
                <w:color w:val="auto"/>
                <w:kern w:val="0"/>
                <w:sz w:val="18"/>
                <w:szCs w:val="18"/>
                <w:lang w:val="en-US" w:eastAsia="zh-CN" w:bidi="ar"/>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建筑业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Y≥80000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6000≤Y＜80000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300≤Y＜6000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资产总额(Z)</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Z≥80000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5000≤Z＜80000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300≤Z＜5000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批发业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20≤X＜200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5≤X＜20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Y≥40000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5000≤Y＜40000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1000≤Y＜5000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零售业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10≤X＜50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500≤Y＜20000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100≤Y＜500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交通运输业 *</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20≤X＜300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3000≤Y＜30000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200≤Y＜3000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仓储业*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100≤X＜200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100≤Y＜1000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邮政业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20≤X＜300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2000≤Y＜30000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100≤Y＜2000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住宿业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2000≤Y＜10000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100≤Y＜2000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餐饮业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2000≤Y＜10000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100≤Y＜2000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信息传输业 *</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X≥2000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100≤X＜2000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1000≤Y＜100000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100≤Y＜1000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软件和信息技术服务业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50≤Y＜1000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房地产开发经营</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Y≥200000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1000≤Y＜200000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100≤Y＜1000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资产总额(Z)</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5000≤Z＜10000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2000≤Z＜5000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物业管理</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300≤X＜1000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营业收入(Y)</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Y≥5000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1000≤Y＜5000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500≤Y＜1000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租赁和商务服务业</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vMerge w:val="continue"/>
            <w:tcBorders>
              <w:tl2br w:val="nil"/>
              <w:tr2bl w:val="nil"/>
            </w:tcBorders>
            <w:noWrap w:val="0"/>
            <w:vAlign w:val="center"/>
          </w:tcPr>
          <w:p>
            <w:pPr>
              <w:rPr>
                <w:rFonts w:hint="eastAsia" w:ascii="宋体"/>
                <w:color w:val="auto"/>
                <w:sz w:val="18"/>
                <w:szCs w:val="18"/>
              </w:rPr>
            </w:pP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资产总额(Z)</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万元</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Z≥120000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8000≤Z＜120000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100≤Z＜8000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7"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其他未列明行业 *</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从业人员(X)</w:t>
            </w:r>
          </w:p>
        </w:tc>
        <w:tc>
          <w:tcPr>
            <w:tcW w:w="80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人</w:t>
            </w:r>
          </w:p>
        </w:tc>
        <w:tc>
          <w:tcPr>
            <w:tcW w:w="1278"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100≤X＜300</w:t>
            </w:r>
          </w:p>
        </w:tc>
        <w:tc>
          <w:tcPr>
            <w:tcW w:w="1279"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10≤X＜100</w:t>
            </w:r>
          </w:p>
        </w:tc>
        <w:tc>
          <w:tcPr>
            <w:tcW w:w="82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textAlignment w:val="center"/>
              <w:rPr>
                <w:color w:val="auto"/>
                <w:sz w:val="18"/>
                <w:szCs w:val="18"/>
              </w:rPr>
            </w:pPr>
            <w:r>
              <w:rPr>
                <w:rFonts w:ascii="宋体" w:hAnsi="宋体" w:eastAsia="宋体" w:cs="宋体"/>
                <w:color w:val="auto"/>
                <w:kern w:val="0"/>
                <w:sz w:val="18"/>
                <w:szCs w:val="18"/>
                <w:lang w:val="en-US" w:eastAsia="zh-CN" w:bidi="ar"/>
              </w:rPr>
              <w:t>X＜10</w:t>
            </w:r>
          </w:p>
        </w:tc>
      </w:tr>
    </w:tbl>
    <w:p>
      <w:pPr>
        <w:pStyle w:val="5"/>
        <w:keepNext w:val="0"/>
        <w:keepLines w:val="0"/>
        <w:spacing w:before="0" w:after="0" w:line="240" w:lineRule="auto"/>
        <w:ind w:firstLine="118"/>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说明：</w:t>
      </w:r>
    </w:p>
    <w:p>
      <w:pPr>
        <w:pStyle w:val="5"/>
        <w:keepNext w:val="0"/>
        <w:keepLines w:val="0"/>
        <w:spacing w:before="0" w:after="0" w:line="240" w:lineRule="auto"/>
        <w:ind w:left="268" w:leftChars="42" w:hanging="180" w:hangingChars="10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1.大型、中型和小型企业须同时满足所列指标的下限，否则下划一档；微型企业只须满足所列指标中的一项即可。</w:t>
      </w:r>
    </w:p>
    <w:p>
      <w:pPr>
        <w:pStyle w:val="5"/>
        <w:keepNext w:val="0"/>
        <w:keepLines w:val="0"/>
        <w:spacing w:before="0" w:after="0" w:line="240" w:lineRule="auto"/>
        <w:ind w:left="268" w:leftChars="42" w:hanging="180" w:hangingChars="10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5"/>
        <w:keepNext w:val="0"/>
        <w:keepLines w:val="0"/>
        <w:spacing w:before="0" w:after="0" w:line="240" w:lineRule="auto"/>
        <w:ind w:left="268" w:leftChars="42" w:hanging="180" w:hangingChars="10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3.企业划分指标以现行统计制度为准。</w:t>
      </w:r>
    </w:p>
    <w:p>
      <w:pPr>
        <w:pStyle w:val="5"/>
        <w:keepNext w:val="0"/>
        <w:keepLines w:val="0"/>
        <w:spacing w:before="0" w:after="0" w:line="240" w:lineRule="auto"/>
        <w:ind w:firstLine="268" w:firstLineChars="149"/>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（1）从业人员，是指期末从业人员数，没有期末从业人员数的，采用全年平均人员数代替。</w:t>
      </w:r>
    </w:p>
    <w:p>
      <w:pPr>
        <w:pStyle w:val="5"/>
        <w:keepNext w:val="0"/>
        <w:keepLines w:val="0"/>
        <w:spacing w:before="0" w:after="0" w:line="240" w:lineRule="auto"/>
        <w:ind w:left="701" w:leftChars="128" w:hanging="432" w:hangingChars="24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pStyle w:val="5"/>
        <w:keepNext w:val="0"/>
        <w:keepLines w:val="0"/>
        <w:spacing w:before="0" w:after="0" w:line="240" w:lineRule="auto"/>
        <w:ind w:left="701" w:leftChars="128" w:hanging="432" w:hangingChars="24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（3）资产总额，采用资产总计代替。</w:t>
      </w:r>
    </w:p>
    <w:p>
      <w:pPr>
        <w:pStyle w:val="12"/>
        <w:rPr>
          <w:rFonts w:hint="eastAsia"/>
          <w:color w:val="auto"/>
          <w:lang w:val="en-US" w:eastAsia="zh-CN"/>
        </w:rPr>
      </w:pPr>
    </w:p>
    <w:p>
      <w:pPr>
        <w:pStyle w:val="12"/>
        <w:rPr>
          <w:rFonts w:hint="eastAsia"/>
          <w:color w:val="auto"/>
          <w:lang w:val="en-US" w:eastAsia="zh-CN"/>
        </w:r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4"/>
          <w:szCs w:val="24"/>
        </w:rPr>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十二</w:t>
      </w:r>
      <w:r>
        <w:rPr>
          <w:rFonts w:hint="eastAsia" w:asciiTheme="minorEastAsia" w:hAnsiTheme="minorEastAsia" w:eastAsiaTheme="minorEastAsia" w:cstheme="minorEastAsia"/>
          <w:b/>
          <w:color w:val="auto"/>
          <w:sz w:val="24"/>
          <w:szCs w:val="24"/>
        </w:rPr>
        <w:t>）残疾人福利性单位声明函</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如适用请提供）</w:t>
      </w:r>
    </w:p>
    <w:p>
      <w:pPr>
        <w:keepNext w:val="0"/>
        <w:keepLines w:val="0"/>
        <w:pageBreakBefore w:val="0"/>
        <w:kinsoku/>
        <w:overflowPunct/>
        <w:bidi w:val="0"/>
        <w:spacing w:beforeAutospacing="0" w:afterAutospacing="0"/>
        <w:rPr>
          <w:rFonts w:hint="eastAsia" w:asciiTheme="minorEastAsia" w:hAnsiTheme="minorEastAsia" w:eastAsiaTheme="minorEastAsia" w:cstheme="minorEastAsia"/>
          <w:color w:val="auto"/>
        </w:rPr>
      </w:pPr>
    </w:p>
    <w:p>
      <w:pPr>
        <w:keepNext w:val="0"/>
        <w:keepLines w:val="0"/>
        <w:pageBreakBefore w:val="0"/>
        <w:kinsoku/>
        <w:overflowPunct/>
        <w:bidi w:val="0"/>
        <w:spacing w:beforeAutospacing="0" w:afterAutospacing="0" w:line="58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残疾人福利性单位声明函</w:t>
      </w:r>
    </w:p>
    <w:p>
      <w:pPr>
        <w:keepNext w:val="0"/>
        <w:keepLines w:val="0"/>
        <w:pageBreakBefore w:val="0"/>
        <w:kinsoku/>
        <w:overflowPunct/>
        <w:bidi w:val="0"/>
        <w:spacing w:beforeAutospacing="0" w:afterAutospacing="0" w:line="588" w:lineRule="exact"/>
        <w:ind w:firstLine="420" w:firstLineChars="200"/>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588"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overflowPunct/>
        <w:bidi w:val="0"/>
        <w:spacing w:beforeAutospacing="0" w:afterAutospacing="0" w:line="588"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pPr>
        <w:keepNext w:val="0"/>
        <w:keepLines w:val="0"/>
        <w:pageBreakBefore w:val="0"/>
        <w:kinsoku/>
        <w:overflowPunct/>
        <w:bidi w:val="0"/>
        <w:spacing w:beforeAutospacing="0" w:afterAutospacing="0" w:line="588" w:lineRule="exact"/>
        <w:ind w:firstLine="420" w:firstLineChars="200"/>
        <w:rPr>
          <w:rFonts w:hint="eastAsia" w:asciiTheme="minorEastAsia" w:hAnsiTheme="minorEastAsia" w:eastAsiaTheme="minorEastAsia" w:cstheme="minorEastAsia"/>
          <w:color w:val="auto"/>
          <w:sz w:val="21"/>
          <w:szCs w:val="21"/>
        </w:rPr>
      </w:pPr>
    </w:p>
    <w:p>
      <w:pPr>
        <w:keepNext w:val="0"/>
        <w:keepLines w:val="0"/>
        <w:pageBreakBefore w:val="0"/>
        <w:tabs>
          <w:tab w:val="left" w:pos="4860"/>
        </w:tabs>
        <w:kinsoku/>
        <w:overflowPunct/>
        <w:bidi w:val="0"/>
        <w:spacing w:beforeAutospacing="0" w:afterAutospacing="0" w:line="588" w:lineRule="exact"/>
        <w:ind w:right="1560"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单位名称（盖章）：</w:t>
      </w:r>
    </w:p>
    <w:p>
      <w:pPr>
        <w:keepNext w:val="0"/>
        <w:keepLines w:val="0"/>
        <w:pageBreakBefore w:val="0"/>
        <w:tabs>
          <w:tab w:val="left" w:pos="4860"/>
        </w:tabs>
        <w:kinsoku/>
        <w:overflowPunct/>
        <w:bidi w:val="0"/>
        <w:spacing w:beforeAutospacing="0" w:afterAutospacing="0" w:line="588" w:lineRule="exact"/>
        <w:ind w:right="1560" w:firstLine="420" w:firstLineChars="2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日  期：</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4"/>
          <w:szCs w:val="24"/>
          <w:lang w:val="en-US" w:eastAsia="zh-CN"/>
        </w:rPr>
        <w:t>十三</w:t>
      </w:r>
      <w:r>
        <w:rPr>
          <w:rFonts w:hint="eastAsia" w:asciiTheme="minorEastAsia" w:hAnsiTheme="minorEastAsia" w:eastAsiaTheme="minorEastAsia" w:cstheme="minorEastAsia"/>
          <w:b/>
          <w:color w:val="auto"/>
          <w:sz w:val="21"/>
          <w:szCs w:val="21"/>
        </w:rPr>
        <w:t>）省级以上监狱管理局、戒毒管理局（含新疆生产建设兵团）出具的属于监狱企业的证明文件</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 xml:space="preserve">    （如适用的话）</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kern w:val="0"/>
          <w:sz w:val="21"/>
          <w:szCs w:val="21"/>
        </w:rPr>
      </w:pP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r>
        <w:rPr>
          <w:rFonts w:hint="eastAsia" w:asciiTheme="minorEastAsia" w:hAnsiTheme="minorEastAsia" w:eastAsiaTheme="minorEastAsia" w:cstheme="minorEastAsia"/>
          <w:b/>
          <w:color w:val="auto"/>
          <w:sz w:val="21"/>
          <w:szCs w:val="21"/>
        </w:rPr>
        <w:t>（十</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）国家确定的认证机构出具的处于有效期之内的节能产品或环境标志产品认证证书的复印件、全国认证认可信息公共服务平台（http://cx.cnca.cn/ CertECloud/index/index/page）中获证产品信息查询页截屏打印件并加盖公章（当招标文件要求提供时）</w:t>
      </w:r>
    </w:p>
    <w:p>
      <w:pPr>
        <w:pStyle w:val="5"/>
        <w:keepNext w:val="0"/>
        <w:keepLines w:val="0"/>
        <w:pageBreakBefore w:val="0"/>
        <w:kinsoku/>
        <w:overflowPunct/>
        <w:bidi w:val="0"/>
        <w:spacing w:before="0" w:beforeLines="0" w:beforeAutospacing="0" w:after="0" w:afterLines="0" w:afterAutospacing="0" w:line="360" w:lineRule="auto"/>
        <w:ind w:firstLine="118"/>
        <w:rPr>
          <w:rFonts w:hint="eastAsia" w:asciiTheme="minorEastAsia" w:hAnsiTheme="minorEastAsia" w:eastAsiaTheme="minorEastAsia" w:cstheme="minorEastAsia"/>
          <w:b/>
          <w:color w:val="auto"/>
          <w:sz w:val="21"/>
          <w:szCs w:val="21"/>
        </w:rPr>
      </w:pP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24"/>
          <w:szCs w:val="24"/>
        </w:rPr>
        <w:br w:type="page"/>
      </w:r>
      <w:bookmarkStart w:id="336" w:name="_Toc457748064"/>
      <w:bookmarkStart w:id="337" w:name="_Toc25675"/>
      <w:bookmarkStart w:id="338" w:name="_Toc31984"/>
      <w:r>
        <w:rPr>
          <w:rFonts w:hint="eastAsia" w:asciiTheme="minorEastAsia" w:hAnsiTheme="minorEastAsia" w:eastAsiaTheme="minorEastAsia" w:cstheme="minorEastAsia"/>
          <w:color w:val="auto"/>
          <w:sz w:val="30"/>
          <w:szCs w:val="30"/>
          <w:lang w:val="en-US" w:eastAsia="zh-CN"/>
        </w:rPr>
        <w:t>投标人认为需要提供的</w:t>
      </w:r>
      <w:r>
        <w:rPr>
          <w:rFonts w:hint="eastAsia" w:asciiTheme="minorEastAsia" w:hAnsiTheme="minorEastAsia" w:eastAsiaTheme="minorEastAsia" w:cstheme="minorEastAsia"/>
          <w:color w:val="auto"/>
          <w:sz w:val="30"/>
          <w:szCs w:val="30"/>
        </w:rPr>
        <w:t>其他</w:t>
      </w:r>
      <w:r>
        <w:rPr>
          <w:rFonts w:hint="eastAsia" w:asciiTheme="minorEastAsia" w:hAnsiTheme="minorEastAsia" w:eastAsiaTheme="minorEastAsia" w:cstheme="minorEastAsia"/>
          <w:color w:val="auto"/>
          <w:sz w:val="30"/>
          <w:szCs w:val="30"/>
          <w:lang w:val="en-US" w:eastAsia="zh-CN"/>
        </w:rPr>
        <w:t>商务</w:t>
      </w:r>
      <w:r>
        <w:rPr>
          <w:rFonts w:hint="eastAsia" w:asciiTheme="minorEastAsia" w:hAnsiTheme="minorEastAsia" w:eastAsiaTheme="minorEastAsia" w:cstheme="minorEastAsia"/>
          <w:color w:val="auto"/>
          <w:sz w:val="30"/>
          <w:szCs w:val="30"/>
        </w:rPr>
        <w:t>资料</w:t>
      </w:r>
      <w:bookmarkEnd w:id="336"/>
      <w:bookmarkEnd w:id="337"/>
      <w:bookmarkEnd w:id="338"/>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napToGrid w:val="0"/>
          <w:color w:val="auto"/>
          <w:kern w:val="0"/>
          <w:sz w:val="21"/>
          <w:szCs w:val="21"/>
        </w:rPr>
        <w:t>招标文件要求提供的或投标人认为需要补充的其他资料</w:t>
      </w:r>
      <w:r>
        <w:rPr>
          <w:rFonts w:hint="eastAsia" w:asciiTheme="minorEastAsia" w:hAnsiTheme="minorEastAsia" w:eastAsiaTheme="minorEastAsia" w:cstheme="minorEastAsia"/>
          <w:color w:val="auto"/>
          <w:sz w:val="21"/>
          <w:szCs w:val="21"/>
        </w:rPr>
        <w:t>）</w:t>
      </w:r>
    </w:p>
    <w:p>
      <w:pPr>
        <w:autoSpaceDE w:val="0"/>
        <w:autoSpaceDN w:val="0"/>
        <w:spacing w:line="360" w:lineRule="auto"/>
        <w:ind w:right="74"/>
        <w:jc w:val="center"/>
        <w:outlineLvl w:val="0"/>
        <w:rPr>
          <w:rFonts w:hint="eastAsia" w:asciiTheme="minorEastAsia" w:hAnsiTheme="minorEastAsia" w:eastAsiaTheme="minorEastAsia" w:cstheme="minorEastAsia"/>
          <w:b/>
          <w:snapToGrid w:val="0"/>
          <w:color w:val="auto"/>
          <w:sz w:val="32"/>
          <w:szCs w:val="32"/>
        </w:rPr>
      </w:pPr>
      <w:r>
        <w:rPr>
          <w:rFonts w:hint="eastAsia" w:asciiTheme="minorEastAsia" w:hAnsiTheme="minorEastAsia" w:eastAsiaTheme="minorEastAsia" w:cstheme="minorEastAsia"/>
          <w:color w:val="auto"/>
          <w:sz w:val="24"/>
          <w:szCs w:val="24"/>
        </w:rPr>
        <w:br w:type="page"/>
      </w:r>
      <w:bookmarkStart w:id="339" w:name="_Toc22366"/>
      <w:r>
        <w:rPr>
          <w:rFonts w:hint="eastAsia" w:asciiTheme="minorEastAsia" w:hAnsiTheme="minorEastAsia" w:eastAsiaTheme="minorEastAsia" w:cstheme="minorEastAsia"/>
          <w:b/>
          <w:snapToGrid w:val="0"/>
          <w:color w:val="auto"/>
          <w:sz w:val="32"/>
          <w:szCs w:val="32"/>
        </w:rPr>
        <w:t>资格审查表（格式）</w:t>
      </w:r>
      <w:bookmarkEnd w:id="339"/>
    </w:p>
    <w:p>
      <w:pPr>
        <w:spacing w:before="120" w:beforeLines="50" w:line="240" w:lineRule="auto"/>
        <w:rPr>
          <w:rFonts w:hint="eastAsia" w:asciiTheme="minorEastAsia" w:hAnsiTheme="minorEastAsia" w:eastAsiaTheme="minorEastAsia" w:cstheme="minorEastAsia"/>
          <w:snapToGrid w:val="0"/>
          <w:color w:val="auto"/>
          <w:sz w:val="24"/>
          <w:u w:val="single"/>
          <w:lang w:eastAsia="zh-CN"/>
        </w:rPr>
      </w:pPr>
      <w:r>
        <w:rPr>
          <w:rFonts w:hint="eastAsia" w:asciiTheme="minorEastAsia" w:hAnsiTheme="minorEastAsia" w:eastAsiaTheme="minorEastAsia" w:cstheme="minorEastAsia"/>
          <w:snapToGrid w:val="0"/>
          <w:color w:val="auto"/>
          <w:sz w:val="24"/>
        </w:rPr>
        <w:t>项目名称：</w:t>
      </w:r>
      <w:r>
        <w:rPr>
          <w:rFonts w:hint="eastAsia" w:asciiTheme="minorEastAsia" w:hAnsiTheme="minorEastAsia" w:eastAsiaTheme="minorEastAsia" w:cstheme="minorEastAsia"/>
          <w:snapToGrid w:val="0"/>
          <w:color w:val="auto"/>
          <w:sz w:val="24"/>
          <w:lang w:eastAsia="zh-CN"/>
        </w:rPr>
        <w:t>彩色多普勒超声诊断仪</w:t>
      </w:r>
    </w:p>
    <w:p>
      <w:pPr>
        <w:spacing w:line="240" w:lineRule="auto"/>
        <w:rPr>
          <w:rFonts w:hint="eastAsia" w:asciiTheme="minorEastAsia" w:hAnsiTheme="minorEastAsia" w:eastAsiaTheme="minorEastAsia" w:cstheme="minorEastAsia"/>
          <w:snapToGrid w:val="0"/>
          <w:color w:val="auto"/>
          <w:sz w:val="24"/>
          <w:lang w:eastAsia="zh-CN"/>
        </w:rPr>
      </w:pPr>
      <w:r>
        <w:rPr>
          <w:rFonts w:hint="eastAsia" w:asciiTheme="minorEastAsia" w:hAnsiTheme="minorEastAsia" w:eastAsiaTheme="minorEastAsia" w:cstheme="minorEastAsia"/>
          <w:snapToGrid w:val="0"/>
          <w:color w:val="auto"/>
          <w:sz w:val="24"/>
          <w:lang w:eastAsia="zh-CN"/>
        </w:rPr>
        <w:t>项目编号</w:t>
      </w:r>
      <w:r>
        <w:rPr>
          <w:rFonts w:hint="eastAsia" w:asciiTheme="minorEastAsia" w:hAnsiTheme="minorEastAsia" w:eastAsiaTheme="minorEastAsia" w:cstheme="minorEastAsia"/>
          <w:snapToGrid w:val="0"/>
          <w:color w:val="auto"/>
          <w:sz w:val="24"/>
        </w:rPr>
        <w:t>：0613-</w:t>
      </w:r>
      <w:r>
        <w:rPr>
          <w:rFonts w:hint="eastAsia" w:asciiTheme="minorEastAsia" w:hAnsiTheme="minorEastAsia" w:eastAsiaTheme="minorEastAsia" w:cstheme="minorEastAsia"/>
          <w:snapToGrid w:val="0"/>
          <w:color w:val="auto"/>
          <w:sz w:val="24"/>
          <w:lang w:eastAsia="zh-CN"/>
        </w:rPr>
        <w:t>247123065821</w:t>
      </w:r>
    </w:p>
    <w:tbl>
      <w:tblPr>
        <w:tblStyle w:val="3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05"/>
        <w:gridCol w:w="2503"/>
        <w:gridCol w:w="362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3" w:hRule="atLeast"/>
        </w:trPr>
        <w:tc>
          <w:tcPr>
            <w:tcW w:w="805" w:type="dxa"/>
            <w:vAlign w:val="center"/>
          </w:tcPr>
          <w:p>
            <w:pPr>
              <w:autoSpaceDE w:val="0"/>
              <w:autoSpaceDN w:val="0"/>
              <w:spacing w:line="240" w:lineRule="auto"/>
              <w:jc w:val="center"/>
              <w:rPr>
                <w:rFonts w:hint="eastAsia" w:asciiTheme="minorEastAsia" w:hAnsiTheme="minorEastAsia" w:eastAsiaTheme="minorEastAsia" w:cstheme="minorEastAsia"/>
                <w:b/>
                <w:bCs/>
                <w:snapToGrid w:val="0"/>
                <w:color w:val="auto"/>
                <w:szCs w:val="21"/>
              </w:rPr>
            </w:pPr>
            <w:r>
              <w:rPr>
                <w:rFonts w:hint="eastAsia" w:asciiTheme="minorEastAsia" w:hAnsiTheme="minorEastAsia" w:eastAsiaTheme="minorEastAsia" w:cstheme="minorEastAsia"/>
                <w:b/>
                <w:bCs/>
                <w:snapToGrid w:val="0"/>
                <w:color w:val="auto"/>
                <w:szCs w:val="21"/>
              </w:rPr>
              <w:t>序号</w:t>
            </w:r>
          </w:p>
        </w:tc>
        <w:tc>
          <w:tcPr>
            <w:tcW w:w="2503" w:type="dxa"/>
            <w:vAlign w:val="center"/>
          </w:tcPr>
          <w:p>
            <w:pPr>
              <w:autoSpaceDE w:val="0"/>
              <w:autoSpaceDN w:val="0"/>
              <w:snapToGrid w:val="0"/>
              <w:spacing w:line="240" w:lineRule="auto"/>
              <w:jc w:val="center"/>
              <w:rPr>
                <w:rFonts w:hint="eastAsia" w:asciiTheme="minorEastAsia" w:hAnsiTheme="minorEastAsia" w:eastAsiaTheme="minorEastAsia" w:cstheme="minorEastAsia"/>
                <w:b/>
                <w:bCs/>
                <w:snapToGrid w:val="0"/>
                <w:color w:val="auto"/>
                <w:szCs w:val="21"/>
              </w:rPr>
            </w:pPr>
            <w:r>
              <w:rPr>
                <w:rFonts w:hint="eastAsia" w:asciiTheme="minorEastAsia" w:hAnsiTheme="minorEastAsia" w:eastAsiaTheme="minorEastAsia" w:cstheme="minorEastAsia"/>
                <w:b/>
                <w:bCs/>
                <w:snapToGrid w:val="0"/>
                <w:color w:val="auto"/>
                <w:szCs w:val="21"/>
              </w:rPr>
              <w:t>资格要求</w:t>
            </w:r>
          </w:p>
        </w:tc>
        <w:tc>
          <w:tcPr>
            <w:tcW w:w="3621" w:type="dxa"/>
            <w:tcBorders>
              <w:bottom w:val="single" w:color="auto" w:sz="4" w:space="0"/>
            </w:tcBorders>
            <w:vAlign w:val="top"/>
          </w:tcPr>
          <w:p>
            <w:pPr>
              <w:autoSpaceDE w:val="0"/>
              <w:autoSpaceDN w:val="0"/>
              <w:snapToGrid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snapToGrid w:val="0"/>
                <w:color w:val="auto"/>
                <w:szCs w:val="21"/>
              </w:rPr>
              <w:t>要求提供的证明材料</w:t>
            </w:r>
          </w:p>
        </w:tc>
        <w:tc>
          <w:tcPr>
            <w:tcW w:w="1531" w:type="dxa"/>
            <w:tcBorders>
              <w:bottom w:val="single" w:color="auto" w:sz="4" w:space="0"/>
            </w:tcBorders>
            <w:vAlign w:val="center"/>
          </w:tcPr>
          <w:p>
            <w:pPr>
              <w:autoSpaceDE w:val="0"/>
              <w:autoSpaceDN w:val="0"/>
              <w:snapToGrid w:val="0"/>
              <w:spacing w:line="24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响应内容所在投标文件页数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bCs/>
                <w:snapToGrid w:val="0"/>
                <w:color w:val="auto"/>
                <w:szCs w:val="21"/>
              </w:rPr>
              <w:t>符合《中华人民共和国政府采购法》第二十二条规定的供应商。</w:t>
            </w:r>
          </w:p>
        </w:tc>
        <w:tc>
          <w:tcPr>
            <w:tcW w:w="3621" w:type="dxa"/>
            <w:tcBorders>
              <w:tl2br w:val="single" w:color="auto" w:sz="4" w:space="0"/>
            </w:tcBorders>
            <w:vAlign w:val="center"/>
          </w:tcPr>
          <w:p>
            <w:pPr>
              <w:autoSpaceDE w:val="0"/>
              <w:autoSpaceDN w:val="0"/>
              <w:spacing w:line="240" w:lineRule="auto"/>
              <w:rPr>
                <w:rFonts w:hint="eastAsia" w:asciiTheme="minorEastAsia" w:hAnsiTheme="minorEastAsia" w:eastAsiaTheme="minorEastAsia" w:cstheme="minorEastAsia"/>
                <w:bCs/>
                <w:snapToGrid w:val="0"/>
                <w:color w:val="auto"/>
                <w:szCs w:val="21"/>
              </w:rPr>
            </w:pP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lang w:val="en-US" w:eastAsia="zh-CN"/>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具有独立承担民事责任的能力</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具有良好的商业信誉和健全的财务会计制度</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近</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2022年和2023年</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经审计的</w:t>
            </w:r>
            <w:r>
              <w:rPr>
                <w:rFonts w:hint="eastAsia" w:asciiTheme="minorEastAsia" w:hAnsiTheme="minorEastAsia" w:eastAsiaTheme="minorEastAsia" w:cstheme="minorEastAsia"/>
                <w:color w:val="auto"/>
                <w:szCs w:val="21"/>
              </w:rPr>
              <w:t>财务报告或银行资信证明或财政部门认可的政府采购专业担保机构出具的投标担保函</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具有履行合同所必需的设备和专业技术能力</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投标人基本情况</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有依法缴纳税收和社会保障资金的良好记录</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近6个月内任意一个月的缴税</w:t>
            </w:r>
            <w:r>
              <w:rPr>
                <w:rFonts w:hint="eastAsia" w:asciiTheme="minorEastAsia" w:hAnsiTheme="minorEastAsia" w:eastAsiaTheme="minorEastAsia" w:cstheme="minorEastAsia"/>
                <w:color w:val="auto"/>
                <w:szCs w:val="21"/>
                <w:lang w:val="en-US" w:eastAsia="zh-CN"/>
              </w:rPr>
              <w:t>证明</w:t>
            </w:r>
            <w:r>
              <w:rPr>
                <w:rFonts w:hint="eastAsia" w:asciiTheme="minorEastAsia" w:hAnsiTheme="minorEastAsia" w:eastAsiaTheme="minorEastAsia" w:cstheme="minorEastAsia"/>
                <w:color w:val="auto"/>
                <w:szCs w:val="21"/>
              </w:rPr>
              <w:t>；近</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个月内任意一个月的缴纳社会保险的</w:t>
            </w:r>
            <w:r>
              <w:rPr>
                <w:rFonts w:hint="eastAsia" w:asciiTheme="minorEastAsia" w:hAnsiTheme="minorEastAsia" w:eastAsiaTheme="minorEastAsia" w:cstheme="minorEastAsia"/>
                <w:color w:val="auto"/>
                <w:szCs w:val="21"/>
                <w:lang w:val="en-US" w:eastAsia="zh-CN"/>
              </w:rPr>
              <w:t>证明文件</w:t>
            </w:r>
            <w:r>
              <w:rPr>
                <w:rFonts w:hint="eastAsia" w:asciiTheme="minorEastAsia" w:hAnsiTheme="minorEastAsia" w:eastAsiaTheme="minorEastAsia" w:cstheme="minorEastAsia"/>
                <w:color w:val="auto"/>
                <w:szCs w:val="21"/>
              </w:rPr>
              <w:t>；依法免税或不需要缴纳社会保障资金的证明</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参加本次政府采购活动前三年内，在经营活动中没有重大违法记录</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没有重大违法记录的书面声明</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bCs/>
                <w:snapToGrid w:val="0"/>
                <w:color w:val="auto"/>
                <w:szCs w:val="21"/>
              </w:rPr>
              <w:t>未被“信用中国”网站（www.creditchina.gov.cn）、中国政府采购网（www.ccgp.gov.cn）列入失信被执行人、重大税收违法案件当事人名单、政府采购严重违法失信名单</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（无需提供，由招标人或招标代理机构在资格审查时从 “信用中国”</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中国政府采购网</w:t>
            </w:r>
            <w:r>
              <w:rPr>
                <w:rFonts w:hint="eastAsia" w:asciiTheme="minorEastAsia" w:hAnsiTheme="minorEastAsia" w:eastAsiaTheme="minorEastAsia" w:cstheme="minorEastAsia"/>
                <w:color w:val="auto"/>
                <w:szCs w:val="21"/>
              </w:rPr>
              <w:t>网站查询并打印）</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在投标截止时间前三年内投标人或其单位负责人、拟委任的项目负责人无行贿犯罪行为</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没有</w:t>
            </w:r>
            <w:r>
              <w:rPr>
                <w:rFonts w:hint="eastAsia" w:asciiTheme="minorEastAsia" w:hAnsiTheme="minorEastAsia" w:eastAsiaTheme="minorEastAsia" w:cstheme="minorEastAsia"/>
                <w:color w:val="auto"/>
                <w:szCs w:val="21"/>
                <w:lang w:val="en-US" w:eastAsia="zh-CN"/>
              </w:rPr>
              <w:t>行贿犯罪</w:t>
            </w:r>
            <w:r>
              <w:rPr>
                <w:rFonts w:hint="eastAsia" w:asciiTheme="minorEastAsia" w:hAnsiTheme="minorEastAsia" w:eastAsiaTheme="minorEastAsia" w:cstheme="minorEastAsia"/>
                <w:color w:val="auto"/>
                <w:szCs w:val="21"/>
              </w:rPr>
              <w:t>记录的书面声明</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与本项目招标代理机构的负责人为同一人或者存在直接控股和管理关系的供应商不得参加本次政府采购活动</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投标人控股及管理关系情况申报表</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单位负责人为同一人或者存在直接控股、管理关系的不同投标人，不得同时参加同一包件的投标或者未划分包件的同一招标项目的投标</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color w:val="auto"/>
                <w:szCs w:val="21"/>
              </w:rPr>
              <w:t>投标人控股及管理关系情况申报表</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kern w:val="2"/>
                <w:sz w:val="21"/>
                <w:szCs w:val="21"/>
                <w:lang w:val="en-US" w:eastAsia="zh-CN" w:bidi="ar-SA"/>
              </w:rPr>
            </w:pPr>
            <w:r>
              <w:rPr>
                <w:rFonts w:hint="eastAsia" w:asciiTheme="minorEastAsia" w:hAnsiTheme="minorEastAsia" w:eastAsiaTheme="minorEastAsia" w:cstheme="minorEastAsia"/>
                <w:color w:val="auto"/>
                <w:szCs w:val="21"/>
              </w:rPr>
              <w:t>为本项目提供整体设计、规范编制或者项目管理、监理、检测等服务的供应商不得参加本次政府采购活动</w:t>
            </w:r>
            <w:r>
              <w:rPr>
                <w:rFonts w:hint="eastAsia" w:asciiTheme="minorEastAsia" w:hAnsiTheme="minorEastAsia" w:eastAsiaTheme="minorEastAsia" w:cstheme="minorEastAsia"/>
                <w:bCs/>
                <w:snapToGrid w:val="0"/>
                <w:color w:val="auto"/>
                <w:szCs w:val="21"/>
              </w:rPr>
              <w:t>。</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kern w:val="2"/>
                <w:sz w:val="21"/>
                <w:szCs w:val="21"/>
                <w:lang w:val="en-US" w:eastAsia="zh-CN" w:bidi="ar-SA"/>
              </w:rPr>
            </w:pPr>
            <w:r>
              <w:rPr>
                <w:rFonts w:hint="eastAsia" w:asciiTheme="minorEastAsia" w:hAnsiTheme="minorEastAsia" w:eastAsiaTheme="minorEastAsia" w:cstheme="minorEastAsia"/>
                <w:color w:val="auto"/>
                <w:szCs w:val="21"/>
              </w:rPr>
              <w:t>未提供整体设计、规范编制或者项目管理、监理、检测服务的书面声明</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djustRightInd/>
              <w:spacing w:line="240" w:lineRule="auto"/>
              <w:jc w:val="left"/>
              <w:textAlignment w:val="auto"/>
              <w:rPr>
                <w:rFonts w:hint="eastAsia" w:asciiTheme="minorEastAsia" w:hAnsiTheme="minorEastAsia" w:eastAsiaTheme="minorEastAsia" w:cstheme="minorEastAsia"/>
                <w:bCs/>
                <w:snapToGrid w:val="0"/>
                <w:color w:val="auto"/>
                <w:szCs w:val="21"/>
                <w:u w:val="single"/>
              </w:rPr>
            </w:pPr>
            <w:r>
              <w:rPr>
                <w:rFonts w:hint="eastAsia" w:asciiTheme="minorEastAsia" w:hAnsiTheme="minorEastAsia" w:eastAsiaTheme="minorEastAsia" w:cstheme="minorEastAsia"/>
                <w:iCs/>
                <w:color w:val="auto"/>
                <w:szCs w:val="21"/>
              </w:rPr>
              <w:t>资质要求：（1）投标产品具备国家相关行业主管部门颁发的有效期内的医疗器械注册证（备案证）。（2）投标人具备与本次招标内容相适应的医疗器械经营许可证（备案表）</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bCs/>
                <w:snapToGrid w:val="0"/>
                <w:color w:val="auto"/>
                <w:szCs w:val="21"/>
              </w:rPr>
              <w:t>资质证书复印件</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utoSpaceDE w:val="0"/>
              <w:autoSpaceDN w:val="0"/>
              <w:spacing w:line="240" w:lineRule="auto"/>
              <w:jc w:val="left"/>
              <w:rPr>
                <w:rFonts w:hint="eastAsia" w:asciiTheme="minorEastAsia" w:hAnsiTheme="minorEastAsia" w:eastAsiaTheme="minorEastAsia" w:cstheme="minorEastAsia"/>
                <w:iCs/>
                <w:color w:val="auto"/>
                <w:kern w:val="2"/>
                <w:sz w:val="21"/>
                <w:szCs w:val="21"/>
                <w:lang w:val="en-US" w:eastAsia="zh-CN" w:bidi="ar-SA"/>
              </w:rPr>
            </w:pPr>
            <w:r>
              <w:rPr>
                <w:rFonts w:hint="eastAsia" w:asciiTheme="minorEastAsia" w:hAnsiTheme="minorEastAsia" w:eastAsiaTheme="minorEastAsia" w:cstheme="minorEastAsia"/>
                <w:iCs/>
                <w:color w:val="auto"/>
                <w:szCs w:val="21"/>
              </w:rPr>
              <w:t>本项目不接受进口产品。</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iCs/>
                <w:color w:val="auto"/>
                <w:kern w:val="2"/>
                <w:sz w:val="21"/>
                <w:szCs w:val="21"/>
                <w:highlight w:val="yellow"/>
                <w:lang w:val="en-US" w:eastAsia="zh-CN" w:bidi="ar-SA"/>
              </w:rPr>
            </w:pPr>
            <w:r>
              <w:rPr>
                <w:rFonts w:hint="eastAsia" w:asciiTheme="minorEastAsia" w:hAnsiTheme="minorEastAsia" w:eastAsiaTheme="minorEastAsia" w:cstheme="minorEastAsia"/>
                <w:iCs/>
                <w:color w:val="auto"/>
                <w:szCs w:val="21"/>
                <w:lang w:val="en-US" w:eastAsia="zh-CN"/>
              </w:rPr>
              <w:t>投标分项报价表</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27" w:hRule="atLeast"/>
        </w:trPr>
        <w:tc>
          <w:tcPr>
            <w:tcW w:w="805" w:type="dxa"/>
            <w:vAlign w:val="center"/>
          </w:tcPr>
          <w:p>
            <w:pPr>
              <w:numPr>
                <w:ilvl w:val="0"/>
                <w:numId w:val="23"/>
              </w:numPr>
              <w:adjustRightInd/>
              <w:spacing w:line="240" w:lineRule="auto"/>
              <w:ind w:left="425" w:leftChars="0" w:hanging="425" w:firstLineChars="0"/>
              <w:jc w:val="center"/>
              <w:textAlignment w:val="auto"/>
              <w:rPr>
                <w:rFonts w:hint="eastAsia" w:asciiTheme="minorEastAsia" w:hAnsiTheme="minorEastAsia" w:eastAsiaTheme="minorEastAsia" w:cstheme="minorEastAsia"/>
                <w:bCs/>
                <w:snapToGrid w:val="0"/>
                <w:color w:val="auto"/>
                <w:szCs w:val="21"/>
              </w:rPr>
            </w:pPr>
          </w:p>
        </w:tc>
        <w:tc>
          <w:tcPr>
            <w:tcW w:w="2503" w:type="dxa"/>
            <w:vAlign w:val="center"/>
          </w:tcPr>
          <w:p>
            <w:pPr>
              <w:autoSpaceDE w:val="0"/>
              <w:autoSpaceDN w:val="0"/>
              <w:spacing w:line="240" w:lineRule="auto"/>
              <w:jc w:val="left"/>
              <w:rPr>
                <w:rFonts w:hint="eastAsia" w:asciiTheme="minorEastAsia" w:hAnsiTheme="minorEastAsia" w:eastAsiaTheme="minorEastAsia" w:cstheme="minorEastAsia"/>
                <w:bCs/>
                <w:snapToGrid w:val="0"/>
                <w:color w:val="auto"/>
                <w:szCs w:val="21"/>
              </w:rPr>
            </w:pPr>
            <w:r>
              <w:rPr>
                <w:rFonts w:hint="eastAsia" w:asciiTheme="minorEastAsia" w:hAnsiTheme="minorEastAsia" w:eastAsiaTheme="minorEastAsia" w:cstheme="minorEastAsia"/>
                <w:bCs/>
                <w:snapToGrid w:val="0"/>
                <w:color w:val="auto"/>
                <w:szCs w:val="21"/>
              </w:rPr>
              <w:t>本次招标</w:t>
            </w:r>
            <w:r>
              <w:rPr>
                <w:rFonts w:hint="eastAsia" w:asciiTheme="minorEastAsia" w:hAnsiTheme="minorEastAsia" w:eastAsiaTheme="minorEastAsia" w:cstheme="minorEastAsia"/>
                <w:bCs/>
                <w:snapToGrid w:val="0"/>
                <w:color w:val="auto"/>
                <w:szCs w:val="21"/>
                <w:lang w:val="en-US" w:eastAsia="zh-CN"/>
              </w:rPr>
              <w:t>不</w:t>
            </w:r>
            <w:r>
              <w:rPr>
                <w:rFonts w:hint="eastAsia" w:asciiTheme="minorEastAsia" w:hAnsiTheme="minorEastAsia" w:eastAsiaTheme="minorEastAsia" w:cstheme="minorEastAsia"/>
                <w:bCs/>
                <w:snapToGrid w:val="0"/>
                <w:color w:val="auto"/>
                <w:szCs w:val="21"/>
              </w:rPr>
              <w:t>接受联合体投标。</w:t>
            </w:r>
          </w:p>
        </w:tc>
        <w:tc>
          <w:tcPr>
            <w:tcW w:w="3621" w:type="dxa"/>
            <w:vAlign w:val="center"/>
          </w:tcPr>
          <w:p>
            <w:pPr>
              <w:autoSpaceDE w:val="0"/>
              <w:autoSpaceDN w:val="0"/>
              <w:spacing w:line="240" w:lineRule="auto"/>
              <w:jc w:val="center"/>
              <w:rPr>
                <w:rFonts w:hint="eastAsia" w:asciiTheme="minorEastAsia" w:hAnsiTheme="minorEastAsia" w:eastAsiaTheme="minorEastAsia" w:cstheme="minorEastAsia"/>
                <w:bCs/>
                <w:i/>
                <w:snapToGrid w:val="0"/>
                <w:color w:val="auto"/>
                <w:szCs w:val="21"/>
              </w:rPr>
            </w:pPr>
            <w:r>
              <w:rPr>
                <w:rFonts w:hint="eastAsia" w:asciiTheme="minorEastAsia" w:hAnsiTheme="minorEastAsia" w:eastAsiaTheme="minorEastAsia" w:cstheme="minorEastAsia"/>
                <w:bCs/>
                <w:iCs/>
                <w:snapToGrid w:val="0"/>
                <w:color w:val="auto"/>
                <w:szCs w:val="21"/>
                <w:lang w:val="en-US" w:eastAsia="zh-CN"/>
              </w:rPr>
              <w:t>独立投标</w:t>
            </w:r>
          </w:p>
        </w:tc>
        <w:tc>
          <w:tcPr>
            <w:tcW w:w="1531" w:type="dxa"/>
            <w:vAlign w:val="center"/>
          </w:tcPr>
          <w:p>
            <w:pPr>
              <w:autoSpaceDE w:val="0"/>
              <w:autoSpaceDN w:val="0"/>
              <w:spacing w:line="240" w:lineRule="auto"/>
              <w:jc w:val="center"/>
              <w:rPr>
                <w:rFonts w:hint="eastAsia" w:asciiTheme="minorEastAsia" w:hAnsiTheme="minorEastAsia" w:eastAsiaTheme="minorEastAsia" w:cstheme="minorEastAsia"/>
                <w:bCs/>
                <w:snapToGrid w:val="0"/>
                <w:color w:val="auto"/>
                <w:szCs w:val="21"/>
                <w:lang w:val="en-US" w:eastAsia="zh-CN"/>
              </w:rPr>
            </w:pPr>
            <w:r>
              <w:rPr>
                <w:rFonts w:hint="eastAsia" w:asciiTheme="minorEastAsia" w:hAnsiTheme="minorEastAsia" w:eastAsiaTheme="minorEastAsia" w:cstheme="minorEastAsia"/>
                <w:bCs/>
                <w:snapToGrid w:val="0"/>
                <w:color w:val="auto"/>
                <w:szCs w:val="21"/>
                <w:lang w:val="en-US" w:eastAsia="zh-CN"/>
              </w:rPr>
              <w:t>/</w:t>
            </w:r>
          </w:p>
        </w:tc>
      </w:tr>
    </w:tbl>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24"/>
          <w:szCs w:val="24"/>
        </w:rPr>
      </w:pP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24"/>
          <w:szCs w:val="24"/>
        </w:rPr>
        <w:br w:type="page"/>
      </w:r>
      <w:bookmarkStart w:id="340" w:name="_Toc457748065"/>
      <w:bookmarkStart w:id="341" w:name="_Toc29791"/>
      <w:bookmarkStart w:id="342" w:name="_Toc1019"/>
      <w:r>
        <w:rPr>
          <w:rFonts w:hint="eastAsia" w:asciiTheme="minorEastAsia" w:hAnsiTheme="minorEastAsia" w:eastAsiaTheme="minorEastAsia" w:cstheme="minorEastAsia"/>
          <w:color w:val="auto"/>
          <w:sz w:val="30"/>
          <w:szCs w:val="30"/>
        </w:rPr>
        <w:t>技术偏差表</w:t>
      </w:r>
      <w:bookmarkEnd w:id="340"/>
      <w:bookmarkEnd w:id="341"/>
      <w:bookmarkEnd w:id="342"/>
    </w:p>
    <w:tbl>
      <w:tblPr>
        <w:tblStyle w:val="33"/>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679"/>
        <w:gridCol w:w="1527"/>
        <w:gridCol w:w="1817"/>
        <w:gridCol w:w="1557"/>
        <w:gridCol w:w="168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招标文件章节及条款号</w:t>
            </w: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招标要求</w:t>
            </w: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投标文件章节及条款号</w:t>
            </w: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投标响应</w:t>
            </w: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c>
          <w:tcPr>
            <w:tcW w:w="679"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2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81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557"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682"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c>
          <w:tcPr>
            <w:tcW w:w="1038" w:type="dxa"/>
            <w:vAlign w:val="center"/>
          </w:tcPr>
          <w:p>
            <w:pPr>
              <w:keepNext w:val="0"/>
              <w:keepLines w:val="0"/>
              <w:pageBreakBefore w:val="0"/>
              <w:kinsoku/>
              <w:overflowPunct/>
              <w:bidi w:val="0"/>
              <w:spacing w:beforeAutospacing="0" w:afterAutospacing="0" w:line="400" w:lineRule="exact"/>
              <w:jc w:val="center"/>
              <w:rPr>
                <w:rFonts w:hint="eastAsia" w:asciiTheme="minorEastAsia" w:hAnsiTheme="minorEastAsia" w:eastAsiaTheme="minorEastAsia" w:cstheme="minorEastAsia"/>
                <w:color w:val="auto"/>
                <w:sz w:val="21"/>
                <w:szCs w:val="21"/>
              </w:rPr>
            </w:pPr>
          </w:p>
        </w:tc>
      </w:tr>
    </w:tbl>
    <w:p>
      <w:pPr>
        <w:spacing w:after="12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 w:val="21"/>
          <w:szCs w:val="21"/>
        </w:rPr>
        <w:t>说明：</w:t>
      </w:r>
      <w:r>
        <w:rPr>
          <w:rFonts w:hint="eastAsia" w:asciiTheme="minorEastAsia" w:hAnsiTheme="minorEastAsia" w:eastAsiaTheme="minorEastAsia" w:cstheme="minorEastAsia"/>
          <w:b w:val="0"/>
          <w:bCs w:val="0"/>
          <w:color w:val="auto"/>
          <w:szCs w:val="21"/>
        </w:rPr>
        <w:t>本表是对招标文件第</w:t>
      </w:r>
      <w:r>
        <w:rPr>
          <w:rFonts w:hint="eastAsia" w:asciiTheme="minorEastAsia" w:hAnsiTheme="minorEastAsia" w:eastAsiaTheme="minorEastAsia" w:cstheme="minorEastAsia"/>
          <w:b w:val="0"/>
          <w:bCs w:val="0"/>
          <w:color w:val="auto"/>
          <w:szCs w:val="21"/>
          <w:lang w:val="en-US" w:eastAsia="zh-CN"/>
        </w:rPr>
        <w:t>五</w:t>
      </w:r>
      <w:r>
        <w:rPr>
          <w:rFonts w:hint="eastAsia" w:asciiTheme="minorEastAsia" w:hAnsiTheme="minorEastAsia" w:eastAsiaTheme="minorEastAsia" w:cstheme="minorEastAsia"/>
          <w:b w:val="0"/>
          <w:bCs w:val="0"/>
          <w:color w:val="auto"/>
          <w:szCs w:val="21"/>
        </w:rPr>
        <w:t>章《</w:t>
      </w:r>
      <w:r>
        <w:rPr>
          <w:rFonts w:hint="eastAsia" w:asciiTheme="minorEastAsia" w:hAnsiTheme="minorEastAsia" w:eastAsiaTheme="minorEastAsia" w:cstheme="minorEastAsia"/>
          <w:b w:val="0"/>
          <w:bCs w:val="0"/>
          <w:color w:val="auto"/>
          <w:szCs w:val="21"/>
          <w:lang w:eastAsia="zh-CN"/>
        </w:rPr>
        <w:t>采购需求</w:t>
      </w:r>
      <w:r>
        <w:rPr>
          <w:rFonts w:hint="eastAsia" w:asciiTheme="minorEastAsia" w:hAnsiTheme="minorEastAsia" w:eastAsiaTheme="minorEastAsia" w:cstheme="minorEastAsia"/>
          <w:b w:val="0"/>
          <w:bCs w:val="0"/>
          <w:color w:val="auto"/>
          <w:szCs w:val="21"/>
        </w:rPr>
        <w:t>》的</w:t>
      </w:r>
      <w:r>
        <w:rPr>
          <w:rFonts w:hint="eastAsia" w:asciiTheme="minorEastAsia" w:hAnsiTheme="minorEastAsia" w:eastAsiaTheme="minorEastAsia" w:cstheme="minorEastAsia"/>
          <w:b/>
          <w:bCs/>
          <w:color w:val="auto"/>
          <w:sz w:val="28"/>
          <w:szCs w:val="28"/>
          <w:lang w:val="en-US" w:eastAsia="zh-CN"/>
        </w:rPr>
        <w:t>所有条款</w:t>
      </w:r>
      <w:r>
        <w:rPr>
          <w:rFonts w:hint="eastAsia" w:asciiTheme="minorEastAsia" w:hAnsiTheme="minorEastAsia" w:eastAsiaTheme="minorEastAsia" w:cstheme="minorEastAsia"/>
          <w:b w:val="0"/>
          <w:bCs w:val="0"/>
          <w:color w:val="auto"/>
          <w:szCs w:val="21"/>
        </w:rPr>
        <w:t>逐条应答，投标人可自行设定格式。如未逐条应答，是投标人的风险，则按不利于投标人的原则评审，并可能导致投标</w:t>
      </w:r>
      <w:r>
        <w:rPr>
          <w:rFonts w:hint="eastAsia" w:asciiTheme="minorEastAsia" w:hAnsiTheme="minorEastAsia" w:eastAsiaTheme="minorEastAsia" w:cstheme="minorEastAsia"/>
          <w:b w:val="0"/>
          <w:bCs w:val="0"/>
          <w:color w:val="auto"/>
          <w:szCs w:val="21"/>
          <w:lang w:eastAsia="zh-CN"/>
        </w:rPr>
        <w:t>无效</w:t>
      </w:r>
      <w:r>
        <w:rPr>
          <w:rFonts w:hint="eastAsia" w:asciiTheme="minorEastAsia" w:hAnsiTheme="minorEastAsia" w:eastAsiaTheme="minorEastAsia" w:cstheme="minorEastAsia"/>
          <w:b w:val="0"/>
          <w:bCs w:val="0"/>
          <w:color w:val="auto"/>
          <w:szCs w:val="21"/>
        </w:rPr>
        <w:t>。</w:t>
      </w:r>
    </w:p>
    <w:p>
      <w:pPr>
        <w:spacing w:after="12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首先对实现或满足程度明确作出“满足”、“不满足”，或 “部分满足”的应答，然后作出具体、详细的说明。</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Cs w:val="21"/>
        </w:rPr>
        <w:t>凡采用“详见”，“参见”方式说明的，应添加指向性的章节及页码。</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b/>
          <w:color w:val="auto"/>
          <w:sz w:val="21"/>
          <w:szCs w:val="21"/>
        </w:rPr>
      </w:pPr>
    </w:p>
    <w:p>
      <w:pPr>
        <w:keepNext w:val="0"/>
        <w:keepLines w:val="0"/>
        <w:pageBreakBefore w:val="0"/>
        <w:tabs>
          <w:tab w:val="left" w:pos="794"/>
          <w:tab w:val="left" w:pos="2129"/>
          <w:tab w:val="left" w:pos="3209"/>
          <w:tab w:val="left" w:pos="4289"/>
          <w:tab w:val="left" w:pos="5369"/>
          <w:tab w:val="left" w:pos="6449"/>
          <w:tab w:val="left" w:pos="7529"/>
          <w:tab w:val="left" w:pos="9074"/>
        </w:tabs>
        <w:kinsoku/>
        <w:overflowPunct/>
        <w:autoSpaceDE w:val="0"/>
        <w:autoSpaceDN w:val="0"/>
        <w:bidi w:val="0"/>
        <w:adjustRightInd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（盖单位公章）</w:t>
      </w:r>
    </w:p>
    <w:p>
      <w:pPr>
        <w:keepNext w:val="0"/>
        <w:keepLines w:val="0"/>
        <w:pageBreakBefore w:val="0"/>
        <w:kinsoku/>
        <w:overflowPunct/>
        <w:topLinePunct/>
        <w:bidi w:val="0"/>
        <w:spacing w:beforeAutospacing="0" w:afterAutospacing="0"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法定代表人（单位负责人）或其委托代理人：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24"/>
          <w:szCs w:val="24"/>
        </w:rPr>
        <w:br w:type="page"/>
      </w:r>
      <w:bookmarkStart w:id="343" w:name="_Toc14227"/>
      <w:bookmarkStart w:id="344" w:name="_Toc1632"/>
      <w:r>
        <w:rPr>
          <w:rFonts w:hint="eastAsia" w:asciiTheme="minorEastAsia" w:hAnsiTheme="minorEastAsia" w:eastAsiaTheme="minorEastAsia" w:cstheme="minorEastAsia"/>
          <w:color w:val="auto"/>
          <w:sz w:val="30"/>
          <w:szCs w:val="30"/>
        </w:rPr>
        <w:t>投标技术性能指标详细描述</w:t>
      </w:r>
      <w:bookmarkEnd w:id="343"/>
      <w:bookmarkEnd w:id="344"/>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napToGrid w:val="0"/>
          <w:color w:val="auto"/>
          <w:kern w:val="0"/>
          <w:sz w:val="21"/>
          <w:szCs w:val="21"/>
        </w:rPr>
        <w:t>格式自拟</w:t>
      </w:r>
      <w:r>
        <w:rPr>
          <w:rFonts w:hint="eastAsia" w:asciiTheme="minorEastAsia" w:hAnsiTheme="minorEastAsia" w:eastAsiaTheme="minorEastAsia" w:cstheme="minorEastAsia"/>
          <w:color w:val="auto"/>
          <w:sz w:val="21"/>
          <w:szCs w:val="21"/>
        </w:rPr>
        <w:t>）</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345" w:name="_Toc457748067"/>
      <w:bookmarkStart w:id="346" w:name="_Toc392227921"/>
      <w:bookmarkStart w:id="347" w:name="_Toc14753"/>
      <w:r>
        <w:rPr>
          <w:rFonts w:hint="eastAsia" w:asciiTheme="minorEastAsia" w:hAnsiTheme="minorEastAsia" w:eastAsiaTheme="minorEastAsia" w:cstheme="minorEastAsia"/>
          <w:color w:val="auto"/>
          <w:sz w:val="30"/>
          <w:szCs w:val="30"/>
        </w:rPr>
        <w:br w:type="page"/>
      </w:r>
      <w:bookmarkStart w:id="348" w:name="_Toc20400"/>
      <w:r>
        <w:rPr>
          <w:rFonts w:hint="eastAsia" w:asciiTheme="minorEastAsia" w:hAnsiTheme="minorEastAsia" w:eastAsiaTheme="minorEastAsia" w:cstheme="minorEastAsia"/>
          <w:color w:val="auto"/>
          <w:sz w:val="30"/>
          <w:szCs w:val="30"/>
        </w:rPr>
        <w:t>技术支持资料</w:t>
      </w:r>
      <w:bookmarkEnd w:id="345"/>
      <w:bookmarkEnd w:id="346"/>
      <w:bookmarkEnd w:id="347"/>
      <w:bookmarkEnd w:id="348"/>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napToGrid w:val="0"/>
          <w:color w:val="auto"/>
          <w:kern w:val="0"/>
          <w:sz w:val="21"/>
          <w:szCs w:val="21"/>
        </w:rPr>
        <w:t>格式自拟</w:t>
      </w:r>
      <w:r>
        <w:rPr>
          <w:rFonts w:hint="eastAsia" w:asciiTheme="minorEastAsia" w:hAnsiTheme="minorEastAsia" w:eastAsiaTheme="minorEastAsia" w:cstheme="minorEastAsia"/>
          <w:color w:val="auto"/>
          <w:sz w:val="21"/>
          <w:szCs w:val="21"/>
        </w:rPr>
        <w:t>）</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349" w:name="_Toc11651"/>
      <w:bookmarkStart w:id="350" w:name="_Toc392227922"/>
      <w:bookmarkStart w:id="351" w:name="_Toc457748068"/>
      <w:r>
        <w:rPr>
          <w:rFonts w:hint="eastAsia" w:asciiTheme="minorEastAsia" w:hAnsiTheme="minorEastAsia" w:eastAsiaTheme="minorEastAsia" w:cstheme="minorEastAsia"/>
          <w:color w:val="auto"/>
          <w:sz w:val="30"/>
          <w:szCs w:val="30"/>
        </w:rPr>
        <w:br w:type="page"/>
      </w:r>
      <w:bookmarkStart w:id="352" w:name="_Toc4377"/>
      <w:r>
        <w:rPr>
          <w:rFonts w:hint="eastAsia" w:asciiTheme="minorEastAsia" w:hAnsiTheme="minorEastAsia" w:eastAsiaTheme="minorEastAsia" w:cstheme="minorEastAsia"/>
          <w:color w:val="auto"/>
          <w:sz w:val="30"/>
          <w:szCs w:val="30"/>
        </w:rPr>
        <w:t>技术服务和售后服务计划</w:t>
      </w:r>
      <w:bookmarkEnd w:id="349"/>
      <w:bookmarkEnd w:id="350"/>
      <w:bookmarkEnd w:id="351"/>
      <w:bookmarkEnd w:id="352"/>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1"/>
          <w:szCs w:val="21"/>
        </w:rPr>
      </w:pPr>
      <w:bookmarkStart w:id="353" w:name="_Toc392227923"/>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napToGrid w:val="0"/>
          <w:color w:val="auto"/>
          <w:kern w:val="0"/>
          <w:sz w:val="21"/>
          <w:szCs w:val="21"/>
        </w:rPr>
        <w:t>格式自拟</w:t>
      </w:r>
      <w:r>
        <w:rPr>
          <w:rFonts w:hint="eastAsia" w:asciiTheme="minorEastAsia" w:hAnsiTheme="minorEastAsia" w:eastAsiaTheme="minorEastAsia" w:cstheme="minorEastAsia"/>
          <w:color w:val="auto"/>
          <w:sz w:val="21"/>
          <w:szCs w:val="21"/>
        </w:rPr>
        <w:t>）</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pStyle w:val="4"/>
        <w:keepNext w:val="0"/>
        <w:keepLines w:val="0"/>
        <w:pageBreakBefore w:val="0"/>
        <w:kinsoku/>
        <w:overflowPunct/>
        <w:bidi w:val="0"/>
        <w:spacing w:before="0" w:beforeLines="0" w:beforeAutospacing="0" w:after="0" w:afterLines="0" w:afterAutospacing="0" w:line="360" w:lineRule="auto"/>
        <w:jc w:val="center"/>
        <w:rPr>
          <w:rFonts w:hint="eastAsia" w:asciiTheme="minorEastAsia" w:hAnsiTheme="minorEastAsia" w:eastAsiaTheme="minorEastAsia" w:cstheme="minorEastAsia"/>
          <w:color w:val="auto"/>
          <w:sz w:val="30"/>
          <w:szCs w:val="30"/>
        </w:rPr>
      </w:pPr>
      <w:bookmarkStart w:id="354" w:name="_Toc457748069"/>
      <w:bookmarkStart w:id="355" w:name="_Toc3229"/>
      <w:r>
        <w:rPr>
          <w:rFonts w:hint="eastAsia" w:asciiTheme="minorEastAsia" w:hAnsiTheme="minorEastAsia" w:eastAsiaTheme="minorEastAsia" w:cstheme="minorEastAsia"/>
          <w:color w:val="auto"/>
          <w:sz w:val="30"/>
          <w:szCs w:val="30"/>
        </w:rPr>
        <w:br w:type="page"/>
      </w:r>
      <w:bookmarkStart w:id="356" w:name="_Toc2132"/>
      <w:r>
        <w:rPr>
          <w:rFonts w:hint="eastAsia" w:asciiTheme="minorEastAsia" w:hAnsiTheme="minorEastAsia" w:eastAsiaTheme="minorEastAsia" w:cstheme="minorEastAsia"/>
          <w:color w:val="auto"/>
          <w:sz w:val="30"/>
          <w:szCs w:val="30"/>
        </w:rPr>
        <w:t>其他</w:t>
      </w:r>
      <w:r>
        <w:rPr>
          <w:rFonts w:hint="eastAsia" w:asciiTheme="minorEastAsia" w:hAnsiTheme="minorEastAsia" w:eastAsiaTheme="minorEastAsia" w:cstheme="minorEastAsia"/>
          <w:color w:val="auto"/>
          <w:sz w:val="30"/>
          <w:szCs w:val="30"/>
          <w:lang w:val="en-US" w:eastAsia="zh-CN"/>
        </w:rPr>
        <w:t>技术</w:t>
      </w:r>
      <w:r>
        <w:rPr>
          <w:rFonts w:hint="eastAsia" w:asciiTheme="minorEastAsia" w:hAnsiTheme="minorEastAsia" w:eastAsiaTheme="minorEastAsia" w:cstheme="minorEastAsia"/>
          <w:color w:val="auto"/>
          <w:sz w:val="30"/>
          <w:szCs w:val="30"/>
        </w:rPr>
        <w:t>资料</w:t>
      </w:r>
      <w:bookmarkEnd w:id="353"/>
      <w:bookmarkEnd w:id="354"/>
      <w:bookmarkEnd w:id="355"/>
      <w:bookmarkEnd w:id="356"/>
    </w:p>
    <w:p>
      <w:pPr>
        <w:keepNext w:val="0"/>
        <w:keepLines w:val="0"/>
        <w:pageBreakBefore w:val="0"/>
        <w:kinsoku/>
        <w:overflowPunct/>
        <w:bidi w:val="0"/>
        <w:spacing w:beforeAutospacing="0"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napToGrid w:val="0"/>
          <w:color w:val="auto"/>
          <w:kern w:val="0"/>
          <w:sz w:val="24"/>
          <w:szCs w:val="24"/>
        </w:rPr>
        <w:t>招标文件要求提供的或投标人认为需要补充的其他资料</w:t>
      </w:r>
      <w:r>
        <w:rPr>
          <w:rFonts w:hint="eastAsia" w:asciiTheme="minorEastAsia" w:hAnsiTheme="minorEastAsia" w:eastAsiaTheme="minorEastAsia" w:cstheme="minorEastAsia"/>
          <w:color w:val="auto"/>
          <w:sz w:val="24"/>
          <w:szCs w:val="24"/>
        </w:rPr>
        <w:t>）</w:t>
      </w: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30"/>
          <w:szCs w:val="30"/>
        </w:rPr>
      </w:pPr>
    </w:p>
    <w:p>
      <w:pPr>
        <w:keepNext w:val="0"/>
        <w:keepLines w:val="0"/>
        <w:pageBreakBefore w:val="0"/>
        <w:kinsoku/>
        <w:overflowPunct/>
        <w:bidi w:val="0"/>
        <w:spacing w:beforeAutospacing="0" w:afterAutospacing="0" w:line="360" w:lineRule="auto"/>
        <w:rPr>
          <w:rFonts w:hint="eastAsia" w:asciiTheme="minorEastAsia" w:hAnsiTheme="minorEastAsia" w:eastAsiaTheme="minorEastAsia" w:cstheme="minorEastAsia"/>
          <w:color w:val="auto"/>
          <w:sz w:val="24"/>
          <w:szCs w:val="24"/>
        </w:rPr>
      </w:pPr>
    </w:p>
    <w:sectPr>
      <w:pgSz w:w="11850" w:h="16783"/>
      <w:pgMar w:top="1440" w:right="1803" w:bottom="1440" w:left="1803" w:header="720" w:footer="720" w:gutter="0"/>
      <w:pgBorders>
        <w:top w:val="none" w:sz="0" w:space="0"/>
        <w:left w:val="none" w:sz="0" w:space="0"/>
        <w:bottom w:val="none" w:sz="0" w:space="0"/>
        <w:right w:val="none" w:sz="0" w:space="0"/>
      </w:pgBorders>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兰米仿宋体">
    <w:altName w:val="仿宋"/>
    <w:panose1 w:val="02000503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32</w:t>
    </w:r>
    <w:r>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9A93D"/>
    <w:multiLevelType w:val="singleLevel"/>
    <w:tmpl w:val="E3B9A93D"/>
    <w:lvl w:ilvl="0" w:tentative="0">
      <w:start w:val="1"/>
      <w:numFmt w:val="bullet"/>
      <w:lvlText w:val=""/>
      <w:lvlJc w:val="left"/>
      <w:pPr>
        <w:ind w:left="420" w:hanging="420"/>
      </w:pPr>
      <w:rPr>
        <w:rFonts w:hint="default" w:ascii="Wingdings" w:hAnsi="Wingdings"/>
      </w:rPr>
    </w:lvl>
  </w:abstractNum>
  <w:abstractNum w:abstractNumId="1">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18C7C2"/>
    <w:multiLevelType w:val="singleLevel"/>
    <w:tmpl w:val="2518C7C2"/>
    <w:lvl w:ilvl="0" w:tentative="0">
      <w:start w:val="1"/>
      <w:numFmt w:val="decimal"/>
      <w:lvlText w:val="%1)"/>
      <w:lvlJc w:val="left"/>
      <w:pPr>
        <w:ind w:left="425" w:hanging="425"/>
      </w:pPr>
      <w:rPr>
        <w:rFonts w:hint="default"/>
      </w:rPr>
    </w:lvl>
  </w:abstractNum>
  <w:abstractNum w:abstractNumId="4">
    <w:nsid w:val="2B96E499"/>
    <w:multiLevelType w:val="singleLevel"/>
    <w:tmpl w:val="2B96E499"/>
    <w:lvl w:ilvl="0" w:tentative="0">
      <w:start w:val="1"/>
      <w:numFmt w:val="decimal"/>
      <w:lvlText w:val="%1)"/>
      <w:lvlJc w:val="left"/>
      <w:pPr>
        <w:ind w:left="425" w:hanging="425"/>
      </w:pPr>
      <w:rPr>
        <w:rFonts w:hint="default"/>
      </w:rPr>
    </w:lvl>
  </w:abstractNum>
  <w:abstractNum w:abstractNumId="5">
    <w:nsid w:val="35B53A41"/>
    <w:multiLevelType w:val="singleLevel"/>
    <w:tmpl w:val="35B53A41"/>
    <w:lvl w:ilvl="0" w:tentative="0">
      <w:start w:val="1"/>
      <w:numFmt w:val="decimal"/>
      <w:lvlText w:val="3.%1"/>
      <w:lvlJc w:val="left"/>
      <w:pPr>
        <w:tabs>
          <w:tab w:val="left" w:pos="397"/>
        </w:tabs>
        <w:ind w:left="454" w:leftChars="0" w:hanging="454" w:firstLineChars="0"/>
      </w:pPr>
      <w:rPr>
        <w:rFonts w:hint="default"/>
      </w:rPr>
    </w:lvl>
  </w:abstractNum>
  <w:abstractNum w:abstractNumId="6">
    <w:nsid w:val="46108A80"/>
    <w:multiLevelType w:val="singleLevel"/>
    <w:tmpl w:val="46108A80"/>
    <w:lvl w:ilvl="0" w:tentative="0">
      <w:start w:val="1"/>
      <w:numFmt w:val="decimal"/>
      <w:suff w:val="nothing"/>
      <w:lvlText w:val="（%1）"/>
      <w:lvlJc w:val="left"/>
    </w:lvl>
  </w:abstractNum>
  <w:abstractNum w:abstractNumId="7">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A46436"/>
    <w:multiLevelType w:val="multilevel"/>
    <w:tmpl w:val="49A4643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chineseCountingThousand"/>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8DBC02"/>
    <w:multiLevelType w:val="singleLevel"/>
    <w:tmpl w:val="578DBC02"/>
    <w:lvl w:ilvl="0" w:tentative="0">
      <w:start w:val="1"/>
      <w:numFmt w:val="decimal"/>
      <w:suff w:val="nothing"/>
      <w:lvlText w:val="%1、"/>
      <w:lvlJc w:val="left"/>
    </w:lvl>
  </w:abstractNum>
  <w:abstractNum w:abstractNumId="10">
    <w:nsid w:val="5791BBFF"/>
    <w:multiLevelType w:val="singleLevel"/>
    <w:tmpl w:val="5791BBFF"/>
    <w:lvl w:ilvl="0" w:tentative="0">
      <w:start w:val="1"/>
      <w:numFmt w:val="decimal"/>
      <w:suff w:val="nothing"/>
      <w:lvlText w:val="%1、"/>
      <w:lvlJc w:val="left"/>
    </w:lvl>
  </w:abstractNum>
  <w:abstractNum w:abstractNumId="11">
    <w:nsid w:val="59E00E6E"/>
    <w:multiLevelType w:val="singleLevel"/>
    <w:tmpl w:val="59E00E6E"/>
    <w:lvl w:ilvl="0" w:tentative="0">
      <w:start w:val="1"/>
      <w:numFmt w:val="decimal"/>
      <w:lvlText w:val="%1)"/>
      <w:lvlJc w:val="left"/>
      <w:pPr>
        <w:ind w:left="425" w:hanging="425"/>
      </w:pPr>
      <w:rPr>
        <w:rFonts w:hint="default"/>
      </w:rPr>
    </w:lvl>
  </w:abstractNum>
  <w:abstractNum w:abstractNumId="12">
    <w:nsid w:val="59E01BD6"/>
    <w:multiLevelType w:val="singleLevel"/>
    <w:tmpl w:val="59E01BD6"/>
    <w:lvl w:ilvl="0" w:tentative="0">
      <w:start w:val="1"/>
      <w:numFmt w:val="decimal"/>
      <w:suff w:val="nothing"/>
      <w:lvlText w:val="（%1）"/>
      <w:lvlJc w:val="left"/>
    </w:lvl>
  </w:abstractNum>
  <w:abstractNum w:abstractNumId="13">
    <w:nsid w:val="59E20211"/>
    <w:multiLevelType w:val="singleLevel"/>
    <w:tmpl w:val="59E20211"/>
    <w:lvl w:ilvl="0" w:tentative="0">
      <w:start w:val="1"/>
      <w:numFmt w:val="decimal"/>
      <w:suff w:val="nothing"/>
      <w:lvlText w:val="（%1）"/>
      <w:lvlJc w:val="left"/>
    </w:lvl>
  </w:abstractNum>
  <w:abstractNum w:abstractNumId="14">
    <w:nsid w:val="59E20533"/>
    <w:multiLevelType w:val="singleLevel"/>
    <w:tmpl w:val="59E20533"/>
    <w:lvl w:ilvl="0" w:tentative="0">
      <w:start w:val="1"/>
      <w:numFmt w:val="decimal"/>
      <w:suff w:val="nothing"/>
      <w:lvlText w:val="（%1）"/>
      <w:lvlJc w:val="left"/>
    </w:lvl>
  </w:abstractNum>
  <w:abstractNum w:abstractNumId="15">
    <w:nsid w:val="59E2F54C"/>
    <w:multiLevelType w:val="multilevel"/>
    <w:tmpl w:val="59E2F54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6">
    <w:nsid w:val="59E2F6A3"/>
    <w:multiLevelType w:val="singleLevel"/>
    <w:tmpl w:val="59E2F6A3"/>
    <w:lvl w:ilvl="0" w:tentative="0">
      <w:start w:val="1"/>
      <w:numFmt w:val="decimal"/>
      <w:suff w:val="space"/>
      <w:lvlText w:val="%1."/>
      <w:lvlJc w:val="left"/>
    </w:lvl>
  </w:abstractNum>
  <w:abstractNum w:abstractNumId="17">
    <w:nsid w:val="59EC2A00"/>
    <w:multiLevelType w:val="singleLevel"/>
    <w:tmpl w:val="59EC2A00"/>
    <w:lvl w:ilvl="0" w:tentative="0">
      <w:start w:val="1"/>
      <w:numFmt w:val="decimal"/>
      <w:lvlText w:val="%1"/>
      <w:lvlJc w:val="left"/>
      <w:pPr>
        <w:tabs>
          <w:tab w:val="left" w:pos="420"/>
        </w:tabs>
        <w:ind w:left="425" w:hanging="425"/>
      </w:pPr>
      <w:rPr>
        <w:rFonts w:hint="default"/>
      </w:rPr>
    </w:lvl>
  </w:abstractNum>
  <w:abstractNum w:abstractNumId="18">
    <w:nsid w:val="59EC2AAF"/>
    <w:multiLevelType w:val="singleLevel"/>
    <w:tmpl w:val="59EC2AAF"/>
    <w:lvl w:ilvl="0" w:tentative="0">
      <w:start w:val="1"/>
      <w:numFmt w:val="decimal"/>
      <w:lvlText w:val="1.%1"/>
      <w:lvlJc w:val="left"/>
      <w:pPr>
        <w:tabs>
          <w:tab w:val="left" w:pos="420"/>
        </w:tabs>
        <w:ind w:left="425" w:hanging="425"/>
      </w:pPr>
      <w:rPr>
        <w:rFonts w:hint="default"/>
      </w:rPr>
    </w:lvl>
  </w:abstractNum>
  <w:abstractNum w:abstractNumId="19">
    <w:nsid w:val="5ABDC92E"/>
    <w:multiLevelType w:val="singleLevel"/>
    <w:tmpl w:val="5ABDC92E"/>
    <w:lvl w:ilvl="0" w:tentative="0">
      <w:start w:val="1"/>
      <w:numFmt w:val="chineseCounting"/>
      <w:suff w:val="nothing"/>
      <w:lvlText w:val="%1、"/>
      <w:lvlJc w:val="left"/>
    </w:lvl>
  </w:abstractNum>
  <w:abstractNum w:abstractNumId="20">
    <w:nsid w:val="68636BC0"/>
    <w:multiLevelType w:val="multilevel"/>
    <w:tmpl w:val="68636BC0"/>
    <w:lvl w:ilvl="0" w:tentative="0">
      <w:start w:val="1"/>
      <w:numFmt w:val="decimal"/>
      <w:lvlText w:val="（%1）"/>
      <w:lvlJc w:val="left"/>
      <w:pPr>
        <w:tabs>
          <w:tab w:val="left" w:pos="1152"/>
        </w:tabs>
        <w:ind w:left="1152" w:hanging="720"/>
      </w:pPr>
      <w:rPr>
        <w:rFonts w:hint="eastAsia"/>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21">
    <w:nsid w:val="6C7059E8"/>
    <w:multiLevelType w:val="multilevel"/>
    <w:tmpl w:val="6C7059E8"/>
    <w:lvl w:ilvl="0" w:tentative="0">
      <w:start w:val="1"/>
      <w:numFmt w:val="japaneseCounting"/>
      <w:lvlText w:val="第%1章"/>
      <w:lvlJc w:val="left"/>
      <w:pPr>
        <w:ind w:left="1548" w:hanging="84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2">
    <w:nsid w:val="7CF22F03"/>
    <w:multiLevelType w:val="multilevel"/>
    <w:tmpl w:val="7CF22F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5"/>
  </w:num>
  <w:num w:numId="3">
    <w:abstractNumId w:val="11"/>
  </w:num>
  <w:num w:numId="4">
    <w:abstractNumId w:val="3"/>
  </w:num>
  <w:num w:numId="5">
    <w:abstractNumId w:val="4"/>
  </w:num>
  <w:num w:numId="6">
    <w:abstractNumId w:val="21"/>
  </w:num>
  <w:num w:numId="7">
    <w:abstractNumId w:val="12"/>
  </w:num>
  <w:num w:numId="8">
    <w:abstractNumId w:val="13"/>
  </w:num>
  <w:num w:numId="9">
    <w:abstractNumId w:val="14"/>
  </w:num>
  <w:num w:numId="10">
    <w:abstractNumId w:val="9"/>
  </w:num>
  <w:num w:numId="11">
    <w:abstractNumId w:val="10"/>
  </w:num>
  <w:num w:numId="12">
    <w:abstractNumId w:val="22"/>
  </w:num>
  <w:num w:numId="13">
    <w:abstractNumId w:val="15"/>
  </w:num>
  <w:num w:numId="14">
    <w:abstractNumId w:val="16"/>
  </w:num>
  <w:num w:numId="15">
    <w:abstractNumId w:val="20"/>
  </w:num>
  <w:num w:numId="16">
    <w:abstractNumId w:val="8"/>
  </w:num>
  <w:num w:numId="17">
    <w:abstractNumId w:val="7"/>
  </w:num>
  <w:num w:numId="18">
    <w:abstractNumId w:val="2"/>
  </w:num>
  <w:num w:numId="19">
    <w:abstractNumId w:val="2"/>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0">
    <w:abstractNumId w:val="1"/>
  </w:num>
  <w:num w:numId="21">
    <w:abstractNumId w:val="6"/>
  </w:num>
  <w:num w:numId="22">
    <w:abstractNumId w:val="0"/>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VkMDIxYWZlYTdlODQzMzdiYTk4Mzc2ZjJjNzQifQ=="/>
  </w:docVars>
  <w:rsids>
    <w:rsidRoot w:val="00172A27"/>
    <w:rsid w:val="0000093B"/>
    <w:rsid w:val="000017A4"/>
    <w:rsid w:val="000045D2"/>
    <w:rsid w:val="000052CA"/>
    <w:rsid w:val="00011FD5"/>
    <w:rsid w:val="000128DB"/>
    <w:rsid w:val="00014092"/>
    <w:rsid w:val="00015F0A"/>
    <w:rsid w:val="000167F2"/>
    <w:rsid w:val="00025B3D"/>
    <w:rsid w:val="00025DA7"/>
    <w:rsid w:val="00026171"/>
    <w:rsid w:val="00032061"/>
    <w:rsid w:val="00034390"/>
    <w:rsid w:val="000412DE"/>
    <w:rsid w:val="0004153F"/>
    <w:rsid w:val="00044A73"/>
    <w:rsid w:val="00050CF9"/>
    <w:rsid w:val="0005265F"/>
    <w:rsid w:val="00055940"/>
    <w:rsid w:val="00055AC8"/>
    <w:rsid w:val="0005647F"/>
    <w:rsid w:val="00061E71"/>
    <w:rsid w:val="00062AC6"/>
    <w:rsid w:val="00063A17"/>
    <w:rsid w:val="00064CFB"/>
    <w:rsid w:val="00065FDC"/>
    <w:rsid w:val="00070655"/>
    <w:rsid w:val="00073C2B"/>
    <w:rsid w:val="0007517F"/>
    <w:rsid w:val="00080951"/>
    <w:rsid w:val="000850CD"/>
    <w:rsid w:val="00087FB2"/>
    <w:rsid w:val="00090308"/>
    <w:rsid w:val="0009582F"/>
    <w:rsid w:val="00097A2B"/>
    <w:rsid w:val="000A5C6B"/>
    <w:rsid w:val="000A6FB0"/>
    <w:rsid w:val="000A7441"/>
    <w:rsid w:val="000C0018"/>
    <w:rsid w:val="000C0337"/>
    <w:rsid w:val="000C0BFB"/>
    <w:rsid w:val="000C24D0"/>
    <w:rsid w:val="000C45C0"/>
    <w:rsid w:val="000C60A7"/>
    <w:rsid w:val="000D2D64"/>
    <w:rsid w:val="000D432A"/>
    <w:rsid w:val="000E04C5"/>
    <w:rsid w:val="000F1704"/>
    <w:rsid w:val="000F1E78"/>
    <w:rsid w:val="000F23AA"/>
    <w:rsid w:val="000F4070"/>
    <w:rsid w:val="000F46D0"/>
    <w:rsid w:val="000F7BE9"/>
    <w:rsid w:val="00100901"/>
    <w:rsid w:val="00101142"/>
    <w:rsid w:val="001011FC"/>
    <w:rsid w:val="00101A40"/>
    <w:rsid w:val="00102618"/>
    <w:rsid w:val="00103897"/>
    <w:rsid w:val="001038B4"/>
    <w:rsid w:val="001057E6"/>
    <w:rsid w:val="001071FF"/>
    <w:rsid w:val="001161EC"/>
    <w:rsid w:val="00116B4A"/>
    <w:rsid w:val="00117474"/>
    <w:rsid w:val="00121018"/>
    <w:rsid w:val="00122CA2"/>
    <w:rsid w:val="00125C92"/>
    <w:rsid w:val="00126245"/>
    <w:rsid w:val="001266FC"/>
    <w:rsid w:val="001328E8"/>
    <w:rsid w:val="00133EAE"/>
    <w:rsid w:val="0013690E"/>
    <w:rsid w:val="00142854"/>
    <w:rsid w:val="00145A10"/>
    <w:rsid w:val="00151EE1"/>
    <w:rsid w:val="00152112"/>
    <w:rsid w:val="0015290F"/>
    <w:rsid w:val="001539C0"/>
    <w:rsid w:val="00153F37"/>
    <w:rsid w:val="00155125"/>
    <w:rsid w:val="0015624E"/>
    <w:rsid w:val="00165246"/>
    <w:rsid w:val="00165DF2"/>
    <w:rsid w:val="0016794E"/>
    <w:rsid w:val="00170678"/>
    <w:rsid w:val="001711CD"/>
    <w:rsid w:val="001735B4"/>
    <w:rsid w:val="0017466A"/>
    <w:rsid w:val="001760A6"/>
    <w:rsid w:val="001821DE"/>
    <w:rsid w:val="00182BCB"/>
    <w:rsid w:val="00184834"/>
    <w:rsid w:val="00190265"/>
    <w:rsid w:val="00193445"/>
    <w:rsid w:val="00193C1D"/>
    <w:rsid w:val="00195F04"/>
    <w:rsid w:val="00197C25"/>
    <w:rsid w:val="001A1DED"/>
    <w:rsid w:val="001A369F"/>
    <w:rsid w:val="001A4CEB"/>
    <w:rsid w:val="001A5119"/>
    <w:rsid w:val="001A7D32"/>
    <w:rsid w:val="001B00B8"/>
    <w:rsid w:val="001B066D"/>
    <w:rsid w:val="001B0D7B"/>
    <w:rsid w:val="001B393F"/>
    <w:rsid w:val="001B4148"/>
    <w:rsid w:val="001C2799"/>
    <w:rsid w:val="001C338F"/>
    <w:rsid w:val="001C33D6"/>
    <w:rsid w:val="001C6D12"/>
    <w:rsid w:val="001D33E9"/>
    <w:rsid w:val="001D354B"/>
    <w:rsid w:val="001D41A0"/>
    <w:rsid w:val="001E255C"/>
    <w:rsid w:val="001E3421"/>
    <w:rsid w:val="001E45B0"/>
    <w:rsid w:val="001F4134"/>
    <w:rsid w:val="001F50AA"/>
    <w:rsid w:val="00203876"/>
    <w:rsid w:val="00204D7E"/>
    <w:rsid w:val="00206D34"/>
    <w:rsid w:val="00206E62"/>
    <w:rsid w:val="00207A0B"/>
    <w:rsid w:val="002136D0"/>
    <w:rsid w:val="002229E2"/>
    <w:rsid w:val="00222BAF"/>
    <w:rsid w:val="002232D1"/>
    <w:rsid w:val="00223F9B"/>
    <w:rsid w:val="0023038F"/>
    <w:rsid w:val="00232A09"/>
    <w:rsid w:val="002422B1"/>
    <w:rsid w:val="00242A38"/>
    <w:rsid w:val="00242CFA"/>
    <w:rsid w:val="00244576"/>
    <w:rsid w:val="002465B5"/>
    <w:rsid w:val="00247124"/>
    <w:rsid w:val="0025015D"/>
    <w:rsid w:val="00251A49"/>
    <w:rsid w:val="00251B30"/>
    <w:rsid w:val="00251CD4"/>
    <w:rsid w:val="00253EA0"/>
    <w:rsid w:val="00261F3A"/>
    <w:rsid w:val="00263751"/>
    <w:rsid w:val="00263C47"/>
    <w:rsid w:val="002678C0"/>
    <w:rsid w:val="00273ACD"/>
    <w:rsid w:val="00273B65"/>
    <w:rsid w:val="002810DC"/>
    <w:rsid w:val="00282295"/>
    <w:rsid w:val="00285406"/>
    <w:rsid w:val="0028683F"/>
    <w:rsid w:val="002A4643"/>
    <w:rsid w:val="002A552C"/>
    <w:rsid w:val="002A5CC0"/>
    <w:rsid w:val="002B3493"/>
    <w:rsid w:val="002B7C47"/>
    <w:rsid w:val="002C4A91"/>
    <w:rsid w:val="002D543D"/>
    <w:rsid w:val="002D5DCB"/>
    <w:rsid w:val="002D69E4"/>
    <w:rsid w:val="002D7644"/>
    <w:rsid w:val="002E07EA"/>
    <w:rsid w:val="002E17BA"/>
    <w:rsid w:val="002E7E08"/>
    <w:rsid w:val="002F02F5"/>
    <w:rsid w:val="002F5E27"/>
    <w:rsid w:val="0030101D"/>
    <w:rsid w:val="00306B04"/>
    <w:rsid w:val="00306EC4"/>
    <w:rsid w:val="003167C0"/>
    <w:rsid w:val="003202F2"/>
    <w:rsid w:val="00321F89"/>
    <w:rsid w:val="00332136"/>
    <w:rsid w:val="00340349"/>
    <w:rsid w:val="00342688"/>
    <w:rsid w:val="00342E18"/>
    <w:rsid w:val="003473C0"/>
    <w:rsid w:val="003546C5"/>
    <w:rsid w:val="003619DF"/>
    <w:rsid w:val="00363404"/>
    <w:rsid w:val="003646BE"/>
    <w:rsid w:val="00371763"/>
    <w:rsid w:val="00371B28"/>
    <w:rsid w:val="0037245D"/>
    <w:rsid w:val="00375D14"/>
    <w:rsid w:val="003761BE"/>
    <w:rsid w:val="0037621C"/>
    <w:rsid w:val="00376DD9"/>
    <w:rsid w:val="00376E7E"/>
    <w:rsid w:val="003848C0"/>
    <w:rsid w:val="00390855"/>
    <w:rsid w:val="003A1E09"/>
    <w:rsid w:val="003A32BF"/>
    <w:rsid w:val="003A559E"/>
    <w:rsid w:val="003A62BF"/>
    <w:rsid w:val="003A734C"/>
    <w:rsid w:val="003A739A"/>
    <w:rsid w:val="003B3922"/>
    <w:rsid w:val="003B4E0E"/>
    <w:rsid w:val="003B4F03"/>
    <w:rsid w:val="003B7792"/>
    <w:rsid w:val="003C023B"/>
    <w:rsid w:val="003C5666"/>
    <w:rsid w:val="003C6510"/>
    <w:rsid w:val="003D1170"/>
    <w:rsid w:val="003D1711"/>
    <w:rsid w:val="003D43D7"/>
    <w:rsid w:val="003D4B93"/>
    <w:rsid w:val="003E0864"/>
    <w:rsid w:val="003E31A4"/>
    <w:rsid w:val="003E38A8"/>
    <w:rsid w:val="003E40AD"/>
    <w:rsid w:val="003F116C"/>
    <w:rsid w:val="003F2FBE"/>
    <w:rsid w:val="003F4A2B"/>
    <w:rsid w:val="003F504F"/>
    <w:rsid w:val="003F5B69"/>
    <w:rsid w:val="003F70AB"/>
    <w:rsid w:val="00402923"/>
    <w:rsid w:val="00404B6B"/>
    <w:rsid w:val="004068FB"/>
    <w:rsid w:val="00417F2A"/>
    <w:rsid w:val="00420DD7"/>
    <w:rsid w:val="00421C3A"/>
    <w:rsid w:val="00423088"/>
    <w:rsid w:val="004233A6"/>
    <w:rsid w:val="00426679"/>
    <w:rsid w:val="00431391"/>
    <w:rsid w:val="00432125"/>
    <w:rsid w:val="00432B49"/>
    <w:rsid w:val="00433676"/>
    <w:rsid w:val="004364BD"/>
    <w:rsid w:val="00436961"/>
    <w:rsid w:val="00440E99"/>
    <w:rsid w:val="004458C1"/>
    <w:rsid w:val="00445D3B"/>
    <w:rsid w:val="00445F1C"/>
    <w:rsid w:val="0044773A"/>
    <w:rsid w:val="00450457"/>
    <w:rsid w:val="0045069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76E5"/>
    <w:rsid w:val="004B2D46"/>
    <w:rsid w:val="004B379F"/>
    <w:rsid w:val="004B6A14"/>
    <w:rsid w:val="004C0728"/>
    <w:rsid w:val="004C081C"/>
    <w:rsid w:val="004C2677"/>
    <w:rsid w:val="004C2AAA"/>
    <w:rsid w:val="004C6C12"/>
    <w:rsid w:val="004C7CFA"/>
    <w:rsid w:val="004D021C"/>
    <w:rsid w:val="004D118A"/>
    <w:rsid w:val="004D47BD"/>
    <w:rsid w:val="004D5D06"/>
    <w:rsid w:val="004D7237"/>
    <w:rsid w:val="004E304F"/>
    <w:rsid w:val="004E3BDB"/>
    <w:rsid w:val="004E4B20"/>
    <w:rsid w:val="004E4EDD"/>
    <w:rsid w:val="004E535B"/>
    <w:rsid w:val="004F1972"/>
    <w:rsid w:val="004F1D7E"/>
    <w:rsid w:val="004F50A8"/>
    <w:rsid w:val="004F5F8E"/>
    <w:rsid w:val="004F77BE"/>
    <w:rsid w:val="00502A4C"/>
    <w:rsid w:val="00503106"/>
    <w:rsid w:val="005034E3"/>
    <w:rsid w:val="00503B6E"/>
    <w:rsid w:val="00504EC0"/>
    <w:rsid w:val="00506669"/>
    <w:rsid w:val="0050739A"/>
    <w:rsid w:val="00511660"/>
    <w:rsid w:val="00512C7D"/>
    <w:rsid w:val="005167FC"/>
    <w:rsid w:val="00521558"/>
    <w:rsid w:val="00521605"/>
    <w:rsid w:val="00522D50"/>
    <w:rsid w:val="00525964"/>
    <w:rsid w:val="0052723E"/>
    <w:rsid w:val="00527763"/>
    <w:rsid w:val="00531BAF"/>
    <w:rsid w:val="0053214D"/>
    <w:rsid w:val="005335C7"/>
    <w:rsid w:val="00537A8D"/>
    <w:rsid w:val="00541BAB"/>
    <w:rsid w:val="00541E75"/>
    <w:rsid w:val="00542748"/>
    <w:rsid w:val="00544560"/>
    <w:rsid w:val="00550159"/>
    <w:rsid w:val="00550234"/>
    <w:rsid w:val="005534E7"/>
    <w:rsid w:val="00556D0C"/>
    <w:rsid w:val="005600B3"/>
    <w:rsid w:val="00562E61"/>
    <w:rsid w:val="00563881"/>
    <w:rsid w:val="00567137"/>
    <w:rsid w:val="0057758F"/>
    <w:rsid w:val="00580957"/>
    <w:rsid w:val="00583D00"/>
    <w:rsid w:val="005850C2"/>
    <w:rsid w:val="00586B48"/>
    <w:rsid w:val="00591E06"/>
    <w:rsid w:val="00594EFD"/>
    <w:rsid w:val="005A0D94"/>
    <w:rsid w:val="005A728D"/>
    <w:rsid w:val="005B68AA"/>
    <w:rsid w:val="005B6EC1"/>
    <w:rsid w:val="005C27DF"/>
    <w:rsid w:val="005C64F5"/>
    <w:rsid w:val="005C7215"/>
    <w:rsid w:val="005D087E"/>
    <w:rsid w:val="005D1070"/>
    <w:rsid w:val="005D736F"/>
    <w:rsid w:val="005E0568"/>
    <w:rsid w:val="005E2161"/>
    <w:rsid w:val="005E4D90"/>
    <w:rsid w:val="005E7A15"/>
    <w:rsid w:val="005F0851"/>
    <w:rsid w:val="005F47A9"/>
    <w:rsid w:val="005F558B"/>
    <w:rsid w:val="00600FF9"/>
    <w:rsid w:val="006043D7"/>
    <w:rsid w:val="00612562"/>
    <w:rsid w:val="0061586C"/>
    <w:rsid w:val="00625BF7"/>
    <w:rsid w:val="00632FDF"/>
    <w:rsid w:val="00636380"/>
    <w:rsid w:val="00636CA1"/>
    <w:rsid w:val="006379CC"/>
    <w:rsid w:val="00640078"/>
    <w:rsid w:val="00640DA1"/>
    <w:rsid w:val="00650953"/>
    <w:rsid w:val="006520D4"/>
    <w:rsid w:val="0065365E"/>
    <w:rsid w:val="00655CA8"/>
    <w:rsid w:val="00657384"/>
    <w:rsid w:val="0066669F"/>
    <w:rsid w:val="006709D8"/>
    <w:rsid w:val="0067339C"/>
    <w:rsid w:val="00674672"/>
    <w:rsid w:val="00674C50"/>
    <w:rsid w:val="00675241"/>
    <w:rsid w:val="0067722F"/>
    <w:rsid w:val="0068036C"/>
    <w:rsid w:val="0068102E"/>
    <w:rsid w:val="006816E3"/>
    <w:rsid w:val="00681EEB"/>
    <w:rsid w:val="0068266D"/>
    <w:rsid w:val="00683090"/>
    <w:rsid w:val="00686AF3"/>
    <w:rsid w:val="00690943"/>
    <w:rsid w:val="00690ED4"/>
    <w:rsid w:val="00691AA2"/>
    <w:rsid w:val="00693CB4"/>
    <w:rsid w:val="006945A5"/>
    <w:rsid w:val="006952F5"/>
    <w:rsid w:val="00696076"/>
    <w:rsid w:val="006A2D56"/>
    <w:rsid w:val="006A768B"/>
    <w:rsid w:val="006B0F5A"/>
    <w:rsid w:val="006B1B7E"/>
    <w:rsid w:val="006B268A"/>
    <w:rsid w:val="006B3723"/>
    <w:rsid w:val="006B412C"/>
    <w:rsid w:val="006B4620"/>
    <w:rsid w:val="006B65B0"/>
    <w:rsid w:val="006B6CF0"/>
    <w:rsid w:val="006C2050"/>
    <w:rsid w:val="006C2C33"/>
    <w:rsid w:val="006C78DA"/>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5B30"/>
    <w:rsid w:val="00716C9C"/>
    <w:rsid w:val="007252FC"/>
    <w:rsid w:val="00725587"/>
    <w:rsid w:val="00726B23"/>
    <w:rsid w:val="0072702D"/>
    <w:rsid w:val="0073148F"/>
    <w:rsid w:val="00732E91"/>
    <w:rsid w:val="0073599E"/>
    <w:rsid w:val="00737E9C"/>
    <w:rsid w:val="007425D1"/>
    <w:rsid w:val="00742A92"/>
    <w:rsid w:val="00746E7E"/>
    <w:rsid w:val="00753456"/>
    <w:rsid w:val="00753691"/>
    <w:rsid w:val="007572F5"/>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44CC"/>
    <w:rsid w:val="007A54B1"/>
    <w:rsid w:val="007A5E08"/>
    <w:rsid w:val="007A6512"/>
    <w:rsid w:val="007B0138"/>
    <w:rsid w:val="007B243E"/>
    <w:rsid w:val="007B529A"/>
    <w:rsid w:val="007C1F3A"/>
    <w:rsid w:val="007C2732"/>
    <w:rsid w:val="007C4BFB"/>
    <w:rsid w:val="007C6EEF"/>
    <w:rsid w:val="007C7AB2"/>
    <w:rsid w:val="007D0EFA"/>
    <w:rsid w:val="007D16DC"/>
    <w:rsid w:val="007E00EA"/>
    <w:rsid w:val="007E0563"/>
    <w:rsid w:val="007E1787"/>
    <w:rsid w:val="007E5A28"/>
    <w:rsid w:val="007E710B"/>
    <w:rsid w:val="007E7474"/>
    <w:rsid w:val="007E75EC"/>
    <w:rsid w:val="007E78FD"/>
    <w:rsid w:val="007F34DD"/>
    <w:rsid w:val="007F6554"/>
    <w:rsid w:val="00801275"/>
    <w:rsid w:val="008019F1"/>
    <w:rsid w:val="00804678"/>
    <w:rsid w:val="00805E4A"/>
    <w:rsid w:val="008063C0"/>
    <w:rsid w:val="00807D7C"/>
    <w:rsid w:val="00810788"/>
    <w:rsid w:val="00810E03"/>
    <w:rsid w:val="008122E2"/>
    <w:rsid w:val="0081394F"/>
    <w:rsid w:val="00814771"/>
    <w:rsid w:val="00816FDE"/>
    <w:rsid w:val="00817FFC"/>
    <w:rsid w:val="00825F31"/>
    <w:rsid w:val="00826D9D"/>
    <w:rsid w:val="00827D7C"/>
    <w:rsid w:val="00830C56"/>
    <w:rsid w:val="00832A00"/>
    <w:rsid w:val="00835E55"/>
    <w:rsid w:val="00837472"/>
    <w:rsid w:val="00843843"/>
    <w:rsid w:val="008567AE"/>
    <w:rsid w:val="0086035B"/>
    <w:rsid w:val="00860FBB"/>
    <w:rsid w:val="008649AA"/>
    <w:rsid w:val="00865A18"/>
    <w:rsid w:val="008678BA"/>
    <w:rsid w:val="00875FE6"/>
    <w:rsid w:val="008769C9"/>
    <w:rsid w:val="008776F7"/>
    <w:rsid w:val="00877B50"/>
    <w:rsid w:val="00893E52"/>
    <w:rsid w:val="00896408"/>
    <w:rsid w:val="008A0E5F"/>
    <w:rsid w:val="008A1A2F"/>
    <w:rsid w:val="008A2CAD"/>
    <w:rsid w:val="008A3781"/>
    <w:rsid w:val="008A5A95"/>
    <w:rsid w:val="008A68C5"/>
    <w:rsid w:val="008B0211"/>
    <w:rsid w:val="008B3541"/>
    <w:rsid w:val="008B5046"/>
    <w:rsid w:val="008B59E9"/>
    <w:rsid w:val="008C0A26"/>
    <w:rsid w:val="008C3605"/>
    <w:rsid w:val="008C39CB"/>
    <w:rsid w:val="008C48D2"/>
    <w:rsid w:val="008C4AFB"/>
    <w:rsid w:val="008C6737"/>
    <w:rsid w:val="008D4743"/>
    <w:rsid w:val="008E0C28"/>
    <w:rsid w:val="008E2F14"/>
    <w:rsid w:val="008E7486"/>
    <w:rsid w:val="008F1E08"/>
    <w:rsid w:val="00900353"/>
    <w:rsid w:val="00901D67"/>
    <w:rsid w:val="00907FB0"/>
    <w:rsid w:val="00910DA2"/>
    <w:rsid w:val="00913A35"/>
    <w:rsid w:val="00913DA9"/>
    <w:rsid w:val="009152C0"/>
    <w:rsid w:val="009165B6"/>
    <w:rsid w:val="00920C0A"/>
    <w:rsid w:val="00923B10"/>
    <w:rsid w:val="0092577B"/>
    <w:rsid w:val="00925F3E"/>
    <w:rsid w:val="009261F3"/>
    <w:rsid w:val="00926DDE"/>
    <w:rsid w:val="00927399"/>
    <w:rsid w:val="00927D66"/>
    <w:rsid w:val="00930D38"/>
    <w:rsid w:val="0093114D"/>
    <w:rsid w:val="009357AE"/>
    <w:rsid w:val="009357B0"/>
    <w:rsid w:val="009364E1"/>
    <w:rsid w:val="009379A3"/>
    <w:rsid w:val="0094434C"/>
    <w:rsid w:val="009474DA"/>
    <w:rsid w:val="0094784E"/>
    <w:rsid w:val="00953D3E"/>
    <w:rsid w:val="00955E69"/>
    <w:rsid w:val="00964382"/>
    <w:rsid w:val="00964882"/>
    <w:rsid w:val="00966DCF"/>
    <w:rsid w:val="009761A1"/>
    <w:rsid w:val="00982395"/>
    <w:rsid w:val="00982A69"/>
    <w:rsid w:val="00991C61"/>
    <w:rsid w:val="00992D28"/>
    <w:rsid w:val="009938D8"/>
    <w:rsid w:val="00993BD3"/>
    <w:rsid w:val="009952DD"/>
    <w:rsid w:val="009A1F5F"/>
    <w:rsid w:val="009B115E"/>
    <w:rsid w:val="009B33E8"/>
    <w:rsid w:val="009B7762"/>
    <w:rsid w:val="009C23A5"/>
    <w:rsid w:val="009C39F4"/>
    <w:rsid w:val="009C4C13"/>
    <w:rsid w:val="009C59FD"/>
    <w:rsid w:val="009C7CE4"/>
    <w:rsid w:val="009D2748"/>
    <w:rsid w:val="009E280D"/>
    <w:rsid w:val="009E4701"/>
    <w:rsid w:val="009E5804"/>
    <w:rsid w:val="009E5BA9"/>
    <w:rsid w:val="009E5ECB"/>
    <w:rsid w:val="009F04D2"/>
    <w:rsid w:val="009F149A"/>
    <w:rsid w:val="009F6D0F"/>
    <w:rsid w:val="00A006C4"/>
    <w:rsid w:val="00A008A0"/>
    <w:rsid w:val="00A025F0"/>
    <w:rsid w:val="00A04BF9"/>
    <w:rsid w:val="00A04FA7"/>
    <w:rsid w:val="00A074C3"/>
    <w:rsid w:val="00A15FC8"/>
    <w:rsid w:val="00A164CE"/>
    <w:rsid w:val="00A17684"/>
    <w:rsid w:val="00A2006E"/>
    <w:rsid w:val="00A20610"/>
    <w:rsid w:val="00A21C1B"/>
    <w:rsid w:val="00A239C4"/>
    <w:rsid w:val="00A2413F"/>
    <w:rsid w:val="00A25A2E"/>
    <w:rsid w:val="00A30493"/>
    <w:rsid w:val="00A334C9"/>
    <w:rsid w:val="00A34C33"/>
    <w:rsid w:val="00A36268"/>
    <w:rsid w:val="00A377E8"/>
    <w:rsid w:val="00A52256"/>
    <w:rsid w:val="00A6082D"/>
    <w:rsid w:val="00A627BF"/>
    <w:rsid w:val="00A64CFB"/>
    <w:rsid w:val="00A6546E"/>
    <w:rsid w:val="00A701DD"/>
    <w:rsid w:val="00A71821"/>
    <w:rsid w:val="00A75120"/>
    <w:rsid w:val="00A77D34"/>
    <w:rsid w:val="00A81988"/>
    <w:rsid w:val="00A85867"/>
    <w:rsid w:val="00A874C7"/>
    <w:rsid w:val="00A87965"/>
    <w:rsid w:val="00A91165"/>
    <w:rsid w:val="00A95A9A"/>
    <w:rsid w:val="00A97300"/>
    <w:rsid w:val="00AA11A3"/>
    <w:rsid w:val="00AA1819"/>
    <w:rsid w:val="00AA4B2B"/>
    <w:rsid w:val="00AB3141"/>
    <w:rsid w:val="00AB4837"/>
    <w:rsid w:val="00AB5898"/>
    <w:rsid w:val="00AB66B8"/>
    <w:rsid w:val="00AC3BFA"/>
    <w:rsid w:val="00AC4CDA"/>
    <w:rsid w:val="00AC674B"/>
    <w:rsid w:val="00AD6F91"/>
    <w:rsid w:val="00AE1106"/>
    <w:rsid w:val="00AE42DA"/>
    <w:rsid w:val="00AF5855"/>
    <w:rsid w:val="00AF596B"/>
    <w:rsid w:val="00AF5DBE"/>
    <w:rsid w:val="00B001A1"/>
    <w:rsid w:val="00B00B19"/>
    <w:rsid w:val="00B036EE"/>
    <w:rsid w:val="00B0641E"/>
    <w:rsid w:val="00B06ED6"/>
    <w:rsid w:val="00B10202"/>
    <w:rsid w:val="00B20435"/>
    <w:rsid w:val="00B210FC"/>
    <w:rsid w:val="00B21303"/>
    <w:rsid w:val="00B47518"/>
    <w:rsid w:val="00B51017"/>
    <w:rsid w:val="00B559A6"/>
    <w:rsid w:val="00B55B88"/>
    <w:rsid w:val="00B6230D"/>
    <w:rsid w:val="00B64306"/>
    <w:rsid w:val="00B64808"/>
    <w:rsid w:val="00B719DC"/>
    <w:rsid w:val="00B72660"/>
    <w:rsid w:val="00B73F74"/>
    <w:rsid w:val="00B753AC"/>
    <w:rsid w:val="00B80B0E"/>
    <w:rsid w:val="00B820CB"/>
    <w:rsid w:val="00B850F5"/>
    <w:rsid w:val="00B87058"/>
    <w:rsid w:val="00B924CB"/>
    <w:rsid w:val="00B95E39"/>
    <w:rsid w:val="00BA127E"/>
    <w:rsid w:val="00BA3B75"/>
    <w:rsid w:val="00BA5293"/>
    <w:rsid w:val="00BA6DCF"/>
    <w:rsid w:val="00BB0334"/>
    <w:rsid w:val="00BB6E09"/>
    <w:rsid w:val="00BC1DF0"/>
    <w:rsid w:val="00BC59B7"/>
    <w:rsid w:val="00BC68F3"/>
    <w:rsid w:val="00BC7FB4"/>
    <w:rsid w:val="00BD02FB"/>
    <w:rsid w:val="00BD0812"/>
    <w:rsid w:val="00BD18FE"/>
    <w:rsid w:val="00BD3214"/>
    <w:rsid w:val="00BD54D1"/>
    <w:rsid w:val="00BD58EC"/>
    <w:rsid w:val="00BD67B6"/>
    <w:rsid w:val="00BD6D1C"/>
    <w:rsid w:val="00BE2659"/>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4CB"/>
    <w:rsid w:val="00C03E2D"/>
    <w:rsid w:val="00C04833"/>
    <w:rsid w:val="00C06BA3"/>
    <w:rsid w:val="00C07B46"/>
    <w:rsid w:val="00C10EA2"/>
    <w:rsid w:val="00C14F4C"/>
    <w:rsid w:val="00C15906"/>
    <w:rsid w:val="00C15C84"/>
    <w:rsid w:val="00C16E65"/>
    <w:rsid w:val="00C20378"/>
    <w:rsid w:val="00C21BD4"/>
    <w:rsid w:val="00C229CA"/>
    <w:rsid w:val="00C2535B"/>
    <w:rsid w:val="00C33830"/>
    <w:rsid w:val="00C35A0B"/>
    <w:rsid w:val="00C35F82"/>
    <w:rsid w:val="00C413B6"/>
    <w:rsid w:val="00C5613E"/>
    <w:rsid w:val="00C56892"/>
    <w:rsid w:val="00C6031B"/>
    <w:rsid w:val="00C637FD"/>
    <w:rsid w:val="00C65F10"/>
    <w:rsid w:val="00C67BA8"/>
    <w:rsid w:val="00C70B54"/>
    <w:rsid w:val="00C7116F"/>
    <w:rsid w:val="00C71D37"/>
    <w:rsid w:val="00C74BE3"/>
    <w:rsid w:val="00C75213"/>
    <w:rsid w:val="00C75D0D"/>
    <w:rsid w:val="00C77D07"/>
    <w:rsid w:val="00C80BD0"/>
    <w:rsid w:val="00C8172F"/>
    <w:rsid w:val="00C82657"/>
    <w:rsid w:val="00C84086"/>
    <w:rsid w:val="00C86286"/>
    <w:rsid w:val="00C86A85"/>
    <w:rsid w:val="00C87EF5"/>
    <w:rsid w:val="00C97479"/>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4ECD"/>
    <w:rsid w:val="00CC5BF2"/>
    <w:rsid w:val="00CC77FB"/>
    <w:rsid w:val="00CC78D0"/>
    <w:rsid w:val="00CC7CEE"/>
    <w:rsid w:val="00CD6C04"/>
    <w:rsid w:val="00CE032D"/>
    <w:rsid w:val="00CE0BD9"/>
    <w:rsid w:val="00CE2178"/>
    <w:rsid w:val="00CE2636"/>
    <w:rsid w:val="00CE4385"/>
    <w:rsid w:val="00CE474E"/>
    <w:rsid w:val="00CE58DE"/>
    <w:rsid w:val="00CE7821"/>
    <w:rsid w:val="00CF0F46"/>
    <w:rsid w:val="00D00752"/>
    <w:rsid w:val="00D05231"/>
    <w:rsid w:val="00D05F0E"/>
    <w:rsid w:val="00D06831"/>
    <w:rsid w:val="00D12356"/>
    <w:rsid w:val="00D151D8"/>
    <w:rsid w:val="00D157C5"/>
    <w:rsid w:val="00D17F9A"/>
    <w:rsid w:val="00D2143D"/>
    <w:rsid w:val="00D22CC9"/>
    <w:rsid w:val="00D24E97"/>
    <w:rsid w:val="00D2665C"/>
    <w:rsid w:val="00D2714B"/>
    <w:rsid w:val="00D27331"/>
    <w:rsid w:val="00D31A22"/>
    <w:rsid w:val="00D34B59"/>
    <w:rsid w:val="00D355AF"/>
    <w:rsid w:val="00D37019"/>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3C43"/>
    <w:rsid w:val="00D74310"/>
    <w:rsid w:val="00D74914"/>
    <w:rsid w:val="00D805B9"/>
    <w:rsid w:val="00D874C6"/>
    <w:rsid w:val="00D92265"/>
    <w:rsid w:val="00D94076"/>
    <w:rsid w:val="00D94273"/>
    <w:rsid w:val="00DA5B42"/>
    <w:rsid w:val="00DA77E6"/>
    <w:rsid w:val="00DB082E"/>
    <w:rsid w:val="00DB0C86"/>
    <w:rsid w:val="00DB20F7"/>
    <w:rsid w:val="00DB2B7E"/>
    <w:rsid w:val="00DB3264"/>
    <w:rsid w:val="00DB7C04"/>
    <w:rsid w:val="00DC3A4D"/>
    <w:rsid w:val="00DC76AE"/>
    <w:rsid w:val="00DD0867"/>
    <w:rsid w:val="00DD2358"/>
    <w:rsid w:val="00DD238C"/>
    <w:rsid w:val="00DD27F0"/>
    <w:rsid w:val="00DD6BC6"/>
    <w:rsid w:val="00DD73F1"/>
    <w:rsid w:val="00DE02F5"/>
    <w:rsid w:val="00DE193A"/>
    <w:rsid w:val="00DE266B"/>
    <w:rsid w:val="00DE4E8A"/>
    <w:rsid w:val="00DE77E9"/>
    <w:rsid w:val="00DF1513"/>
    <w:rsid w:val="00DF542C"/>
    <w:rsid w:val="00DF697E"/>
    <w:rsid w:val="00E01C9B"/>
    <w:rsid w:val="00E02482"/>
    <w:rsid w:val="00E028FF"/>
    <w:rsid w:val="00E054BB"/>
    <w:rsid w:val="00E05B5E"/>
    <w:rsid w:val="00E07663"/>
    <w:rsid w:val="00E10251"/>
    <w:rsid w:val="00E217AA"/>
    <w:rsid w:val="00E2248F"/>
    <w:rsid w:val="00E22BBA"/>
    <w:rsid w:val="00E2573B"/>
    <w:rsid w:val="00E3248B"/>
    <w:rsid w:val="00E32622"/>
    <w:rsid w:val="00E346A1"/>
    <w:rsid w:val="00E35BD8"/>
    <w:rsid w:val="00E45BBB"/>
    <w:rsid w:val="00E4665E"/>
    <w:rsid w:val="00E467F1"/>
    <w:rsid w:val="00E533FD"/>
    <w:rsid w:val="00E534D2"/>
    <w:rsid w:val="00E54CD4"/>
    <w:rsid w:val="00E55248"/>
    <w:rsid w:val="00E5543A"/>
    <w:rsid w:val="00E56149"/>
    <w:rsid w:val="00E5723C"/>
    <w:rsid w:val="00E60897"/>
    <w:rsid w:val="00E6148B"/>
    <w:rsid w:val="00E625FA"/>
    <w:rsid w:val="00E62ABD"/>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7F90"/>
    <w:rsid w:val="00EB1C28"/>
    <w:rsid w:val="00EB2008"/>
    <w:rsid w:val="00EB5262"/>
    <w:rsid w:val="00EB6DE7"/>
    <w:rsid w:val="00EB71F5"/>
    <w:rsid w:val="00EC46F1"/>
    <w:rsid w:val="00ED03CE"/>
    <w:rsid w:val="00ED076F"/>
    <w:rsid w:val="00ED0E5A"/>
    <w:rsid w:val="00ED377E"/>
    <w:rsid w:val="00ED4CB0"/>
    <w:rsid w:val="00ED5518"/>
    <w:rsid w:val="00ED69C6"/>
    <w:rsid w:val="00ED76D9"/>
    <w:rsid w:val="00EE0193"/>
    <w:rsid w:val="00EE1E3F"/>
    <w:rsid w:val="00EE21CA"/>
    <w:rsid w:val="00EE2234"/>
    <w:rsid w:val="00EE2816"/>
    <w:rsid w:val="00EE6167"/>
    <w:rsid w:val="00EE6D85"/>
    <w:rsid w:val="00EE7266"/>
    <w:rsid w:val="00EE785E"/>
    <w:rsid w:val="00EF3944"/>
    <w:rsid w:val="00EF52A1"/>
    <w:rsid w:val="00EF5D02"/>
    <w:rsid w:val="00F00CCB"/>
    <w:rsid w:val="00F012E0"/>
    <w:rsid w:val="00F01438"/>
    <w:rsid w:val="00F05394"/>
    <w:rsid w:val="00F06124"/>
    <w:rsid w:val="00F102E0"/>
    <w:rsid w:val="00F10726"/>
    <w:rsid w:val="00F11C57"/>
    <w:rsid w:val="00F12FA9"/>
    <w:rsid w:val="00F13C6E"/>
    <w:rsid w:val="00F14120"/>
    <w:rsid w:val="00F149B4"/>
    <w:rsid w:val="00F17962"/>
    <w:rsid w:val="00F27861"/>
    <w:rsid w:val="00F304AE"/>
    <w:rsid w:val="00F440DD"/>
    <w:rsid w:val="00F4632D"/>
    <w:rsid w:val="00F51563"/>
    <w:rsid w:val="00F542FB"/>
    <w:rsid w:val="00F54990"/>
    <w:rsid w:val="00F5683A"/>
    <w:rsid w:val="00F577DC"/>
    <w:rsid w:val="00F61591"/>
    <w:rsid w:val="00F66024"/>
    <w:rsid w:val="00F66FBE"/>
    <w:rsid w:val="00F80498"/>
    <w:rsid w:val="00F80CB5"/>
    <w:rsid w:val="00F80FF0"/>
    <w:rsid w:val="00F82DC9"/>
    <w:rsid w:val="00F85A81"/>
    <w:rsid w:val="00F86C0A"/>
    <w:rsid w:val="00F872D5"/>
    <w:rsid w:val="00F91F0F"/>
    <w:rsid w:val="00F93080"/>
    <w:rsid w:val="00F9331B"/>
    <w:rsid w:val="00F95915"/>
    <w:rsid w:val="00F96776"/>
    <w:rsid w:val="00FA25AF"/>
    <w:rsid w:val="00FA3EBB"/>
    <w:rsid w:val="00FA4A8E"/>
    <w:rsid w:val="00FA5C92"/>
    <w:rsid w:val="00FA675F"/>
    <w:rsid w:val="00FB3284"/>
    <w:rsid w:val="00FB3313"/>
    <w:rsid w:val="00FB48DF"/>
    <w:rsid w:val="00FB65D8"/>
    <w:rsid w:val="00FC13B1"/>
    <w:rsid w:val="00FC15F8"/>
    <w:rsid w:val="00FC5824"/>
    <w:rsid w:val="00FC5D22"/>
    <w:rsid w:val="00FC6F82"/>
    <w:rsid w:val="00FC7223"/>
    <w:rsid w:val="00FC7519"/>
    <w:rsid w:val="00FD0B9E"/>
    <w:rsid w:val="00FD0CA5"/>
    <w:rsid w:val="00FD0DDC"/>
    <w:rsid w:val="00FD43F1"/>
    <w:rsid w:val="00FD7944"/>
    <w:rsid w:val="00FE0B9D"/>
    <w:rsid w:val="00FE19F4"/>
    <w:rsid w:val="00FE2167"/>
    <w:rsid w:val="00FE4198"/>
    <w:rsid w:val="00FE63C0"/>
    <w:rsid w:val="00FF19E5"/>
    <w:rsid w:val="00FF47E0"/>
    <w:rsid w:val="00FF48AA"/>
    <w:rsid w:val="00FF58A6"/>
    <w:rsid w:val="00FF6634"/>
    <w:rsid w:val="00FF6B57"/>
    <w:rsid w:val="00FF7F84"/>
    <w:rsid w:val="01136044"/>
    <w:rsid w:val="01252B0B"/>
    <w:rsid w:val="012810B4"/>
    <w:rsid w:val="012D1ACE"/>
    <w:rsid w:val="012F6197"/>
    <w:rsid w:val="013E1B96"/>
    <w:rsid w:val="0147619B"/>
    <w:rsid w:val="01486301"/>
    <w:rsid w:val="014D3B72"/>
    <w:rsid w:val="01505F15"/>
    <w:rsid w:val="016A13E2"/>
    <w:rsid w:val="016A1856"/>
    <w:rsid w:val="016A6FD7"/>
    <w:rsid w:val="016C3678"/>
    <w:rsid w:val="016C71F3"/>
    <w:rsid w:val="017231B2"/>
    <w:rsid w:val="01830099"/>
    <w:rsid w:val="01AA3C00"/>
    <w:rsid w:val="01BA1FAE"/>
    <w:rsid w:val="01C42B8B"/>
    <w:rsid w:val="01C95FBC"/>
    <w:rsid w:val="01CB3D50"/>
    <w:rsid w:val="01FA7BEC"/>
    <w:rsid w:val="02094A42"/>
    <w:rsid w:val="02154D1B"/>
    <w:rsid w:val="021F2274"/>
    <w:rsid w:val="02203B3A"/>
    <w:rsid w:val="02251BAE"/>
    <w:rsid w:val="02277978"/>
    <w:rsid w:val="022845C1"/>
    <w:rsid w:val="02436182"/>
    <w:rsid w:val="0244333E"/>
    <w:rsid w:val="02497924"/>
    <w:rsid w:val="024B2C06"/>
    <w:rsid w:val="02663C42"/>
    <w:rsid w:val="027E167B"/>
    <w:rsid w:val="02AD7AC3"/>
    <w:rsid w:val="02AE0B3A"/>
    <w:rsid w:val="02BA606F"/>
    <w:rsid w:val="02DC5E48"/>
    <w:rsid w:val="02F71C45"/>
    <w:rsid w:val="03074366"/>
    <w:rsid w:val="03232102"/>
    <w:rsid w:val="033C3670"/>
    <w:rsid w:val="035F7C75"/>
    <w:rsid w:val="036C778B"/>
    <w:rsid w:val="036D13FC"/>
    <w:rsid w:val="037E1995"/>
    <w:rsid w:val="03872A6D"/>
    <w:rsid w:val="03A711BB"/>
    <w:rsid w:val="03A74D04"/>
    <w:rsid w:val="03C3548E"/>
    <w:rsid w:val="03C70B0E"/>
    <w:rsid w:val="03D547B3"/>
    <w:rsid w:val="03D663BA"/>
    <w:rsid w:val="03DA284F"/>
    <w:rsid w:val="03DF4F76"/>
    <w:rsid w:val="03F51722"/>
    <w:rsid w:val="041651F4"/>
    <w:rsid w:val="04205F3D"/>
    <w:rsid w:val="04214E6D"/>
    <w:rsid w:val="042602D7"/>
    <w:rsid w:val="043F57AB"/>
    <w:rsid w:val="04461F7D"/>
    <w:rsid w:val="04646B21"/>
    <w:rsid w:val="04966D04"/>
    <w:rsid w:val="04AA4F90"/>
    <w:rsid w:val="04B769D7"/>
    <w:rsid w:val="04BA2023"/>
    <w:rsid w:val="04D73519"/>
    <w:rsid w:val="04DF680F"/>
    <w:rsid w:val="04EA1655"/>
    <w:rsid w:val="04EB6681"/>
    <w:rsid w:val="04EE5255"/>
    <w:rsid w:val="04F57003"/>
    <w:rsid w:val="05133ED9"/>
    <w:rsid w:val="05143B48"/>
    <w:rsid w:val="05410824"/>
    <w:rsid w:val="054735B7"/>
    <w:rsid w:val="05984F04"/>
    <w:rsid w:val="05CC3871"/>
    <w:rsid w:val="05D553BE"/>
    <w:rsid w:val="05DA69D8"/>
    <w:rsid w:val="05E0702C"/>
    <w:rsid w:val="05E50540"/>
    <w:rsid w:val="05E57574"/>
    <w:rsid w:val="05F535D8"/>
    <w:rsid w:val="0606105B"/>
    <w:rsid w:val="060C4B01"/>
    <w:rsid w:val="061D666A"/>
    <w:rsid w:val="062D2C53"/>
    <w:rsid w:val="06343969"/>
    <w:rsid w:val="063B6884"/>
    <w:rsid w:val="064249C6"/>
    <w:rsid w:val="0649713E"/>
    <w:rsid w:val="064D3FD7"/>
    <w:rsid w:val="06582A21"/>
    <w:rsid w:val="065E69CF"/>
    <w:rsid w:val="06680F2D"/>
    <w:rsid w:val="067135A7"/>
    <w:rsid w:val="06820F10"/>
    <w:rsid w:val="06853F61"/>
    <w:rsid w:val="0692669E"/>
    <w:rsid w:val="06B44E5F"/>
    <w:rsid w:val="06BD404D"/>
    <w:rsid w:val="06BF7B4B"/>
    <w:rsid w:val="06C21663"/>
    <w:rsid w:val="06C47189"/>
    <w:rsid w:val="06CA606B"/>
    <w:rsid w:val="06CE2F23"/>
    <w:rsid w:val="06CF3561"/>
    <w:rsid w:val="06D90B7D"/>
    <w:rsid w:val="070B2D79"/>
    <w:rsid w:val="070B4DB8"/>
    <w:rsid w:val="070E01B0"/>
    <w:rsid w:val="07171C6A"/>
    <w:rsid w:val="071A07ED"/>
    <w:rsid w:val="071E141A"/>
    <w:rsid w:val="072E6CF9"/>
    <w:rsid w:val="075465C4"/>
    <w:rsid w:val="078C754A"/>
    <w:rsid w:val="078D1FA7"/>
    <w:rsid w:val="07A2353D"/>
    <w:rsid w:val="07A70146"/>
    <w:rsid w:val="07CB116E"/>
    <w:rsid w:val="07ED3912"/>
    <w:rsid w:val="07F24454"/>
    <w:rsid w:val="080C3956"/>
    <w:rsid w:val="080F57D7"/>
    <w:rsid w:val="081642CE"/>
    <w:rsid w:val="08193505"/>
    <w:rsid w:val="083E016E"/>
    <w:rsid w:val="08470018"/>
    <w:rsid w:val="084C50A9"/>
    <w:rsid w:val="084F0BF9"/>
    <w:rsid w:val="084F6B35"/>
    <w:rsid w:val="08575CFD"/>
    <w:rsid w:val="08712CE8"/>
    <w:rsid w:val="08843642"/>
    <w:rsid w:val="08871D9C"/>
    <w:rsid w:val="08A95B6A"/>
    <w:rsid w:val="08B82739"/>
    <w:rsid w:val="08CE127B"/>
    <w:rsid w:val="08DA740C"/>
    <w:rsid w:val="091B505B"/>
    <w:rsid w:val="09327C7A"/>
    <w:rsid w:val="093B6562"/>
    <w:rsid w:val="093E0DA0"/>
    <w:rsid w:val="096804F1"/>
    <w:rsid w:val="096E162E"/>
    <w:rsid w:val="0983332C"/>
    <w:rsid w:val="09856FCC"/>
    <w:rsid w:val="09894201"/>
    <w:rsid w:val="09945ED9"/>
    <w:rsid w:val="0996304A"/>
    <w:rsid w:val="09B91699"/>
    <w:rsid w:val="09BB1A23"/>
    <w:rsid w:val="09C0241E"/>
    <w:rsid w:val="09C2120B"/>
    <w:rsid w:val="09C21D56"/>
    <w:rsid w:val="09D34A04"/>
    <w:rsid w:val="0A206373"/>
    <w:rsid w:val="0A3D67D8"/>
    <w:rsid w:val="0A4664C7"/>
    <w:rsid w:val="0A4A1FF8"/>
    <w:rsid w:val="0A671082"/>
    <w:rsid w:val="0A994253"/>
    <w:rsid w:val="0AC117BB"/>
    <w:rsid w:val="0ADB0E2A"/>
    <w:rsid w:val="0B0815FA"/>
    <w:rsid w:val="0B193428"/>
    <w:rsid w:val="0B3872C6"/>
    <w:rsid w:val="0B3A3EBE"/>
    <w:rsid w:val="0B413ACA"/>
    <w:rsid w:val="0B60369D"/>
    <w:rsid w:val="0B8415A0"/>
    <w:rsid w:val="0B8767EA"/>
    <w:rsid w:val="0B9B14E3"/>
    <w:rsid w:val="0BA13D20"/>
    <w:rsid w:val="0BA93418"/>
    <w:rsid w:val="0BD36993"/>
    <w:rsid w:val="0BDA2F49"/>
    <w:rsid w:val="0BF4406D"/>
    <w:rsid w:val="0BF75FA0"/>
    <w:rsid w:val="0C0C239B"/>
    <w:rsid w:val="0C0C4563"/>
    <w:rsid w:val="0C2C517D"/>
    <w:rsid w:val="0C4301F3"/>
    <w:rsid w:val="0C444450"/>
    <w:rsid w:val="0C4D3B5D"/>
    <w:rsid w:val="0C560994"/>
    <w:rsid w:val="0C6F6735"/>
    <w:rsid w:val="0C7151FD"/>
    <w:rsid w:val="0C7A1077"/>
    <w:rsid w:val="0C8A3857"/>
    <w:rsid w:val="0C8F023A"/>
    <w:rsid w:val="0CA05C55"/>
    <w:rsid w:val="0CAD44F5"/>
    <w:rsid w:val="0CB837C2"/>
    <w:rsid w:val="0CD062C2"/>
    <w:rsid w:val="0CD41890"/>
    <w:rsid w:val="0CF84EE9"/>
    <w:rsid w:val="0CFB514D"/>
    <w:rsid w:val="0D0567F6"/>
    <w:rsid w:val="0D131644"/>
    <w:rsid w:val="0D150A13"/>
    <w:rsid w:val="0D1D5A0E"/>
    <w:rsid w:val="0D5A5E11"/>
    <w:rsid w:val="0D692980"/>
    <w:rsid w:val="0D7923B7"/>
    <w:rsid w:val="0D89262D"/>
    <w:rsid w:val="0D9506B5"/>
    <w:rsid w:val="0D9E10EB"/>
    <w:rsid w:val="0D9E6986"/>
    <w:rsid w:val="0DA41AC3"/>
    <w:rsid w:val="0DAC749E"/>
    <w:rsid w:val="0DBF73EA"/>
    <w:rsid w:val="0DBF76A3"/>
    <w:rsid w:val="0DC17C58"/>
    <w:rsid w:val="0DD018B1"/>
    <w:rsid w:val="0DE638A6"/>
    <w:rsid w:val="0DF437D6"/>
    <w:rsid w:val="0E016F15"/>
    <w:rsid w:val="0E230C39"/>
    <w:rsid w:val="0E2C7C56"/>
    <w:rsid w:val="0E390D62"/>
    <w:rsid w:val="0E507AEC"/>
    <w:rsid w:val="0EB92E71"/>
    <w:rsid w:val="0EBC6097"/>
    <w:rsid w:val="0EDD4F42"/>
    <w:rsid w:val="0EE358D3"/>
    <w:rsid w:val="0EF12AE6"/>
    <w:rsid w:val="0EFD76DC"/>
    <w:rsid w:val="0F1119D8"/>
    <w:rsid w:val="0F1718AE"/>
    <w:rsid w:val="0F1768AA"/>
    <w:rsid w:val="0F3018D5"/>
    <w:rsid w:val="0F326A30"/>
    <w:rsid w:val="0F426E07"/>
    <w:rsid w:val="0F4853E5"/>
    <w:rsid w:val="0F4A1D24"/>
    <w:rsid w:val="0F7D1614"/>
    <w:rsid w:val="0F8B40DB"/>
    <w:rsid w:val="0FA10663"/>
    <w:rsid w:val="0FA47BA8"/>
    <w:rsid w:val="0FC072F5"/>
    <w:rsid w:val="0FC4644C"/>
    <w:rsid w:val="0FDD39EB"/>
    <w:rsid w:val="0FE805A8"/>
    <w:rsid w:val="0FEB7ECA"/>
    <w:rsid w:val="0FF309D8"/>
    <w:rsid w:val="0FFE7970"/>
    <w:rsid w:val="1005725B"/>
    <w:rsid w:val="103539FF"/>
    <w:rsid w:val="103C5FE2"/>
    <w:rsid w:val="105A329A"/>
    <w:rsid w:val="106D7C45"/>
    <w:rsid w:val="10AD5D55"/>
    <w:rsid w:val="10B8450E"/>
    <w:rsid w:val="10BA54A7"/>
    <w:rsid w:val="10C17212"/>
    <w:rsid w:val="10C658F0"/>
    <w:rsid w:val="10C97A6F"/>
    <w:rsid w:val="10D52320"/>
    <w:rsid w:val="10EA1474"/>
    <w:rsid w:val="11041BD7"/>
    <w:rsid w:val="110E400D"/>
    <w:rsid w:val="11192986"/>
    <w:rsid w:val="111A3EC3"/>
    <w:rsid w:val="11283D2F"/>
    <w:rsid w:val="113E10E4"/>
    <w:rsid w:val="11537A88"/>
    <w:rsid w:val="116039F3"/>
    <w:rsid w:val="119A52DF"/>
    <w:rsid w:val="11A025A1"/>
    <w:rsid w:val="11AD61AA"/>
    <w:rsid w:val="11C21DDD"/>
    <w:rsid w:val="11C72224"/>
    <w:rsid w:val="11D34F30"/>
    <w:rsid w:val="122107EC"/>
    <w:rsid w:val="12347BC6"/>
    <w:rsid w:val="12386C7D"/>
    <w:rsid w:val="124973FE"/>
    <w:rsid w:val="12671A92"/>
    <w:rsid w:val="129640D0"/>
    <w:rsid w:val="12A863E0"/>
    <w:rsid w:val="12CC6B55"/>
    <w:rsid w:val="12EF32BD"/>
    <w:rsid w:val="12F6433F"/>
    <w:rsid w:val="12F901BB"/>
    <w:rsid w:val="13072A66"/>
    <w:rsid w:val="1310292A"/>
    <w:rsid w:val="13167525"/>
    <w:rsid w:val="13365764"/>
    <w:rsid w:val="13531FC1"/>
    <w:rsid w:val="13595853"/>
    <w:rsid w:val="13682EDD"/>
    <w:rsid w:val="13C21C74"/>
    <w:rsid w:val="13CE33BF"/>
    <w:rsid w:val="13D379B2"/>
    <w:rsid w:val="13D77AB6"/>
    <w:rsid w:val="13E1581F"/>
    <w:rsid w:val="13E20FAD"/>
    <w:rsid w:val="13E23345"/>
    <w:rsid w:val="13E2545D"/>
    <w:rsid w:val="13EA5300"/>
    <w:rsid w:val="13FA32D3"/>
    <w:rsid w:val="14265163"/>
    <w:rsid w:val="142F4691"/>
    <w:rsid w:val="14334BFC"/>
    <w:rsid w:val="144107F3"/>
    <w:rsid w:val="14461C5F"/>
    <w:rsid w:val="144728CF"/>
    <w:rsid w:val="14552F51"/>
    <w:rsid w:val="14603213"/>
    <w:rsid w:val="14626D08"/>
    <w:rsid w:val="147D703B"/>
    <w:rsid w:val="147E5910"/>
    <w:rsid w:val="148647C6"/>
    <w:rsid w:val="149009DE"/>
    <w:rsid w:val="14901861"/>
    <w:rsid w:val="149F1FFF"/>
    <w:rsid w:val="14B533B1"/>
    <w:rsid w:val="14CC6391"/>
    <w:rsid w:val="14E153AA"/>
    <w:rsid w:val="14F72DCD"/>
    <w:rsid w:val="14FD3926"/>
    <w:rsid w:val="14FD6A90"/>
    <w:rsid w:val="15062C0B"/>
    <w:rsid w:val="15111326"/>
    <w:rsid w:val="151B664D"/>
    <w:rsid w:val="151E2778"/>
    <w:rsid w:val="1525101E"/>
    <w:rsid w:val="152E4A94"/>
    <w:rsid w:val="15541BAA"/>
    <w:rsid w:val="156C55BC"/>
    <w:rsid w:val="1585067D"/>
    <w:rsid w:val="158B402B"/>
    <w:rsid w:val="15B85BCD"/>
    <w:rsid w:val="15C364D0"/>
    <w:rsid w:val="15E05662"/>
    <w:rsid w:val="15E8783D"/>
    <w:rsid w:val="15EA3B86"/>
    <w:rsid w:val="15EC153F"/>
    <w:rsid w:val="15F252FF"/>
    <w:rsid w:val="15FF4ABD"/>
    <w:rsid w:val="1600089F"/>
    <w:rsid w:val="162A61DF"/>
    <w:rsid w:val="16333991"/>
    <w:rsid w:val="164644FA"/>
    <w:rsid w:val="16580CA7"/>
    <w:rsid w:val="1661484B"/>
    <w:rsid w:val="166718DF"/>
    <w:rsid w:val="166F2B4B"/>
    <w:rsid w:val="16714ED2"/>
    <w:rsid w:val="16802D09"/>
    <w:rsid w:val="168D7598"/>
    <w:rsid w:val="168E782C"/>
    <w:rsid w:val="16A14DF1"/>
    <w:rsid w:val="16C93789"/>
    <w:rsid w:val="16CB534B"/>
    <w:rsid w:val="16CD4539"/>
    <w:rsid w:val="16E91414"/>
    <w:rsid w:val="16EA2772"/>
    <w:rsid w:val="16EF3DAF"/>
    <w:rsid w:val="16F6131D"/>
    <w:rsid w:val="16FD1C36"/>
    <w:rsid w:val="16FF2462"/>
    <w:rsid w:val="17051824"/>
    <w:rsid w:val="17076898"/>
    <w:rsid w:val="17136436"/>
    <w:rsid w:val="17186098"/>
    <w:rsid w:val="171E28E6"/>
    <w:rsid w:val="174A36DB"/>
    <w:rsid w:val="176413A0"/>
    <w:rsid w:val="176631C7"/>
    <w:rsid w:val="1770621D"/>
    <w:rsid w:val="177D5A59"/>
    <w:rsid w:val="177F20F6"/>
    <w:rsid w:val="178F78A1"/>
    <w:rsid w:val="1791130A"/>
    <w:rsid w:val="179861C6"/>
    <w:rsid w:val="17D13E0B"/>
    <w:rsid w:val="17FE063D"/>
    <w:rsid w:val="18043FF0"/>
    <w:rsid w:val="180668B5"/>
    <w:rsid w:val="180A640E"/>
    <w:rsid w:val="180F222F"/>
    <w:rsid w:val="182B36F3"/>
    <w:rsid w:val="1830475B"/>
    <w:rsid w:val="183A016B"/>
    <w:rsid w:val="184B2D58"/>
    <w:rsid w:val="185F7055"/>
    <w:rsid w:val="18700F1F"/>
    <w:rsid w:val="18722CB9"/>
    <w:rsid w:val="188A65B6"/>
    <w:rsid w:val="18C51A5F"/>
    <w:rsid w:val="18C875D3"/>
    <w:rsid w:val="18CD1ADC"/>
    <w:rsid w:val="18D45952"/>
    <w:rsid w:val="18D9352A"/>
    <w:rsid w:val="18DF2163"/>
    <w:rsid w:val="18E01294"/>
    <w:rsid w:val="18F91A49"/>
    <w:rsid w:val="19094EBC"/>
    <w:rsid w:val="190F0762"/>
    <w:rsid w:val="19184BF5"/>
    <w:rsid w:val="19207241"/>
    <w:rsid w:val="19566540"/>
    <w:rsid w:val="195D2D27"/>
    <w:rsid w:val="1974419A"/>
    <w:rsid w:val="197C6EC6"/>
    <w:rsid w:val="19857CAF"/>
    <w:rsid w:val="199004BC"/>
    <w:rsid w:val="199F3505"/>
    <w:rsid w:val="19AA6867"/>
    <w:rsid w:val="19BC2B5E"/>
    <w:rsid w:val="19CB24E7"/>
    <w:rsid w:val="19F3005A"/>
    <w:rsid w:val="19FC5BD1"/>
    <w:rsid w:val="1A024F0A"/>
    <w:rsid w:val="1A0E2971"/>
    <w:rsid w:val="1A531B27"/>
    <w:rsid w:val="1A5F35C6"/>
    <w:rsid w:val="1A667DE2"/>
    <w:rsid w:val="1A761982"/>
    <w:rsid w:val="1A823129"/>
    <w:rsid w:val="1A99676A"/>
    <w:rsid w:val="1A9C249F"/>
    <w:rsid w:val="1A9D4254"/>
    <w:rsid w:val="1AB772D9"/>
    <w:rsid w:val="1AC54F5A"/>
    <w:rsid w:val="1AD673B1"/>
    <w:rsid w:val="1AE96D67"/>
    <w:rsid w:val="1B083691"/>
    <w:rsid w:val="1B136467"/>
    <w:rsid w:val="1B1C0EEA"/>
    <w:rsid w:val="1B2E33E8"/>
    <w:rsid w:val="1B32626F"/>
    <w:rsid w:val="1B434107"/>
    <w:rsid w:val="1B4C5D24"/>
    <w:rsid w:val="1B541F13"/>
    <w:rsid w:val="1B5C1C2F"/>
    <w:rsid w:val="1B642C7F"/>
    <w:rsid w:val="1B740BCE"/>
    <w:rsid w:val="1B7B788F"/>
    <w:rsid w:val="1B813443"/>
    <w:rsid w:val="1B8A058E"/>
    <w:rsid w:val="1B8D6237"/>
    <w:rsid w:val="1B976D25"/>
    <w:rsid w:val="1B993D85"/>
    <w:rsid w:val="1BA240DC"/>
    <w:rsid w:val="1BE64B6D"/>
    <w:rsid w:val="1BE951D6"/>
    <w:rsid w:val="1BF100F0"/>
    <w:rsid w:val="1BF62CED"/>
    <w:rsid w:val="1BFB363C"/>
    <w:rsid w:val="1BFC5E62"/>
    <w:rsid w:val="1C0B1F12"/>
    <w:rsid w:val="1C2D6919"/>
    <w:rsid w:val="1C3D3146"/>
    <w:rsid w:val="1C466E61"/>
    <w:rsid w:val="1C51664B"/>
    <w:rsid w:val="1C5648D0"/>
    <w:rsid w:val="1C5F6A46"/>
    <w:rsid w:val="1C782979"/>
    <w:rsid w:val="1C817B9F"/>
    <w:rsid w:val="1C8B27CB"/>
    <w:rsid w:val="1C9932AE"/>
    <w:rsid w:val="1C9D616D"/>
    <w:rsid w:val="1CF32EED"/>
    <w:rsid w:val="1D1D0F4A"/>
    <w:rsid w:val="1D4159FA"/>
    <w:rsid w:val="1D433AD2"/>
    <w:rsid w:val="1D481109"/>
    <w:rsid w:val="1D4A4851"/>
    <w:rsid w:val="1D540E0F"/>
    <w:rsid w:val="1D586399"/>
    <w:rsid w:val="1D5953A7"/>
    <w:rsid w:val="1D6D06AA"/>
    <w:rsid w:val="1D762FCE"/>
    <w:rsid w:val="1D7B085B"/>
    <w:rsid w:val="1D8F6519"/>
    <w:rsid w:val="1DA2641B"/>
    <w:rsid w:val="1DA50E97"/>
    <w:rsid w:val="1DB51702"/>
    <w:rsid w:val="1DC31AF1"/>
    <w:rsid w:val="1DC8185F"/>
    <w:rsid w:val="1DD01D50"/>
    <w:rsid w:val="1DD367D5"/>
    <w:rsid w:val="1DD96F12"/>
    <w:rsid w:val="1DE41374"/>
    <w:rsid w:val="1E0D4BA1"/>
    <w:rsid w:val="1E1E2B47"/>
    <w:rsid w:val="1E2B2D48"/>
    <w:rsid w:val="1E4D7863"/>
    <w:rsid w:val="1E4E4833"/>
    <w:rsid w:val="1E515D96"/>
    <w:rsid w:val="1E555B90"/>
    <w:rsid w:val="1E7D7CA1"/>
    <w:rsid w:val="1E8030EE"/>
    <w:rsid w:val="1E8D2205"/>
    <w:rsid w:val="1EA760DF"/>
    <w:rsid w:val="1EC5532A"/>
    <w:rsid w:val="1EC82B4C"/>
    <w:rsid w:val="1EE57E3C"/>
    <w:rsid w:val="1F0C74F6"/>
    <w:rsid w:val="1F2416B0"/>
    <w:rsid w:val="1F3642A9"/>
    <w:rsid w:val="1F373124"/>
    <w:rsid w:val="1F4D3504"/>
    <w:rsid w:val="1F6705E1"/>
    <w:rsid w:val="1F695302"/>
    <w:rsid w:val="1F7F4BD4"/>
    <w:rsid w:val="1F8A4FBC"/>
    <w:rsid w:val="1F904D43"/>
    <w:rsid w:val="1F9374EA"/>
    <w:rsid w:val="1FAB0CEB"/>
    <w:rsid w:val="1FB565DB"/>
    <w:rsid w:val="1FBB1C16"/>
    <w:rsid w:val="1FCB46A2"/>
    <w:rsid w:val="1FE5598A"/>
    <w:rsid w:val="1FE65064"/>
    <w:rsid w:val="200301D7"/>
    <w:rsid w:val="20074C70"/>
    <w:rsid w:val="200C5808"/>
    <w:rsid w:val="20100506"/>
    <w:rsid w:val="20163229"/>
    <w:rsid w:val="201768D3"/>
    <w:rsid w:val="201A0173"/>
    <w:rsid w:val="202718F0"/>
    <w:rsid w:val="202F42FD"/>
    <w:rsid w:val="20314E31"/>
    <w:rsid w:val="203B1DCF"/>
    <w:rsid w:val="20593757"/>
    <w:rsid w:val="205E1A2B"/>
    <w:rsid w:val="207224F2"/>
    <w:rsid w:val="207C47F6"/>
    <w:rsid w:val="207C70D2"/>
    <w:rsid w:val="20853119"/>
    <w:rsid w:val="20913CDC"/>
    <w:rsid w:val="209854B7"/>
    <w:rsid w:val="209F181A"/>
    <w:rsid w:val="20A92C24"/>
    <w:rsid w:val="20AC439E"/>
    <w:rsid w:val="20B44177"/>
    <w:rsid w:val="20C47F24"/>
    <w:rsid w:val="20FD5FE6"/>
    <w:rsid w:val="210F01E6"/>
    <w:rsid w:val="215532CA"/>
    <w:rsid w:val="21610F15"/>
    <w:rsid w:val="21617F9F"/>
    <w:rsid w:val="21625B44"/>
    <w:rsid w:val="21667363"/>
    <w:rsid w:val="2174510E"/>
    <w:rsid w:val="2176109C"/>
    <w:rsid w:val="2177103C"/>
    <w:rsid w:val="21827F2D"/>
    <w:rsid w:val="2188074D"/>
    <w:rsid w:val="219406E4"/>
    <w:rsid w:val="21BD474F"/>
    <w:rsid w:val="21F435B3"/>
    <w:rsid w:val="220A5266"/>
    <w:rsid w:val="220D4886"/>
    <w:rsid w:val="22130CE9"/>
    <w:rsid w:val="221F217C"/>
    <w:rsid w:val="22235254"/>
    <w:rsid w:val="22292CE9"/>
    <w:rsid w:val="223B07F0"/>
    <w:rsid w:val="22516281"/>
    <w:rsid w:val="22643D5C"/>
    <w:rsid w:val="22721D38"/>
    <w:rsid w:val="22793600"/>
    <w:rsid w:val="227B08FE"/>
    <w:rsid w:val="227E439D"/>
    <w:rsid w:val="22916662"/>
    <w:rsid w:val="22A033C6"/>
    <w:rsid w:val="22B25119"/>
    <w:rsid w:val="22BB1C28"/>
    <w:rsid w:val="22C30D9A"/>
    <w:rsid w:val="22D402FC"/>
    <w:rsid w:val="22D4654E"/>
    <w:rsid w:val="22E1079B"/>
    <w:rsid w:val="22E1170F"/>
    <w:rsid w:val="22E1606D"/>
    <w:rsid w:val="22EE169D"/>
    <w:rsid w:val="22F32C22"/>
    <w:rsid w:val="22F66494"/>
    <w:rsid w:val="230766B4"/>
    <w:rsid w:val="230C1269"/>
    <w:rsid w:val="233D2346"/>
    <w:rsid w:val="233F6878"/>
    <w:rsid w:val="23482F54"/>
    <w:rsid w:val="23494B26"/>
    <w:rsid w:val="2356389D"/>
    <w:rsid w:val="236F31D6"/>
    <w:rsid w:val="238103B3"/>
    <w:rsid w:val="23970773"/>
    <w:rsid w:val="23971ABF"/>
    <w:rsid w:val="23A75A11"/>
    <w:rsid w:val="23AF2D7A"/>
    <w:rsid w:val="23AF5C37"/>
    <w:rsid w:val="23C45E02"/>
    <w:rsid w:val="23CB02BA"/>
    <w:rsid w:val="23D55635"/>
    <w:rsid w:val="23D91236"/>
    <w:rsid w:val="23E353AA"/>
    <w:rsid w:val="23EB1F34"/>
    <w:rsid w:val="23EB7734"/>
    <w:rsid w:val="23F7006B"/>
    <w:rsid w:val="2419648E"/>
    <w:rsid w:val="243201E0"/>
    <w:rsid w:val="243279D1"/>
    <w:rsid w:val="243D31D6"/>
    <w:rsid w:val="24443330"/>
    <w:rsid w:val="2453769A"/>
    <w:rsid w:val="245B4C20"/>
    <w:rsid w:val="24680B8B"/>
    <w:rsid w:val="246A055E"/>
    <w:rsid w:val="24741271"/>
    <w:rsid w:val="24741D97"/>
    <w:rsid w:val="247D50F0"/>
    <w:rsid w:val="247D6DAC"/>
    <w:rsid w:val="2486063B"/>
    <w:rsid w:val="24A44302"/>
    <w:rsid w:val="24B538FD"/>
    <w:rsid w:val="24B9375B"/>
    <w:rsid w:val="24BF042D"/>
    <w:rsid w:val="251729C1"/>
    <w:rsid w:val="25182CA8"/>
    <w:rsid w:val="25291ABD"/>
    <w:rsid w:val="2545535E"/>
    <w:rsid w:val="254F010E"/>
    <w:rsid w:val="255A7478"/>
    <w:rsid w:val="25660E9C"/>
    <w:rsid w:val="25670F32"/>
    <w:rsid w:val="256E48C7"/>
    <w:rsid w:val="25801AEB"/>
    <w:rsid w:val="2595573A"/>
    <w:rsid w:val="25B6426B"/>
    <w:rsid w:val="25B74631"/>
    <w:rsid w:val="25C51DDD"/>
    <w:rsid w:val="25DC37D0"/>
    <w:rsid w:val="25DE68BA"/>
    <w:rsid w:val="25F43CA6"/>
    <w:rsid w:val="25FE34BE"/>
    <w:rsid w:val="25FF6F8E"/>
    <w:rsid w:val="26011DF0"/>
    <w:rsid w:val="26044A00"/>
    <w:rsid w:val="261929E6"/>
    <w:rsid w:val="26325A66"/>
    <w:rsid w:val="264834DB"/>
    <w:rsid w:val="269D0CD2"/>
    <w:rsid w:val="26A82052"/>
    <w:rsid w:val="26F1048F"/>
    <w:rsid w:val="26F5408C"/>
    <w:rsid w:val="26F901F5"/>
    <w:rsid w:val="2704390F"/>
    <w:rsid w:val="2713141F"/>
    <w:rsid w:val="271B6B0C"/>
    <w:rsid w:val="27244C2E"/>
    <w:rsid w:val="272A4D9C"/>
    <w:rsid w:val="273F77D1"/>
    <w:rsid w:val="2768765C"/>
    <w:rsid w:val="27745D23"/>
    <w:rsid w:val="277F300E"/>
    <w:rsid w:val="278A18D2"/>
    <w:rsid w:val="278E3271"/>
    <w:rsid w:val="27951E14"/>
    <w:rsid w:val="2798488F"/>
    <w:rsid w:val="27BD0FA5"/>
    <w:rsid w:val="27CE34AA"/>
    <w:rsid w:val="27E048AC"/>
    <w:rsid w:val="280072C5"/>
    <w:rsid w:val="28157331"/>
    <w:rsid w:val="28177609"/>
    <w:rsid w:val="28581F11"/>
    <w:rsid w:val="286417FB"/>
    <w:rsid w:val="286628CD"/>
    <w:rsid w:val="28701ACD"/>
    <w:rsid w:val="288E6627"/>
    <w:rsid w:val="2897695E"/>
    <w:rsid w:val="28993DB1"/>
    <w:rsid w:val="28B57A90"/>
    <w:rsid w:val="28B80F1D"/>
    <w:rsid w:val="28CC2D1D"/>
    <w:rsid w:val="28F9286B"/>
    <w:rsid w:val="28FB6A13"/>
    <w:rsid w:val="29015BC3"/>
    <w:rsid w:val="29017971"/>
    <w:rsid w:val="2920604A"/>
    <w:rsid w:val="292C10B0"/>
    <w:rsid w:val="29347D47"/>
    <w:rsid w:val="293D73A5"/>
    <w:rsid w:val="294F36CE"/>
    <w:rsid w:val="297C280E"/>
    <w:rsid w:val="29904BFA"/>
    <w:rsid w:val="29A32695"/>
    <w:rsid w:val="29C46AE3"/>
    <w:rsid w:val="29C64FDC"/>
    <w:rsid w:val="29C8474B"/>
    <w:rsid w:val="29F56080"/>
    <w:rsid w:val="29FA4CB0"/>
    <w:rsid w:val="2A094D63"/>
    <w:rsid w:val="2A0C43F6"/>
    <w:rsid w:val="2A120042"/>
    <w:rsid w:val="2A155EAE"/>
    <w:rsid w:val="2A2878AC"/>
    <w:rsid w:val="2A2E7A87"/>
    <w:rsid w:val="2A506A12"/>
    <w:rsid w:val="2A572728"/>
    <w:rsid w:val="2A5D6007"/>
    <w:rsid w:val="2A8C12D5"/>
    <w:rsid w:val="2A8D69A6"/>
    <w:rsid w:val="2A905451"/>
    <w:rsid w:val="2AA04FD0"/>
    <w:rsid w:val="2AFA0B1C"/>
    <w:rsid w:val="2B0D143A"/>
    <w:rsid w:val="2B222857"/>
    <w:rsid w:val="2B326636"/>
    <w:rsid w:val="2B333562"/>
    <w:rsid w:val="2B336ED3"/>
    <w:rsid w:val="2B465B0F"/>
    <w:rsid w:val="2B536043"/>
    <w:rsid w:val="2B6C1A1A"/>
    <w:rsid w:val="2B705D79"/>
    <w:rsid w:val="2B894819"/>
    <w:rsid w:val="2BA271CC"/>
    <w:rsid w:val="2BC55A5E"/>
    <w:rsid w:val="2BD52DCF"/>
    <w:rsid w:val="2BF3007A"/>
    <w:rsid w:val="2C0B5203"/>
    <w:rsid w:val="2C137559"/>
    <w:rsid w:val="2C1A2D21"/>
    <w:rsid w:val="2C1F795B"/>
    <w:rsid w:val="2C220F63"/>
    <w:rsid w:val="2C320E89"/>
    <w:rsid w:val="2C52004C"/>
    <w:rsid w:val="2C5F2904"/>
    <w:rsid w:val="2C646B95"/>
    <w:rsid w:val="2C771074"/>
    <w:rsid w:val="2C7E2E9C"/>
    <w:rsid w:val="2CC023EB"/>
    <w:rsid w:val="2CD71288"/>
    <w:rsid w:val="2CF05EDC"/>
    <w:rsid w:val="2D032F97"/>
    <w:rsid w:val="2D0A5979"/>
    <w:rsid w:val="2D0E7197"/>
    <w:rsid w:val="2D220679"/>
    <w:rsid w:val="2D392B6F"/>
    <w:rsid w:val="2D6C3D36"/>
    <w:rsid w:val="2D7C5A3D"/>
    <w:rsid w:val="2DC518B5"/>
    <w:rsid w:val="2DD34C40"/>
    <w:rsid w:val="2DDD1E55"/>
    <w:rsid w:val="2E0E759F"/>
    <w:rsid w:val="2E187C37"/>
    <w:rsid w:val="2E2B796A"/>
    <w:rsid w:val="2E502989"/>
    <w:rsid w:val="2E5133FF"/>
    <w:rsid w:val="2E63501D"/>
    <w:rsid w:val="2E6E2D05"/>
    <w:rsid w:val="2E7172BE"/>
    <w:rsid w:val="2E7A1956"/>
    <w:rsid w:val="2E894C75"/>
    <w:rsid w:val="2E8F4E79"/>
    <w:rsid w:val="2E91366A"/>
    <w:rsid w:val="2ECC34BC"/>
    <w:rsid w:val="2EDD5CB3"/>
    <w:rsid w:val="2EE54B91"/>
    <w:rsid w:val="2EEB5C0F"/>
    <w:rsid w:val="2EF63476"/>
    <w:rsid w:val="2F406458"/>
    <w:rsid w:val="2F4F53B5"/>
    <w:rsid w:val="2F5B33C1"/>
    <w:rsid w:val="2F632797"/>
    <w:rsid w:val="2F6824F8"/>
    <w:rsid w:val="2F683ACE"/>
    <w:rsid w:val="2F7725DC"/>
    <w:rsid w:val="2F7B05F4"/>
    <w:rsid w:val="2F85495C"/>
    <w:rsid w:val="2F9C03F4"/>
    <w:rsid w:val="2FA33C8C"/>
    <w:rsid w:val="2FA8565B"/>
    <w:rsid w:val="2FDB2CCA"/>
    <w:rsid w:val="2FE112F8"/>
    <w:rsid w:val="2FEE4FE0"/>
    <w:rsid w:val="300508EA"/>
    <w:rsid w:val="300C126B"/>
    <w:rsid w:val="300C269D"/>
    <w:rsid w:val="30113CE5"/>
    <w:rsid w:val="30183039"/>
    <w:rsid w:val="301F5527"/>
    <w:rsid w:val="302C6AD2"/>
    <w:rsid w:val="303A1BED"/>
    <w:rsid w:val="30431F19"/>
    <w:rsid w:val="30486768"/>
    <w:rsid w:val="304E7CD6"/>
    <w:rsid w:val="30546207"/>
    <w:rsid w:val="30642AF1"/>
    <w:rsid w:val="306964E8"/>
    <w:rsid w:val="307216AB"/>
    <w:rsid w:val="307D0225"/>
    <w:rsid w:val="30825C02"/>
    <w:rsid w:val="309345CE"/>
    <w:rsid w:val="30982981"/>
    <w:rsid w:val="30AF34FD"/>
    <w:rsid w:val="30B71021"/>
    <w:rsid w:val="30BD0622"/>
    <w:rsid w:val="30C17188"/>
    <w:rsid w:val="30D6326C"/>
    <w:rsid w:val="30EB19FB"/>
    <w:rsid w:val="30F053E8"/>
    <w:rsid w:val="31212F86"/>
    <w:rsid w:val="31327262"/>
    <w:rsid w:val="314B0324"/>
    <w:rsid w:val="315A0567"/>
    <w:rsid w:val="31641D8B"/>
    <w:rsid w:val="31667A5B"/>
    <w:rsid w:val="31781F19"/>
    <w:rsid w:val="317B4A3B"/>
    <w:rsid w:val="317D791C"/>
    <w:rsid w:val="31801DD4"/>
    <w:rsid w:val="31997FC5"/>
    <w:rsid w:val="319F0E3A"/>
    <w:rsid w:val="31AC0DC2"/>
    <w:rsid w:val="31B75017"/>
    <w:rsid w:val="31CD31BC"/>
    <w:rsid w:val="31DB4CBA"/>
    <w:rsid w:val="31EE6896"/>
    <w:rsid w:val="31F167D5"/>
    <w:rsid w:val="31FB66CD"/>
    <w:rsid w:val="31FC5AAA"/>
    <w:rsid w:val="32036E27"/>
    <w:rsid w:val="320948FA"/>
    <w:rsid w:val="3210204B"/>
    <w:rsid w:val="321B1AA4"/>
    <w:rsid w:val="32366797"/>
    <w:rsid w:val="323B0659"/>
    <w:rsid w:val="323B52AD"/>
    <w:rsid w:val="323D6951"/>
    <w:rsid w:val="32442872"/>
    <w:rsid w:val="32715B68"/>
    <w:rsid w:val="32A01359"/>
    <w:rsid w:val="32A51C03"/>
    <w:rsid w:val="32B5665F"/>
    <w:rsid w:val="32CA2319"/>
    <w:rsid w:val="32CB5F4D"/>
    <w:rsid w:val="32D0288E"/>
    <w:rsid w:val="32F0569E"/>
    <w:rsid w:val="32F947EC"/>
    <w:rsid w:val="330F6ED9"/>
    <w:rsid w:val="331B7FAA"/>
    <w:rsid w:val="33264568"/>
    <w:rsid w:val="33603A4D"/>
    <w:rsid w:val="338E4D3E"/>
    <w:rsid w:val="339E1260"/>
    <w:rsid w:val="33A64439"/>
    <w:rsid w:val="33B43DD0"/>
    <w:rsid w:val="33B84B8F"/>
    <w:rsid w:val="33BB65BF"/>
    <w:rsid w:val="33C53D75"/>
    <w:rsid w:val="33DC39A9"/>
    <w:rsid w:val="33E25430"/>
    <w:rsid w:val="33EF2388"/>
    <w:rsid w:val="33F96A28"/>
    <w:rsid w:val="340A270F"/>
    <w:rsid w:val="34111C05"/>
    <w:rsid w:val="343273BE"/>
    <w:rsid w:val="34364261"/>
    <w:rsid w:val="34424F9F"/>
    <w:rsid w:val="34595C4B"/>
    <w:rsid w:val="34683B76"/>
    <w:rsid w:val="34761D8E"/>
    <w:rsid w:val="347B1B96"/>
    <w:rsid w:val="347B6AFB"/>
    <w:rsid w:val="348A568C"/>
    <w:rsid w:val="34A00986"/>
    <w:rsid w:val="34A340E9"/>
    <w:rsid w:val="34BB60C5"/>
    <w:rsid w:val="34DE1884"/>
    <w:rsid w:val="34DF1ED5"/>
    <w:rsid w:val="34EC0909"/>
    <w:rsid w:val="34ED7718"/>
    <w:rsid w:val="34EF5039"/>
    <w:rsid w:val="351C1B34"/>
    <w:rsid w:val="351D1D9E"/>
    <w:rsid w:val="352A522D"/>
    <w:rsid w:val="35376809"/>
    <w:rsid w:val="354B174C"/>
    <w:rsid w:val="355A28E3"/>
    <w:rsid w:val="356D6ABA"/>
    <w:rsid w:val="356F16F1"/>
    <w:rsid w:val="358C55FE"/>
    <w:rsid w:val="35944047"/>
    <w:rsid w:val="359822B2"/>
    <w:rsid w:val="35A47524"/>
    <w:rsid w:val="35A973C7"/>
    <w:rsid w:val="35AC7D1E"/>
    <w:rsid w:val="35EA50EA"/>
    <w:rsid w:val="35F46E14"/>
    <w:rsid w:val="35F84B2F"/>
    <w:rsid w:val="35F84D27"/>
    <w:rsid w:val="35FB301A"/>
    <w:rsid w:val="365F78C9"/>
    <w:rsid w:val="367B6C5B"/>
    <w:rsid w:val="36803519"/>
    <w:rsid w:val="368130EF"/>
    <w:rsid w:val="368C4A42"/>
    <w:rsid w:val="36934009"/>
    <w:rsid w:val="369B31B3"/>
    <w:rsid w:val="36A43CBC"/>
    <w:rsid w:val="36A810D4"/>
    <w:rsid w:val="36AB52A2"/>
    <w:rsid w:val="36B81FB7"/>
    <w:rsid w:val="36C740AF"/>
    <w:rsid w:val="36E01F1C"/>
    <w:rsid w:val="36EB1174"/>
    <w:rsid w:val="36F565D2"/>
    <w:rsid w:val="36FF11DD"/>
    <w:rsid w:val="370A1813"/>
    <w:rsid w:val="376521DA"/>
    <w:rsid w:val="376941CC"/>
    <w:rsid w:val="376D29ED"/>
    <w:rsid w:val="377723FE"/>
    <w:rsid w:val="378325C5"/>
    <w:rsid w:val="378618D4"/>
    <w:rsid w:val="37932498"/>
    <w:rsid w:val="379F0A81"/>
    <w:rsid w:val="37AC2FF7"/>
    <w:rsid w:val="37B81D10"/>
    <w:rsid w:val="37D07910"/>
    <w:rsid w:val="37EB1DE3"/>
    <w:rsid w:val="37F56052"/>
    <w:rsid w:val="3801173C"/>
    <w:rsid w:val="38105AEF"/>
    <w:rsid w:val="38146CFF"/>
    <w:rsid w:val="382052CC"/>
    <w:rsid w:val="384C70BC"/>
    <w:rsid w:val="384D605C"/>
    <w:rsid w:val="385D3EC3"/>
    <w:rsid w:val="385E1F9C"/>
    <w:rsid w:val="38BA447C"/>
    <w:rsid w:val="38BB3076"/>
    <w:rsid w:val="38C85E2D"/>
    <w:rsid w:val="38CA5BA0"/>
    <w:rsid w:val="38E00913"/>
    <w:rsid w:val="38EC4989"/>
    <w:rsid w:val="38F26CC1"/>
    <w:rsid w:val="38FD63A7"/>
    <w:rsid w:val="390025E5"/>
    <w:rsid w:val="39166E75"/>
    <w:rsid w:val="39184F8F"/>
    <w:rsid w:val="391D7EE7"/>
    <w:rsid w:val="391F4C29"/>
    <w:rsid w:val="393558DD"/>
    <w:rsid w:val="39521E4F"/>
    <w:rsid w:val="39593E7F"/>
    <w:rsid w:val="39663374"/>
    <w:rsid w:val="397D6A6B"/>
    <w:rsid w:val="397F2C69"/>
    <w:rsid w:val="398C2BF4"/>
    <w:rsid w:val="399F4C83"/>
    <w:rsid w:val="39AE76A2"/>
    <w:rsid w:val="39B81ED7"/>
    <w:rsid w:val="39C83EF7"/>
    <w:rsid w:val="39DA53A4"/>
    <w:rsid w:val="39E96D1F"/>
    <w:rsid w:val="39F03D2F"/>
    <w:rsid w:val="39F165D2"/>
    <w:rsid w:val="39F913A9"/>
    <w:rsid w:val="3A184DB7"/>
    <w:rsid w:val="3A1D58F7"/>
    <w:rsid w:val="3A233CB0"/>
    <w:rsid w:val="3A2E3A77"/>
    <w:rsid w:val="3A3C2546"/>
    <w:rsid w:val="3A451DB4"/>
    <w:rsid w:val="3A5A04F7"/>
    <w:rsid w:val="3A690C5D"/>
    <w:rsid w:val="3A6B10EF"/>
    <w:rsid w:val="3A79099D"/>
    <w:rsid w:val="3A846E4D"/>
    <w:rsid w:val="3A875775"/>
    <w:rsid w:val="3A8D375B"/>
    <w:rsid w:val="3A90026B"/>
    <w:rsid w:val="3A9D2B0F"/>
    <w:rsid w:val="3AAD0FC0"/>
    <w:rsid w:val="3AB900AC"/>
    <w:rsid w:val="3B0804BC"/>
    <w:rsid w:val="3B131EB2"/>
    <w:rsid w:val="3B143EB5"/>
    <w:rsid w:val="3B3C57EC"/>
    <w:rsid w:val="3B41062F"/>
    <w:rsid w:val="3B4A70AE"/>
    <w:rsid w:val="3B4B2D0A"/>
    <w:rsid w:val="3B600ED3"/>
    <w:rsid w:val="3B7028D5"/>
    <w:rsid w:val="3B787A93"/>
    <w:rsid w:val="3B880FEC"/>
    <w:rsid w:val="3B921AF8"/>
    <w:rsid w:val="3B9D6987"/>
    <w:rsid w:val="3BBF2E43"/>
    <w:rsid w:val="3BCC5840"/>
    <w:rsid w:val="3BCF0C4B"/>
    <w:rsid w:val="3BEF60AE"/>
    <w:rsid w:val="3BFF41E4"/>
    <w:rsid w:val="3C02470F"/>
    <w:rsid w:val="3C0813EA"/>
    <w:rsid w:val="3C0B4937"/>
    <w:rsid w:val="3C1C27AE"/>
    <w:rsid w:val="3C2D36DB"/>
    <w:rsid w:val="3C495F7A"/>
    <w:rsid w:val="3C4D6CFE"/>
    <w:rsid w:val="3C737669"/>
    <w:rsid w:val="3C7A316A"/>
    <w:rsid w:val="3C8E2541"/>
    <w:rsid w:val="3CBB7D6D"/>
    <w:rsid w:val="3CD04E10"/>
    <w:rsid w:val="3CD51CB1"/>
    <w:rsid w:val="3CEB7FDB"/>
    <w:rsid w:val="3CF63FF4"/>
    <w:rsid w:val="3CFB53D6"/>
    <w:rsid w:val="3D0C0967"/>
    <w:rsid w:val="3D35585E"/>
    <w:rsid w:val="3D3B5EF4"/>
    <w:rsid w:val="3D477E9F"/>
    <w:rsid w:val="3D4B34A0"/>
    <w:rsid w:val="3D5377D8"/>
    <w:rsid w:val="3D584ABF"/>
    <w:rsid w:val="3D627B6D"/>
    <w:rsid w:val="3D66625F"/>
    <w:rsid w:val="3D6F3FDE"/>
    <w:rsid w:val="3D995F73"/>
    <w:rsid w:val="3D9A7887"/>
    <w:rsid w:val="3DA04761"/>
    <w:rsid w:val="3DC04D69"/>
    <w:rsid w:val="3DC72BEF"/>
    <w:rsid w:val="3DDA55DD"/>
    <w:rsid w:val="3DE6435C"/>
    <w:rsid w:val="3DFB7550"/>
    <w:rsid w:val="3DFE014C"/>
    <w:rsid w:val="3E3E0215"/>
    <w:rsid w:val="3E4F795A"/>
    <w:rsid w:val="3E5048A7"/>
    <w:rsid w:val="3E5304CB"/>
    <w:rsid w:val="3E623F37"/>
    <w:rsid w:val="3E656C21"/>
    <w:rsid w:val="3E824080"/>
    <w:rsid w:val="3E8E4943"/>
    <w:rsid w:val="3E9D7E62"/>
    <w:rsid w:val="3EA177D5"/>
    <w:rsid w:val="3EA61654"/>
    <w:rsid w:val="3EAE083A"/>
    <w:rsid w:val="3EAF5499"/>
    <w:rsid w:val="3EB85AF9"/>
    <w:rsid w:val="3EC64C8A"/>
    <w:rsid w:val="3ECC3ADA"/>
    <w:rsid w:val="3ECD644B"/>
    <w:rsid w:val="3ED0092C"/>
    <w:rsid w:val="3EF57C46"/>
    <w:rsid w:val="3F1D1BC4"/>
    <w:rsid w:val="3F1F2940"/>
    <w:rsid w:val="3F5B3E28"/>
    <w:rsid w:val="3F695873"/>
    <w:rsid w:val="3FA84F6B"/>
    <w:rsid w:val="3FB13348"/>
    <w:rsid w:val="3FB40EAE"/>
    <w:rsid w:val="3FB57A05"/>
    <w:rsid w:val="3FB72105"/>
    <w:rsid w:val="3FB97529"/>
    <w:rsid w:val="3FC30822"/>
    <w:rsid w:val="3FC66285"/>
    <w:rsid w:val="3FD84838"/>
    <w:rsid w:val="3FEF5113"/>
    <w:rsid w:val="3FFB7A53"/>
    <w:rsid w:val="4010153C"/>
    <w:rsid w:val="40124AE3"/>
    <w:rsid w:val="401815B7"/>
    <w:rsid w:val="401D2E8B"/>
    <w:rsid w:val="401E020E"/>
    <w:rsid w:val="4029239B"/>
    <w:rsid w:val="40505088"/>
    <w:rsid w:val="40677DDF"/>
    <w:rsid w:val="40685DD4"/>
    <w:rsid w:val="40927608"/>
    <w:rsid w:val="409E221E"/>
    <w:rsid w:val="40A231E3"/>
    <w:rsid w:val="40BB0F3A"/>
    <w:rsid w:val="40DB2DE8"/>
    <w:rsid w:val="40E81660"/>
    <w:rsid w:val="4109206D"/>
    <w:rsid w:val="4110574B"/>
    <w:rsid w:val="411A0051"/>
    <w:rsid w:val="412409BD"/>
    <w:rsid w:val="413B18FC"/>
    <w:rsid w:val="416B6C54"/>
    <w:rsid w:val="418075AC"/>
    <w:rsid w:val="41911D83"/>
    <w:rsid w:val="41966762"/>
    <w:rsid w:val="41A2189A"/>
    <w:rsid w:val="41AA52FB"/>
    <w:rsid w:val="41AE3A8F"/>
    <w:rsid w:val="41B94E7C"/>
    <w:rsid w:val="41C6745E"/>
    <w:rsid w:val="41DF2AEE"/>
    <w:rsid w:val="41F52BE4"/>
    <w:rsid w:val="41FF5A91"/>
    <w:rsid w:val="42027B31"/>
    <w:rsid w:val="42051E29"/>
    <w:rsid w:val="42153E37"/>
    <w:rsid w:val="4228786B"/>
    <w:rsid w:val="42472441"/>
    <w:rsid w:val="42505F78"/>
    <w:rsid w:val="426344FE"/>
    <w:rsid w:val="427B11B1"/>
    <w:rsid w:val="427F5081"/>
    <w:rsid w:val="428C0E79"/>
    <w:rsid w:val="428D1681"/>
    <w:rsid w:val="42B37240"/>
    <w:rsid w:val="42D06B2A"/>
    <w:rsid w:val="42D4165A"/>
    <w:rsid w:val="42DA2732"/>
    <w:rsid w:val="42E164A7"/>
    <w:rsid w:val="42EA4B11"/>
    <w:rsid w:val="43265077"/>
    <w:rsid w:val="432C5546"/>
    <w:rsid w:val="433108EE"/>
    <w:rsid w:val="43375B7B"/>
    <w:rsid w:val="433E3B4D"/>
    <w:rsid w:val="43427D42"/>
    <w:rsid w:val="435C3DCD"/>
    <w:rsid w:val="4381247C"/>
    <w:rsid w:val="438A7351"/>
    <w:rsid w:val="438F40A0"/>
    <w:rsid w:val="439661FC"/>
    <w:rsid w:val="43A01E09"/>
    <w:rsid w:val="43A648A2"/>
    <w:rsid w:val="43AC57FC"/>
    <w:rsid w:val="43B342D5"/>
    <w:rsid w:val="43BB7B1A"/>
    <w:rsid w:val="43C43AB8"/>
    <w:rsid w:val="43CE7A08"/>
    <w:rsid w:val="43EB7EC4"/>
    <w:rsid w:val="44250560"/>
    <w:rsid w:val="444D33BB"/>
    <w:rsid w:val="444E5768"/>
    <w:rsid w:val="44547A79"/>
    <w:rsid w:val="44562E10"/>
    <w:rsid w:val="446017CB"/>
    <w:rsid w:val="448B4867"/>
    <w:rsid w:val="44934275"/>
    <w:rsid w:val="449D5B1B"/>
    <w:rsid w:val="449E357F"/>
    <w:rsid w:val="44A545C0"/>
    <w:rsid w:val="44DB296B"/>
    <w:rsid w:val="44E563B0"/>
    <w:rsid w:val="44EB3AD0"/>
    <w:rsid w:val="44EC4671"/>
    <w:rsid w:val="44EF020D"/>
    <w:rsid w:val="44F54230"/>
    <w:rsid w:val="44FD38EF"/>
    <w:rsid w:val="450B5C9E"/>
    <w:rsid w:val="452D1ED4"/>
    <w:rsid w:val="453022FC"/>
    <w:rsid w:val="455974EE"/>
    <w:rsid w:val="45613511"/>
    <w:rsid w:val="456B7E9A"/>
    <w:rsid w:val="45785DAA"/>
    <w:rsid w:val="45875E92"/>
    <w:rsid w:val="45B862A7"/>
    <w:rsid w:val="45C775FB"/>
    <w:rsid w:val="45E910AB"/>
    <w:rsid w:val="45F03030"/>
    <w:rsid w:val="460543DC"/>
    <w:rsid w:val="460E055E"/>
    <w:rsid w:val="461A645C"/>
    <w:rsid w:val="462058EA"/>
    <w:rsid w:val="4634085C"/>
    <w:rsid w:val="46357F13"/>
    <w:rsid w:val="46470471"/>
    <w:rsid w:val="465940B4"/>
    <w:rsid w:val="4671006D"/>
    <w:rsid w:val="46780E1B"/>
    <w:rsid w:val="468C724B"/>
    <w:rsid w:val="46962FBA"/>
    <w:rsid w:val="469757FE"/>
    <w:rsid w:val="46A95613"/>
    <w:rsid w:val="46B13B54"/>
    <w:rsid w:val="46C67328"/>
    <w:rsid w:val="46C777F8"/>
    <w:rsid w:val="46DE7929"/>
    <w:rsid w:val="46E21F29"/>
    <w:rsid w:val="46F05658"/>
    <w:rsid w:val="46F54B62"/>
    <w:rsid w:val="47000320"/>
    <w:rsid w:val="471051AE"/>
    <w:rsid w:val="471E07A6"/>
    <w:rsid w:val="47233D8F"/>
    <w:rsid w:val="47245405"/>
    <w:rsid w:val="473B5EE1"/>
    <w:rsid w:val="473E2789"/>
    <w:rsid w:val="474E7D1E"/>
    <w:rsid w:val="47504A5B"/>
    <w:rsid w:val="47565711"/>
    <w:rsid w:val="476A089A"/>
    <w:rsid w:val="47860BE0"/>
    <w:rsid w:val="479C1E43"/>
    <w:rsid w:val="47A90442"/>
    <w:rsid w:val="47C95011"/>
    <w:rsid w:val="47CA0D94"/>
    <w:rsid w:val="47DC1E48"/>
    <w:rsid w:val="47E56F93"/>
    <w:rsid w:val="47E816EE"/>
    <w:rsid w:val="480A1F47"/>
    <w:rsid w:val="481143E0"/>
    <w:rsid w:val="48274BC2"/>
    <w:rsid w:val="483128EE"/>
    <w:rsid w:val="48515D80"/>
    <w:rsid w:val="48860933"/>
    <w:rsid w:val="48AE4FC8"/>
    <w:rsid w:val="48B76869"/>
    <w:rsid w:val="48EB5277"/>
    <w:rsid w:val="48F84DE7"/>
    <w:rsid w:val="48FA325E"/>
    <w:rsid w:val="49163F00"/>
    <w:rsid w:val="491B040A"/>
    <w:rsid w:val="491D129E"/>
    <w:rsid w:val="49271F9B"/>
    <w:rsid w:val="492F2D5E"/>
    <w:rsid w:val="49331971"/>
    <w:rsid w:val="49380D36"/>
    <w:rsid w:val="494E5806"/>
    <w:rsid w:val="495314E0"/>
    <w:rsid w:val="4961028C"/>
    <w:rsid w:val="4967308F"/>
    <w:rsid w:val="497C1C61"/>
    <w:rsid w:val="49962C22"/>
    <w:rsid w:val="499D2010"/>
    <w:rsid w:val="49BD0F27"/>
    <w:rsid w:val="49D355FB"/>
    <w:rsid w:val="49EB4C8A"/>
    <w:rsid w:val="4A05330E"/>
    <w:rsid w:val="4A085387"/>
    <w:rsid w:val="4A2F038B"/>
    <w:rsid w:val="4A456A7C"/>
    <w:rsid w:val="4A4B5FE1"/>
    <w:rsid w:val="4A5F7944"/>
    <w:rsid w:val="4A7576D5"/>
    <w:rsid w:val="4A7F4E6E"/>
    <w:rsid w:val="4A81200D"/>
    <w:rsid w:val="4A8A773D"/>
    <w:rsid w:val="4A900E63"/>
    <w:rsid w:val="4A971541"/>
    <w:rsid w:val="4A9B744A"/>
    <w:rsid w:val="4A9C0B55"/>
    <w:rsid w:val="4AB84744"/>
    <w:rsid w:val="4ABD788C"/>
    <w:rsid w:val="4AC0261D"/>
    <w:rsid w:val="4AC97E97"/>
    <w:rsid w:val="4ADA060C"/>
    <w:rsid w:val="4AE64AEB"/>
    <w:rsid w:val="4AF453C3"/>
    <w:rsid w:val="4AFD75FB"/>
    <w:rsid w:val="4B00390A"/>
    <w:rsid w:val="4B0304CE"/>
    <w:rsid w:val="4B133808"/>
    <w:rsid w:val="4B17609B"/>
    <w:rsid w:val="4B1A2294"/>
    <w:rsid w:val="4B220894"/>
    <w:rsid w:val="4B227D9E"/>
    <w:rsid w:val="4B275051"/>
    <w:rsid w:val="4B2E1D91"/>
    <w:rsid w:val="4B4C526E"/>
    <w:rsid w:val="4B53385E"/>
    <w:rsid w:val="4B540F5F"/>
    <w:rsid w:val="4B573226"/>
    <w:rsid w:val="4B5C07E7"/>
    <w:rsid w:val="4B655FED"/>
    <w:rsid w:val="4B657CB6"/>
    <w:rsid w:val="4B685A6E"/>
    <w:rsid w:val="4B73615A"/>
    <w:rsid w:val="4B7F49FA"/>
    <w:rsid w:val="4B8743DD"/>
    <w:rsid w:val="4BA809F9"/>
    <w:rsid w:val="4BA934B0"/>
    <w:rsid w:val="4BA94B8F"/>
    <w:rsid w:val="4BAF1783"/>
    <w:rsid w:val="4BBB5C22"/>
    <w:rsid w:val="4BBD7C14"/>
    <w:rsid w:val="4BD90A3A"/>
    <w:rsid w:val="4BE07B8E"/>
    <w:rsid w:val="4BE11211"/>
    <w:rsid w:val="4BEE7CA7"/>
    <w:rsid w:val="4BF4363C"/>
    <w:rsid w:val="4BF62BB7"/>
    <w:rsid w:val="4BFE0015"/>
    <w:rsid w:val="4C072AB5"/>
    <w:rsid w:val="4C12586E"/>
    <w:rsid w:val="4C164579"/>
    <w:rsid w:val="4C1C493F"/>
    <w:rsid w:val="4C394537"/>
    <w:rsid w:val="4C3D21F9"/>
    <w:rsid w:val="4C484D67"/>
    <w:rsid w:val="4C4C7092"/>
    <w:rsid w:val="4C4D74FF"/>
    <w:rsid w:val="4C4F0EFE"/>
    <w:rsid w:val="4C4F7F2D"/>
    <w:rsid w:val="4C504F8E"/>
    <w:rsid w:val="4C524392"/>
    <w:rsid w:val="4C5C5A92"/>
    <w:rsid w:val="4C6349DA"/>
    <w:rsid w:val="4C6554FA"/>
    <w:rsid w:val="4C873A0D"/>
    <w:rsid w:val="4C884D5D"/>
    <w:rsid w:val="4C8B321A"/>
    <w:rsid w:val="4C8D339D"/>
    <w:rsid w:val="4C8E018D"/>
    <w:rsid w:val="4CA41902"/>
    <w:rsid w:val="4CB1795E"/>
    <w:rsid w:val="4CC55210"/>
    <w:rsid w:val="4CC931E9"/>
    <w:rsid w:val="4CF21982"/>
    <w:rsid w:val="4CF55708"/>
    <w:rsid w:val="4CF91358"/>
    <w:rsid w:val="4D037CA3"/>
    <w:rsid w:val="4D077C35"/>
    <w:rsid w:val="4D4C29BF"/>
    <w:rsid w:val="4D4C7D2D"/>
    <w:rsid w:val="4D637B6D"/>
    <w:rsid w:val="4D8462DF"/>
    <w:rsid w:val="4D867D5B"/>
    <w:rsid w:val="4D9002FA"/>
    <w:rsid w:val="4DA63F16"/>
    <w:rsid w:val="4DC23707"/>
    <w:rsid w:val="4DDA6459"/>
    <w:rsid w:val="4DFE60AA"/>
    <w:rsid w:val="4E002F27"/>
    <w:rsid w:val="4E0920C7"/>
    <w:rsid w:val="4E130FE0"/>
    <w:rsid w:val="4E167BE1"/>
    <w:rsid w:val="4E220145"/>
    <w:rsid w:val="4E2271B2"/>
    <w:rsid w:val="4E294CCB"/>
    <w:rsid w:val="4E3D2311"/>
    <w:rsid w:val="4E432765"/>
    <w:rsid w:val="4E4C0B3D"/>
    <w:rsid w:val="4E723AC0"/>
    <w:rsid w:val="4E7C4371"/>
    <w:rsid w:val="4E9A6046"/>
    <w:rsid w:val="4EBC0207"/>
    <w:rsid w:val="4ECF543C"/>
    <w:rsid w:val="4EDE41D8"/>
    <w:rsid w:val="4EFD5660"/>
    <w:rsid w:val="4F1638C7"/>
    <w:rsid w:val="4F405AE9"/>
    <w:rsid w:val="4F407A14"/>
    <w:rsid w:val="4F4865AC"/>
    <w:rsid w:val="4F5D603A"/>
    <w:rsid w:val="4F6054DD"/>
    <w:rsid w:val="4F630AAA"/>
    <w:rsid w:val="4F702FD7"/>
    <w:rsid w:val="4F770C11"/>
    <w:rsid w:val="4F7D5C83"/>
    <w:rsid w:val="4F8176EB"/>
    <w:rsid w:val="4F8545A9"/>
    <w:rsid w:val="4F9A15CD"/>
    <w:rsid w:val="4F9A7F89"/>
    <w:rsid w:val="4F9B5F88"/>
    <w:rsid w:val="4FA032A6"/>
    <w:rsid w:val="4FA06754"/>
    <w:rsid w:val="4FAE5ACE"/>
    <w:rsid w:val="4FB146D0"/>
    <w:rsid w:val="4FBF7B7D"/>
    <w:rsid w:val="4FC82E13"/>
    <w:rsid w:val="4FD03D55"/>
    <w:rsid w:val="4FD2122D"/>
    <w:rsid w:val="500876B4"/>
    <w:rsid w:val="500A39DE"/>
    <w:rsid w:val="50191506"/>
    <w:rsid w:val="501D72C2"/>
    <w:rsid w:val="501F53AA"/>
    <w:rsid w:val="503114A6"/>
    <w:rsid w:val="5038443D"/>
    <w:rsid w:val="50466C30"/>
    <w:rsid w:val="504E3EB0"/>
    <w:rsid w:val="50584CA6"/>
    <w:rsid w:val="505B54F4"/>
    <w:rsid w:val="505E1082"/>
    <w:rsid w:val="506064C1"/>
    <w:rsid w:val="506E7A9F"/>
    <w:rsid w:val="506F0CC4"/>
    <w:rsid w:val="50802064"/>
    <w:rsid w:val="508322E8"/>
    <w:rsid w:val="50854485"/>
    <w:rsid w:val="509A39D9"/>
    <w:rsid w:val="509C04EC"/>
    <w:rsid w:val="50AA54D4"/>
    <w:rsid w:val="50C33969"/>
    <w:rsid w:val="50C916AE"/>
    <w:rsid w:val="50D00BB1"/>
    <w:rsid w:val="51027B3B"/>
    <w:rsid w:val="5112515A"/>
    <w:rsid w:val="51212E9F"/>
    <w:rsid w:val="513C2048"/>
    <w:rsid w:val="513F5357"/>
    <w:rsid w:val="515904D0"/>
    <w:rsid w:val="515F12E0"/>
    <w:rsid w:val="517E65E5"/>
    <w:rsid w:val="5184334B"/>
    <w:rsid w:val="518B207B"/>
    <w:rsid w:val="518C1C1F"/>
    <w:rsid w:val="5194507F"/>
    <w:rsid w:val="51A40F88"/>
    <w:rsid w:val="51AC573D"/>
    <w:rsid w:val="51E65787"/>
    <w:rsid w:val="51F50A25"/>
    <w:rsid w:val="520E3A09"/>
    <w:rsid w:val="52271947"/>
    <w:rsid w:val="52551517"/>
    <w:rsid w:val="525837F9"/>
    <w:rsid w:val="52863547"/>
    <w:rsid w:val="52B72603"/>
    <w:rsid w:val="52C25EC8"/>
    <w:rsid w:val="52CC4138"/>
    <w:rsid w:val="52CF008D"/>
    <w:rsid w:val="52E1252B"/>
    <w:rsid w:val="530F1794"/>
    <w:rsid w:val="5318609D"/>
    <w:rsid w:val="53207CD8"/>
    <w:rsid w:val="532668B9"/>
    <w:rsid w:val="53284D5C"/>
    <w:rsid w:val="533B727D"/>
    <w:rsid w:val="533B7DA0"/>
    <w:rsid w:val="535E65EB"/>
    <w:rsid w:val="53640A5D"/>
    <w:rsid w:val="53662DC1"/>
    <w:rsid w:val="536D782E"/>
    <w:rsid w:val="53842CC2"/>
    <w:rsid w:val="539353FE"/>
    <w:rsid w:val="53A02800"/>
    <w:rsid w:val="53AF7399"/>
    <w:rsid w:val="53B75054"/>
    <w:rsid w:val="53B82D21"/>
    <w:rsid w:val="53C960CD"/>
    <w:rsid w:val="53CC5C56"/>
    <w:rsid w:val="53CF3208"/>
    <w:rsid w:val="53D46D64"/>
    <w:rsid w:val="53E144A4"/>
    <w:rsid w:val="53F03658"/>
    <w:rsid w:val="54022056"/>
    <w:rsid w:val="54194C2C"/>
    <w:rsid w:val="541B7FCE"/>
    <w:rsid w:val="541D57F2"/>
    <w:rsid w:val="542149BC"/>
    <w:rsid w:val="54357740"/>
    <w:rsid w:val="54422A68"/>
    <w:rsid w:val="54437195"/>
    <w:rsid w:val="544F16C4"/>
    <w:rsid w:val="54507BFD"/>
    <w:rsid w:val="5479292E"/>
    <w:rsid w:val="547B468F"/>
    <w:rsid w:val="549E3A0C"/>
    <w:rsid w:val="54A6749B"/>
    <w:rsid w:val="54D83B3D"/>
    <w:rsid w:val="54D87276"/>
    <w:rsid w:val="54DA3618"/>
    <w:rsid w:val="54DF5749"/>
    <w:rsid w:val="54EA4168"/>
    <w:rsid w:val="54F062AD"/>
    <w:rsid w:val="550B7A99"/>
    <w:rsid w:val="551F02AC"/>
    <w:rsid w:val="55236D3E"/>
    <w:rsid w:val="553E0A1D"/>
    <w:rsid w:val="55450A62"/>
    <w:rsid w:val="55476A66"/>
    <w:rsid w:val="55597C8A"/>
    <w:rsid w:val="55664707"/>
    <w:rsid w:val="55730BAC"/>
    <w:rsid w:val="5574196F"/>
    <w:rsid w:val="55785125"/>
    <w:rsid w:val="55814871"/>
    <w:rsid w:val="55835688"/>
    <w:rsid w:val="55892D43"/>
    <w:rsid w:val="55B5515E"/>
    <w:rsid w:val="55BD3BFA"/>
    <w:rsid w:val="55C0633B"/>
    <w:rsid w:val="55E15646"/>
    <w:rsid w:val="55EB785C"/>
    <w:rsid w:val="55FA437F"/>
    <w:rsid w:val="5605048C"/>
    <w:rsid w:val="56202078"/>
    <w:rsid w:val="562763BA"/>
    <w:rsid w:val="56293DD5"/>
    <w:rsid w:val="562A4C0C"/>
    <w:rsid w:val="5632548A"/>
    <w:rsid w:val="5636216A"/>
    <w:rsid w:val="56371420"/>
    <w:rsid w:val="563F5723"/>
    <w:rsid w:val="567A0398"/>
    <w:rsid w:val="567D4DF0"/>
    <w:rsid w:val="568C574B"/>
    <w:rsid w:val="56A344A8"/>
    <w:rsid w:val="56BA42C6"/>
    <w:rsid w:val="56C3348D"/>
    <w:rsid w:val="56CF29D7"/>
    <w:rsid w:val="56DF2CA8"/>
    <w:rsid w:val="56EE28AB"/>
    <w:rsid w:val="5706389A"/>
    <w:rsid w:val="5719062C"/>
    <w:rsid w:val="571B31D4"/>
    <w:rsid w:val="57395A9C"/>
    <w:rsid w:val="573D75A8"/>
    <w:rsid w:val="57465521"/>
    <w:rsid w:val="5768660E"/>
    <w:rsid w:val="577F4FD6"/>
    <w:rsid w:val="57A07146"/>
    <w:rsid w:val="57B6638F"/>
    <w:rsid w:val="57C915A8"/>
    <w:rsid w:val="57DF5046"/>
    <w:rsid w:val="57E3076F"/>
    <w:rsid w:val="57E3646D"/>
    <w:rsid w:val="57FF2C80"/>
    <w:rsid w:val="57FF3FC9"/>
    <w:rsid w:val="58062962"/>
    <w:rsid w:val="58083B08"/>
    <w:rsid w:val="58141E0F"/>
    <w:rsid w:val="58193FCE"/>
    <w:rsid w:val="58653A34"/>
    <w:rsid w:val="586907C0"/>
    <w:rsid w:val="586918DE"/>
    <w:rsid w:val="5895111C"/>
    <w:rsid w:val="589C4E3D"/>
    <w:rsid w:val="58A17566"/>
    <w:rsid w:val="58B301CF"/>
    <w:rsid w:val="58BC1CFC"/>
    <w:rsid w:val="58D520FD"/>
    <w:rsid w:val="58ED38EB"/>
    <w:rsid w:val="5914114A"/>
    <w:rsid w:val="59204978"/>
    <w:rsid w:val="59315D24"/>
    <w:rsid w:val="593D4460"/>
    <w:rsid w:val="59490A96"/>
    <w:rsid w:val="595B4CF8"/>
    <w:rsid w:val="595E6D16"/>
    <w:rsid w:val="59746C3B"/>
    <w:rsid w:val="597700F6"/>
    <w:rsid w:val="59854642"/>
    <w:rsid w:val="5986074F"/>
    <w:rsid w:val="59886B03"/>
    <w:rsid w:val="598C2214"/>
    <w:rsid w:val="59991A38"/>
    <w:rsid w:val="59AD307A"/>
    <w:rsid w:val="59B258FB"/>
    <w:rsid w:val="59BA6A75"/>
    <w:rsid w:val="59BE0610"/>
    <w:rsid w:val="59D70467"/>
    <w:rsid w:val="59E52E59"/>
    <w:rsid w:val="5A096E88"/>
    <w:rsid w:val="5A2D0A36"/>
    <w:rsid w:val="5A5C0703"/>
    <w:rsid w:val="5A7E3E1C"/>
    <w:rsid w:val="5AA16A65"/>
    <w:rsid w:val="5ABD109B"/>
    <w:rsid w:val="5ADC7773"/>
    <w:rsid w:val="5AE61237"/>
    <w:rsid w:val="5AEA46A4"/>
    <w:rsid w:val="5B061A05"/>
    <w:rsid w:val="5B4A5024"/>
    <w:rsid w:val="5B5E40BF"/>
    <w:rsid w:val="5B5E56F9"/>
    <w:rsid w:val="5B635309"/>
    <w:rsid w:val="5B663F01"/>
    <w:rsid w:val="5B7B0F17"/>
    <w:rsid w:val="5B7E09F7"/>
    <w:rsid w:val="5BC22F58"/>
    <w:rsid w:val="5BD15644"/>
    <w:rsid w:val="5BDA2816"/>
    <w:rsid w:val="5BE36025"/>
    <w:rsid w:val="5BE863B1"/>
    <w:rsid w:val="5BEA0070"/>
    <w:rsid w:val="5BF31218"/>
    <w:rsid w:val="5BF41771"/>
    <w:rsid w:val="5C187AA4"/>
    <w:rsid w:val="5C4037A8"/>
    <w:rsid w:val="5C4F0505"/>
    <w:rsid w:val="5C4F65E6"/>
    <w:rsid w:val="5C514191"/>
    <w:rsid w:val="5C637CF8"/>
    <w:rsid w:val="5C752795"/>
    <w:rsid w:val="5C85145E"/>
    <w:rsid w:val="5C9A0FE8"/>
    <w:rsid w:val="5CA52F6D"/>
    <w:rsid w:val="5CC01A01"/>
    <w:rsid w:val="5CD10C5C"/>
    <w:rsid w:val="5CDF68F8"/>
    <w:rsid w:val="5CF15213"/>
    <w:rsid w:val="5CF5451E"/>
    <w:rsid w:val="5CF55827"/>
    <w:rsid w:val="5D02514A"/>
    <w:rsid w:val="5D0350D1"/>
    <w:rsid w:val="5D0355F1"/>
    <w:rsid w:val="5D063C08"/>
    <w:rsid w:val="5D1E7E8A"/>
    <w:rsid w:val="5D2020B7"/>
    <w:rsid w:val="5D2723D7"/>
    <w:rsid w:val="5D27462B"/>
    <w:rsid w:val="5D2C38C2"/>
    <w:rsid w:val="5D3F55DD"/>
    <w:rsid w:val="5D4329B5"/>
    <w:rsid w:val="5D5D17AF"/>
    <w:rsid w:val="5DA04B59"/>
    <w:rsid w:val="5DBF2C3E"/>
    <w:rsid w:val="5DC06818"/>
    <w:rsid w:val="5DE30E18"/>
    <w:rsid w:val="5DE404C6"/>
    <w:rsid w:val="5DEA7FFD"/>
    <w:rsid w:val="5DED36FB"/>
    <w:rsid w:val="5DF75B09"/>
    <w:rsid w:val="5E083A82"/>
    <w:rsid w:val="5E200486"/>
    <w:rsid w:val="5E257683"/>
    <w:rsid w:val="5E274F65"/>
    <w:rsid w:val="5E2F22B0"/>
    <w:rsid w:val="5E3C7227"/>
    <w:rsid w:val="5E462F4B"/>
    <w:rsid w:val="5E52607B"/>
    <w:rsid w:val="5E577F0F"/>
    <w:rsid w:val="5E5B763C"/>
    <w:rsid w:val="5E6A2252"/>
    <w:rsid w:val="5E6C3504"/>
    <w:rsid w:val="5E743309"/>
    <w:rsid w:val="5E935173"/>
    <w:rsid w:val="5E96232F"/>
    <w:rsid w:val="5EBC1068"/>
    <w:rsid w:val="5EBD47BD"/>
    <w:rsid w:val="5EBF3335"/>
    <w:rsid w:val="5EEE71FB"/>
    <w:rsid w:val="5EEF24A2"/>
    <w:rsid w:val="5F3A7313"/>
    <w:rsid w:val="5F49784F"/>
    <w:rsid w:val="5F532131"/>
    <w:rsid w:val="5F6F28A6"/>
    <w:rsid w:val="5F8328B3"/>
    <w:rsid w:val="5F87271E"/>
    <w:rsid w:val="5F8743EA"/>
    <w:rsid w:val="5F913F6E"/>
    <w:rsid w:val="5F942FD7"/>
    <w:rsid w:val="5F9A4A02"/>
    <w:rsid w:val="5F9C3D97"/>
    <w:rsid w:val="5FAD2448"/>
    <w:rsid w:val="5FBA6B96"/>
    <w:rsid w:val="5FC3495A"/>
    <w:rsid w:val="5FC67C2B"/>
    <w:rsid w:val="5FE9040C"/>
    <w:rsid w:val="5FED41D0"/>
    <w:rsid w:val="5FF70675"/>
    <w:rsid w:val="60096689"/>
    <w:rsid w:val="60530D8A"/>
    <w:rsid w:val="60541255"/>
    <w:rsid w:val="60682B34"/>
    <w:rsid w:val="606B68EE"/>
    <w:rsid w:val="60A06E0B"/>
    <w:rsid w:val="60AD570E"/>
    <w:rsid w:val="60BB1FEA"/>
    <w:rsid w:val="60CD5DAB"/>
    <w:rsid w:val="60DF26E4"/>
    <w:rsid w:val="60E23609"/>
    <w:rsid w:val="60F03CB7"/>
    <w:rsid w:val="60FB291D"/>
    <w:rsid w:val="60FF383C"/>
    <w:rsid w:val="610E46E7"/>
    <w:rsid w:val="611030D8"/>
    <w:rsid w:val="612A032F"/>
    <w:rsid w:val="612E29D1"/>
    <w:rsid w:val="61357CEE"/>
    <w:rsid w:val="61363A01"/>
    <w:rsid w:val="61530E20"/>
    <w:rsid w:val="61745FCD"/>
    <w:rsid w:val="617A1988"/>
    <w:rsid w:val="617F2682"/>
    <w:rsid w:val="61804A37"/>
    <w:rsid w:val="61872875"/>
    <w:rsid w:val="61A703FD"/>
    <w:rsid w:val="61AF31B0"/>
    <w:rsid w:val="61D76192"/>
    <w:rsid w:val="61DB3917"/>
    <w:rsid w:val="61E6537B"/>
    <w:rsid w:val="61E77660"/>
    <w:rsid w:val="61F24909"/>
    <w:rsid w:val="61F37259"/>
    <w:rsid w:val="61FF1BE3"/>
    <w:rsid w:val="620943D1"/>
    <w:rsid w:val="621324B7"/>
    <w:rsid w:val="6213429C"/>
    <w:rsid w:val="622C7655"/>
    <w:rsid w:val="6246360D"/>
    <w:rsid w:val="6259512A"/>
    <w:rsid w:val="627471DF"/>
    <w:rsid w:val="62874F53"/>
    <w:rsid w:val="628F35AD"/>
    <w:rsid w:val="62BD2580"/>
    <w:rsid w:val="62BF0D01"/>
    <w:rsid w:val="62C15550"/>
    <w:rsid w:val="62CC6E1E"/>
    <w:rsid w:val="62CF761D"/>
    <w:rsid w:val="62D364CF"/>
    <w:rsid w:val="62D90A3C"/>
    <w:rsid w:val="62F15296"/>
    <w:rsid w:val="62FD65FA"/>
    <w:rsid w:val="63081C0F"/>
    <w:rsid w:val="63094986"/>
    <w:rsid w:val="630D7120"/>
    <w:rsid w:val="63293AC0"/>
    <w:rsid w:val="634C3390"/>
    <w:rsid w:val="63503A40"/>
    <w:rsid w:val="63645788"/>
    <w:rsid w:val="636F4C9B"/>
    <w:rsid w:val="63733AFA"/>
    <w:rsid w:val="63760873"/>
    <w:rsid w:val="63851F15"/>
    <w:rsid w:val="63936E3D"/>
    <w:rsid w:val="63B45DCA"/>
    <w:rsid w:val="63BC2275"/>
    <w:rsid w:val="63BE4036"/>
    <w:rsid w:val="63BF3AA8"/>
    <w:rsid w:val="63C22AEE"/>
    <w:rsid w:val="63C911FA"/>
    <w:rsid w:val="63D57B54"/>
    <w:rsid w:val="63E07D2C"/>
    <w:rsid w:val="63E67981"/>
    <w:rsid w:val="63FD34DD"/>
    <w:rsid w:val="6410048D"/>
    <w:rsid w:val="641E3481"/>
    <w:rsid w:val="64373C6C"/>
    <w:rsid w:val="64467B06"/>
    <w:rsid w:val="646726E8"/>
    <w:rsid w:val="64721148"/>
    <w:rsid w:val="64861CF5"/>
    <w:rsid w:val="64A03E0D"/>
    <w:rsid w:val="64AA08E2"/>
    <w:rsid w:val="64B51197"/>
    <w:rsid w:val="64C70F64"/>
    <w:rsid w:val="64E21E2A"/>
    <w:rsid w:val="64EF7585"/>
    <w:rsid w:val="65367F42"/>
    <w:rsid w:val="653C73CA"/>
    <w:rsid w:val="65401246"/>
    <w:rsid w:val="655D7702"/>
    <w:rsid w:val="656211BC"/>
    <w:rsid w:val="657906B1"/>
    <w:rsid w:val="658440D5"/>
    <w:rsid w:val="659318F3"/>
    <w:rsid w:val="65AB6F91"/>
    <w:rsid w:val="65F83791"/>
    <w:rsid w:val="65FA0057"/>
    <w:rsid w:val="65FD7EFA"/>
    <w:rsid w:val="660202AA"/>
    <w:rsid w:val="66122C2D"/>
    <w:rsid w:val="661C2194"/>
    <w:rsid w:val="661C4DBF"/>
    <w:rsid w:val="66385BE6"/>
    <w:rsid w:val="663874C4"/>
    <w:rsid w:val="663D182A"/>
    <w:rsid w:val="6643462E"/>
    <w:rsid w:val="667F2A00"/>
    <w:rsid w:val="667F398F"/>
    <w:rsid w:val="66BD4E2C"/>
    <w:rsid w:val="66C42888"/>
    <w:rsid w:val="66DC0AFB"/>
    <w:rsid w:val="66E0327B"/>
    <w:rsid w:val="66E775AB"/>
    <w:rsid w:val="66FB5425"/>
    <w:rsid w:val="672A7376"/>
    <w:rsid w:val="672F5EDA"/>
    <w:rsid w:val="6735475C"/>
    <w:rsid w:val="67367891"/>
    <w:rsid w:val="67424E02"/>
    <w:rsid w:val="674771F5"/>
    <w:rsid w:val="67483CD4"/>
    <w:rsid w:val="67561494"/>
    <w:rsid w:val="67564D51"/>
    <w:rsid w:val="67584625"/>
    <w:rsid w:val="67765000"/>
    <w:rsid w:val="677719F1"/>
    <w:rsid w:val="67954DB7"/>
    <w:rsid w:val="67A60594"/>
    <w:rsid w:val="67C859AE"/>
    <w:rsid w:val="67D761B1"/>
    <w:rsid w:val="67D90CF2"/>
    <w:rsid w:val="67DC5B22"/>
    <w:rsid w:val="680F2EF3"/>
    <w:rsid w:val="6823748C"/>
    <w:rsid w:val="68386D92"/>
    <w:rsid w:val="68482C4A"/>
    <w:rsid w:val="68591D74"/>
    <w:rsid w:val="68630DEF"/>
    <w:rsid w:val="686A21AE"/>
    <w:rsid w:val="686A3311"/>
    <w:rsid w:val="68765AE2"/>
    <w:rsid w:val="68805BA0"/>
    <w:rsid w:val="68854857"/>
    <w:rsid w:val="68AC4E1F"/>
    <w:rsid w:val="68AE58EA"/>
    <w:rsid w:val="68B01E0B"/>
    <w:rsid w:val="68C267FF"/>
    <w:rsid w:val="68C665EB"/>
    <w:rsid w:val="69006C5E"/>
    <w:rsid w:val="692B118D"/>
    <w:rsid w:val="69475680"/>
    <w:rsid w:val="694D644B"/>
    <w:rsid w:val="69540E1C"/>
    <w:rsid w:val="69684E8E"/>
    <w:rsid w:val="696A0640"/>
    <w:rsid w:val="696E0693"/>
    <w:rsid w:val="69855B12"/>
    <w:rsid w:val="69884F80"/>
    <w:rsid w:val="698F7626"/>
    <w:rsid w:val="69AD1EA3"/>
    <w:rsid w:val="69B37CA5"/>
    <w:rsid w:val="69C00344"/>
    <w:rsid w:val="69C75A92"/>
    <w:rsid w:val="69DF4B8A"/>
    <w:rsid w:val="69EB2DEA"/>
    <w:rsid w:val="69ED6035"/>
    <w:rsid w:val="69F10D61"/>
    <w:rsid w:val="69F43DF4"/>
    <w:rsid w:val="69F85B32"/>
    <w:rsid w:val="6A0B1E23"/>
    <w:rsid w:val="6A43089B"/>
    <w:rsid w:val="6A5045EB"/>
    <w:rsid w:val="6A6B466F"/>
    <w:rsid w:val="6A6C243A"/>
    <w:rsid w:val="6A755E19"/>
    <w:rsid w:val="6AA4553C"/>
    <w:rsid w:val="6AAF1173"/>
    <w:rsid w:val="6AB33DFA"/>
    <w:rsid w:val="6ABA1153"/>
    <w:rsid w:val="6AD71696"/>
    <w:rsid w:val="6AEE2F41"/>
    <w:rsid w:val="6B0F411B"/>
    <w:rsid w:val="6B145882"/>
    <w:rsid w:val="6B1A49A6"/>
    <w:rsid w:val="6B3414CB"/>
    <w:rsid w:val="6B430B25"/>
    <w:rsid w:val="6B464EA3"/>
    <w:rsid w:val="6B4E501F"/>
    <w:rsid w:val="6B6241C5"/>
    <w:rsid w:val="6B721A2E"/>
    <w:rsid w:val="6B783581"/>
    <w:rsid w:val="6B823B45"/>
    <w:rsid w:val="6B8335EE"/>
    <w:rsid w:val="6B8624F6"/>
    <w:rsid w:val="6B8F7255"/>
    <w:rsid w:val="6BA8047A"/>
    <w:rsid w:val="6BBA6F90"/>
    <w:rsid w:val="6BC437A6"/>
    <w:rsid w:val="6BC57849"/>
    <w:rsid w:val="6BCB3734"/>
    <w:rsid w:val="6BCC3834"/>
    <w:rsid w:val="6BE00A47"/>
    <w:rsid w:val="6BE7075E"/>
    <w:rsid w:val="6BEB12BB"/>
    <w:rsid w:val="6BFA67E9"/>
    <w:rsid w:val="6C020694"/>
    <w:rsid w:val="6C15496D"/>
    <w:rsid w:val="6C161676"/>
    <w:rsid w:val="6C221DCA"/>
    <w:rsid w:val="6C2E004A"/>
    <w:rsid w:val="6C3078D5"/>
    <w:rsid w:val="6C3334C9"/>
    <w:rsid w:val="6C45131E"/>
    <w:rsid w:val="6C4C0566"/>
    <w:rsid w:val="6C501F4A"/>
    <w:rsid w:val="6C5A094E"/>
    <w:rsid w:val="6C897BB9"/>
    <w:rsid w:val="6C984BB0"/>
    <w:rsid w:val="6CA352DA"/>
    <w:rsid w:val="6CA46F92"/>
    <w:rsid w:val="6CB634FE"/>
    <w:rsid w:val="6CC236D8"/>
    <w:rsid w:val="6CD07851"/>
    <w:rsid w:val="6CE95D1F"/>
    <w:rsid w:val="6CF07D6A"/>
    <w:rsid w:val="6CFA68FB"/>
    <w:rsid w:val="6D082C0A"/>
    <w:rsid w:val="6D18539E"/>
    <w:rsid w:val="6D1B7A01"/>
    <w:rsid w:val="6D1E3873"/>
    <w:rsid w:val="6D1F7993"/>
    <w:rsid w:val="6D39782E"/>
    <w:rsid w:val="6D4A0B78"/>
    <w:rsid w:val="6D4B1F6C"/>
    <w:rsid w:val="6D510837"/>
    <w:rsid w:val="6D5B09CB"/>
    <w:rsid w:val="6DA4634B"/>
    <w:rsid w:val="6DB342F6"/>
    <w:rsid w:val="6DB97DE8"/>
    <w:rsid w:val="6DCF760B"/>
    <w:rsid w:val="6E0076FB"/>
    <w:rsid w:val="6E13291D"/>
    <w:rsid w:val="6E2602EE"/>
    <w:rsid w:val="6E3B2F3D"/>
    <w:rsid w:val="6E53660F"/>
    <w:rsid w:val="6E6C5C16"/>
    <w:rsid w:val="6E833960"/>
    <w:rsid w:val="6E8F767E"/>
    <w:rsid w:val="6E933C96"/>
    <w:rsid w:val="6E9A39B4"/>
    <w:rsid w:val="6EA14F78"/>
    <w:rsid w:val="6EA54945"/>
    <w:rsid w:val="6EC40EC6"/>
    <w:rsid w:val="6ED96CD3"/>
    <w:rsid w:val="6F056B25"/>
    <w:rsid w:val="6F0C47F2"/>
    <w:rsid w:val="6F402D74"/>
    <w:rsid w:val="6F5C1890"/>
    <w:rsid w:val="6F655734"/>
    <w:rsid w:val="6F69473F"/>
    <w:rsid w:val="6F95590D"/>
    <w:rsid w:val="6FA50A4A"/>
    <w:rsid w:val="6FAA7A52"/>
    <w:rsid w:val="6FD2779E"/>
    <w:rsid w:val="70013BB3"/>
    <w:rsid w:val="700545AD"/>
    <w:rsid w:val="70234995"/>
    <w:rsid w:val="702975E6"/>
    <w:rsid w:val="703C5285"/>
    <w:rsid w:val="704D4AC3"/>
    <w:rsid w:val="704F57AD"/>
    <w:rsid w:val="70512AD7"/>
    <w:rsid w:val="70513E1B"/>
    <w:rsid w:val="706978A3"/>
    <w:rsid w:val="70756248"/>
    <w:rsid w:val="70847347"/>
    <w:rsid w:val="7085487B"/>
    <w:rsid w:val="708C4F68"/>
    <w:rsid w:val="70AC3B98"/>
    <w:rsid w:val="70B50169"/>
    <w:rsid w:val="70C1323B"/>
    <w:rsid w:val="70D7560A"/>
    <w:rsid w:val="70F24096"/>
    <w:rsid w:val="710579A2"/>
    <w:rsid w:val="711D3E08"/>
    <w:rsid w:val="71293B6E"/>
    <w:rsid w:val="71413680"/>
    <w:rsid w:val="715D58C7"/>
    <w:rsid w:val="71641205"/>
    <w:rsid w:val="71A22D27"/>
    <w:rsid w:val="71A81DE4"/>
    <w:rsid w:val="71A97044"/>
    <w:rsid w:val="71B12A23"/>
    <w:rsid w:val="71B41860"/>
    <w:rsid w:val="71C06487"/>
    <w:rsid w:val="71E9373A"/>
    <w:rsid w:val="71EB2E5C"/>
    <w:rsid w:val="71EF480B"/>
    <w:rsid w:val="71F25E92"/>
    <w:rsid w:val="71F557B7"/>
    <w:rsid w:val="72023B0B"/>
    <w:rsid w:val="72083B8C"/>
    <w:rsid w:val="72147C3F"/>
    <w:rsid w:val="72232D9B"/>
    <w:rsid w:val="72274503"/>
    <w:rsid w:val="72387E7E"/>
    <w:rsid w:val="724A53D2"/>
    <w:rsid w:val="724B6C64"/>
    <w:rsid w:val="72500A11"/>
    <w:rsid w:val="72611263"/>
    <w:rsid w:val="72651E4D"/>
    <w:rsid w:val="728F4B9E"/>
    <w:rsid w:val="72A93549"/>
    <w:rsid w:val="72AB2230"/>
    <w:rsid w:val="72AE5436"/>
    <w:rsid w:val="72C4450C"/>
    <w:rsid w:val="72CE7645"/>
    <w:rsid w:val="7300400A"/>
    <w:rsid w:val="730217C2"/>
    <w:rsid w:val="730E5B83"/>
    <w:rsid w:val="731D47D3"/>
    <w:rsid w:val="73324560"/>
    <w:rsid w:val="7352575D"/>
    <w:rsid w:val="73562BD8"/>
    <w:rsid w:val="73586F87"/>
    <w:rsid w:val="736F2615"/>
    <w:rsid w:val="737732D6"/>
    <w:rsid w:val="738F43B4"/>
    <w:rsid w:val="73943F75"/>
    <w:rsid w:val="73985433"/>
    <w:rsid w:val="73A45FA9"/>
    <w:rsid w:val="73C142FC"/>
    <w:rsid w:val="73C762C0"/>
    <w:rsid w:val="73C91608"/>
    <w:rsid w:val="73CE3A10"/>
    <w:rsid w:val="73D857ED"/>
    <w:rsid w:val="73DC65DE"/>
    <w:rsid w:val="73F12514"/>
    <w:rsid w:val="73F72F8D"/>
    <w:rsid w:val="73FB53A4"/>
    <w:rsid w:val="741B5358"/>
    <w:rsid w:val="74242905"/>
    <w:rsid w:val="742D0BE7"/>
    <w:rsid w:val="744E2463"/>
    <w:rsid w:val="745D4B6A"/>
    <w:rsid w:val="74760AC9"/>
    <w:rsid w:val="748E4FF9"/>
    <w:rsid w:val="7493711F"/>
    <w:rsid w:val="74982E62"/>
    <w:rsid w:val="749A4D22"/>
    <w:rsid w:val="74A54C22"/>
    <w:rsid w:val="74CA6887"/>
    <w:rsid w:val="74E55AC3"/>
    <w:rsid w:val="74E93AA6"/>
    <w:rsid w:val="74F91BBA"/>
    <w:rsid w:val="74FA7C24"/>
    <w:rsid w:val="750D363C"/>
    <w:rsid w:val="75175B20"/>
    <w:rsid w:val="75566967"/>
    <w:rsid w:val="755C2D8B"/>
    <w:rsid w:val="75686A6E"/>
    <w:rsid w:val="758962F1"/>
    <w:rsid w:val="75905CFD"/>
    <w:rsid w:val="75AD1FE0"/>
    <w:rsid w:val="75BA2266"/>
    <w:rsid w:val="75C52BFF"/>
    <w:rsid w:val="75D560FF"/>
    <w:rsid w:val="75DC2529"/>
    <w:rsid w:val="75DD4EA0"/>
    <w:rsid w:val="75E56258"/>
    <w:rsid w:val="75F826C3"/>
    <w:rsid w:val="76072AB9"/>
    <w:rsid w:val="760852B0"/>
    <w:rsid w:val="761359CF"/>
    <w:rsid w:val="762365B4"/>
    <w:rsid w:val="76266FDA"/>
    <w:rsid w:val="76427FEF"/>
    <w:rsid w:val="764405EC"/>
    <w:rsid w:val="765D56FB"/>
    <w:rsid w:val="766133C7"/>
    <w:rsid w:val="766829E3"/>
    <w:rsid w:val="768761E1"/>
    <w:rsid w:val="76996E57"/>
    <w:rsid w:val="769F5C03"/>
    <w:rsid w:val="76A41635"/>
    <w:rsid w:val="76AB7D69"/>
    <w:rsid w:val="76AE24B4"/>
    <w:rsid w:val="76BF7D0B"/>
    <w:rsid w:val="76DB492B"/>
    <w:rsid w:val="76E55245"/>
    <w:rsid w:val="76EC79D4"/>
    <w:rsid w:val="76FA49E0"/>
    <w:rsid w:val="77065609"/>
    <w:rsid w:val="770C5CCF"/>
    <w:rsid w:val="7721438E"/>
    <w:rsid w:val="77364340"/>
    <w:rsid w:val="773F3E4F"/>
    <w:rsid w:val="774E15A1"/>
    <w:rsid w:val="774E674C"/>
    <w:rsid w:val="777F4165"/>
    <w:rsid w:val="77A474F2"/>
    <w:rsid w:val="77A95662"/>
    <w:rsid w:val="77AF26E8"/>
    <w:rsid w:val="77BF249E"/>
    <w:rsid w:val="77C535B7"/>
    <w:rsid w:val="77C64B61"/>
    <w:rsid w:val="77C729E8"/>
    <w:rsid w:val="77C97004"/>
    <w:rsid w:val="77D24ECD"/>
    <w:rsid w:val="77E4364E"/>
    <w:rsid w:val="77EF06A9"/>
    <w:rsid w:val="77EF1673"/>
    <w:rsid w:val="77F83931"/>
    <w:rsid w:val="78256724"/>
    <w:rsid w:val="782A4632"/>
    <w:rsid w:val="782A7918"/>
    <w:rsid w:val="782E4111"/>
    <w:rsid w:val="782F5DF4"/>
    <w:rsid w:val="783723DB"/>
    <w:rsid w:val="784529A4"/>
    <w:rsid w:val="785C6E66"/>
    <w:rsid w:val="78701244"/>
    <w:rsid w:val="787646F3"/>
    <w:rsid w:val="787A0236"/>
    <w:rsid w:val="787E743D"/>
    <w:rsid w:val="788E2B75"/>
    <w:rsid w:val="78AD6011"/>
    <w:rsid w:val="79050385"/>
    <w:rsid w:val="79087078"/>
    <w:rsid w:val="790C5A5D"/>
    <w:rsid w:val="79131676"/>
    <w:rsid w:val="792E51E6"/>
    <w:rsid w:val="79413676"/>
    <w:rsid w:val="79465488"/>
    <w:rsid w:val="794B4F53"/>
    <w:rsid w:val="795129AE"/>
    <w:rsid w:val="796712ED"/>
    <w:rsid w:val="798C1B40"/>
    <w:rsid w:val="799F0EF8"/>
    <w:rsid w:val="79A872C0"/>
    <w:rsid w:val="79AE2E69"/>
    <w:rsid w:val="79AF53D3"/>
    <w:rsid w:val="79B779F5"/>
    <w:rsid w:val="79BB6ADC"/>
    <w:rsid w:val="79C53459"/>
    <w:rsid w:val="79DB6FC9"/>
    <w:rsid w:val="79F3353C"/>
    <w:rsid w:val="7A1A390D"/>
    <w:rsid w:val="7A1D7309"/>
    <w:rsid w:val="7A1E1E88"/>
    <w:rsid w:val="7A43172B"/>
    <w:rsid w:val="7A4B626B"/>
    <w:rsid w:val="7A4F36B7"/>
    <w:rsid w:val="7A6B664D"/>
    <w:rsid w:val="7A7B0E20"/>
    <w:rsid w:val="7A9631B0"/>
    <w:rsid w:val="7A996FD7"/>
    <w:rsid w:val="7AB21EED"/>
    <w:rsid w:val="7AC157B9"/>
    <w:rsid w:val="7ACF639B"/>
    <w:rsid w:val="7ADE49EA"/>
    <w:rsid w:val="7AE07D01"/>
    <w:rsid w:val="7B0C72BF"/>
    <w:rsid w:val="7B2437FD"/>
    <w:rsid w:val="7B2C2DEA"/>
    <w:rsid w:val="7B2C6BDC"/>
    <w:rsid w:val="7B3A61E6"/>
    <w:rsid w:val="7B3E08D6"/>
    <w:rsid w:val="7B446EFB"/>
    <w:rsid w:val="7B4C229B"/>
    <w:rsid w:val="7B4E1976"/>
    <w:rsid w:val="7B506700"/>
    <w:rsid w:val="7B5B132E"/>
    <w:rsid w:val="7B6126A0"/>
    <w:rsid w:val="7B6B6770"/>
    <w:rsid w:val="7B724DB3"/>
    <w:rsid w:val="7B7D4202"/>
    <w:rsid w:val="7B890F43"/>
    <w:rsid w:val="7BBD0AA3"/>
    <w:rsid w:val="7BC67B0F"/>
    <w:rsid w:val="7BCB1412"/>
    <w:rsid w:val="7BF74B2A"/>
    <w:rsid w:val="7C013085"/>
    <w:rsid w:val="7C042B76"/>
    <w:rsid w:val="7C052525"/>
    <w:rsid w:val="7C062220"/>
    <w:rsid w:val="7C2431BA"/>
    <w:rsid w:val="7C2945DB"/>
    <w:rsid w:val="7C402CEC"/>
    <w:rsid w:val="7C446F9F"/>
    <w:rsid w:val="7C4D20BA"/>
    <w:rsid w:val="7C4F5703"/>
    <w:rsid w:val="7C613B24"/>
    <w:rsid w:val="7C6E33C3"/>
    <w:rsid w:val="7C8810B1"/>
    <w:rsid w:val="7CA031CB"/>
    <w:rsid w:val="7CB76279"/>
    <w:rsid w:val="7CC12815"/>
    <w:rsid w:val="7CC213C3"/>
    <w:rsid w:val="7CC271A9"/>
    <w:rsid w:val="7CCF61F2"/>
    <w:rsid w:val="7CD70BFD"/>
    <w:rsid w:val="7CD91B35"/>
    <w:rsid w:val="7CF15E9A"/>
    <w:rsid w:val="7CFB6734"/>
    <w:rsid w:val="7CFC0F8A"/>
    <w:rsid w:val="7D0B0A64"/>
    <w:rsid w:val="7D407BDD"/>
    <w:rsid w:val="7D41540C"/>
    <w:rsid w:val="7D563F7B"/>
    <w:rsid w:val="7D6364D7"/>
    <w:rsid w:val="7D8074BA"/>
    <w:rsid w:val="7D8201F6"/>
    <w:rsid w:val="7D9F5410"/>
    <w:rsid w:val="7DC43DE4"/>
    <w:rsid w:val="7DE5029C"/>
    <w:rsid w:val="7E196185"/>
    <w:rsid w:val="7E1B2C2D"/>
    <w:rsid w:val="7E2C4609"/>
    <w:rsid w:val="7E307C52"/>
    <w:rsid w:val="7E392EA7"/>
    <w:rsid w:val="7E5E5BA1"/>
    <w:rsid w:val="7E7D5307"/>
    <w:rsid w:val="7E872CC0"/>
    <w:rsid w:val="7E952D1F"/>
    <w:rsid w:val="7E9806BB"/>
    <w:rsid w:val="7E9976B9"/>
    <w:rsid w:val="7E9A50CB"/>
    <w:rsid w:val="7EB36422"/>
    <w:rsid w:val="7EB4116A"/>
    <w:rsid w:val="7EE44E6F"/>
    <w:rsid w:val="7EE569BD"/>
    <w:rsid w:val="7EE72FC4"/>
    <w:rsid w:val="7EF47ED5"/>
    <w:rsid w:val="7EF70654"/>
    <w:rsid w:val="7F1176A7"/>
    <w:rsid w:val="7F127BA4"/>
    <w:rsid w:val="7F150E0C"/>
    <w:rsid w:val="7F2A431F"/>
    <w:rsid w:val="7F5B2AAD"/>
    <w:rsid w:val="7F6F1E24"/>
    <w:rsid w:val="7F737DAC"/>
    <w:rsid w:val="7F7B0F29"/>
    <w:rsid w:val="7F87126C"/>
    <w:rsid w:val="7F8B770B"/>
    <w:rsid w:val="7F8F6DDC"/>
    <w:rsid w:val="7FAE6966"/>
    <w:rsid w:val="7FCD5562"/>
    <w:rsid w:val="7FD83DDF"/>
    <w:rsid w:val="7FEA7ACF"/>
    <w:rsid w:val="7FEE1660"/>
    <w:rsid w:val="7FF16475"/>
    <w:rsid w:val="7FF263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widowControl w:val="0"/>
      <w:spacing w:before="340" w:beforeLines="0" w:beforeAutospacing="0" w:after="330" w:afterLines="0" w:afterAutospacing="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widowControl w:val="0"/>
      <w:spacing w:before="260" w:beforeLines="0" w:beforeAutospacing="0" w:after="260" w:afterLines="0" w:afterAutospacing="0" w:line="412" w:lineRule="auto"/>
      <w:outlineLvl w:val="1"/>
    </w:pPr>
    <w:rPr>
      <w:rFonts w:ascii="Arial" w:hAnsi="Arial" w:eastAsia="黑体"/>
      <w:b/>
      <w:sz w:val="32"/>
      <w:szCs w:val="20"/>
    </w:rPr>
  </w:style>
  <w:style w:type="paragraph" w:styleId="5">
    <w:name w:val="heading 3"/>
    <w:basedOn w:val="1"/>
    <w:next w:val="1"/>
    <w:qFormat/>
    <w:uiPriority w:val="0"/>
    <w:pPr>
      <w:keepNext/>
      <w:keepLines/>
      <w:widowControl w:val="0"/>
      <w:spacing w:before="260" w:beforeLines="0" w:beforeAutospacing="0" w:after="260" w:afterLines="0" w:afterAutospacing="0" w:line="412" w:lineRule="auto"/>
      <w:ind w:firstLine="49" w:firstLineChars="49"/>
      <w:outlineLvl w:val="2"/>
    </w:pPr>
    <w:rPr>
      <w:rFonts w:ascii="黑体" w:eastAsia="黑体"/>
      <w:sz w:val="28"/>
      <w:szCs w:val="20"/>
    </w:rPr>
  </w:style>
  <w:style w:type="paragraph" w:styleId="6">
    <w:name w:val="heading 7"/>
    <w:basedOn w:val="1"/>
    <w:next w:val="1"/>
    <w:link w:val="58"/>
    <w:qFormat/>
    <w:uiPriority w:val="0"/>
    <w:pPr>
      <w:keepNext/>
      <w:keepLines/>
      <w:spacing w:before="240" w:after="64" w:line="320" w:lineRule="auto"/>
      <w:outlineLvl w:val="6"/>
    </w:pPr>
    <w:rPr>
      <w:b/>
      <w:bCs/>
      <w:sz w:val="24"/>
      <w:szCs w:val="24"/>
    </w:rPr>
  </w:style>
  <w:style w:type="paragraph" w:styleId="7">
    <w:name w:val="heading 8"/>
    <w:basedOn w:val="1"/>
    <w:next w:val="1"/>
    <w:link w:val="53"/>
    <w:qFormat/>
    <w:uiPriority w:val="0"/>
    <w:pPr>
      <w:keepNext/>
      <w:keepLines/>
      <w:spacing w:before="240" w:after="64" w:line="320" w:lineRule="auto"/>
      <w:outlineLvl w:val="7"/>
    </w:pPr>
    <w:rPr>
      <w:rFonts w:ascii="Calibri Light" w:hAnsi="Calibri Light"/>
      <w:sz w:val="24"/>
      <w:szCs w:val="24"/>
    </w:rPr>
  </w:style>
  <w:style w:type="character" w:default="1" w:styleId="35">
    <w:name w:val="Default Paragraph Font"/>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8">
    <w:name w:val="toc 7"/>
    <w:basedOn w:val="1"/>
    <w:next w:val="1"/>
    <w:qFormat/>
    <w:uiPriority w:val="39"/>
    <w:pPr>
      <w:ind w:left="1200" w:leftChars="1200"/>
    </w:pPr>
  </w:style>
  <w:style w:type="paragraph" w:styleId="9">
    <w:name w:val="Document Map"/>
    <w:basedOn w:val="1"/>
    <w:qFormat/>
    <w:uiPriority w:val="0"/>
    <w:rPr>
      <w:rFonts w:ascii="宋体" w:cs="宋体"/>
      <w:sz w:val="18"/>
      <w:szCs w:val="18"/>
      <w:lang w:bidi="ar-SA"/>
    </w:rPr>
  </w:style>
  <w:style w:type="paragraph" w:styleId="10">
    <w:name w:val="annotation text"/>
    <w:basedOn w:val="1"/>
    <w:link w:val="61"/>
    <w:qFormat/>
    <w:uiPriority w:val="99"/>
    <w:pPr>
      <w:jc w:val="left"/>
    </w:pPr>
    <w:rPr>
      <w:rFonts w:ascii="Times New Roman" w:hAnsi="Times New Roman"/>
      <w:szCs w:val="20"/>
    </w:rPr>
  </w:style>
  <w:style w:type="paragraph" w:styleId="11">
    <w:name w:val="Body Text 3"/>
    <w:basedOn w:val="1"/>
    <w:qFormat/>
    <w:uiPriority w:val="0"/>
    <w:rPr>
      <w:rFonts w:ascii="宋体"/>
      <w:sz w:val="24"/>
      <w:szCs w:val="20"/>
    </w:rPr>
  </w:style>
  <w:style w:type="paragraph" w:styleId="12">
    <w:name w:val="Body Text"/>
    <w:basedOn w:val="1"/>
    <w:link w:val="60"/>
    <w:qFormat/>
    <w:uiPriority w:val="0"/>
    <w:pPr>
      <w:spacing w:after="120"/>
    </w:pPr>
  </w:style>
  <w:style w:type="paragraph" w:styleId="13">
    <w:name w:val="Body Text Indent"/>
    <w:basedOn w:val="1"/>
    <w:qFormat/>
    <w:uiPriority w:val="0"/>
    <w:pPr>
      <w:ind w:firstLine="420" w:firstLineChars="200"/>
    </w:pPr>
  </w:style>
  <w:style w:type="paragraph" w:styleId="14">
    <w:name w:val="toc 5"/>
    <w:basedOn w:val="1"/>
    <w:next w:val="1"/>
    <w:qFormat/>
    <w:uiPriority w:val="39"/>
    <w:pPr>
      <w:ind w:left="800" w:leftChars="800"/>
    </w:pPr>
  </w:style>
  <w:style w:type="paragraph" w:styleId="15">
    <w:name w:val="toc 3"/>
    <w:basedOn w:val="1"/>
    <w:next w:val="1"/>
    <w:qFormat/>
    <w:uiPriority w:val="39"/>
    <w:pPr>
      <w:ind w:left="400" w:leftChars="400"/>
    </w:pPr>
  </w:style>
  <w:style w:type="paragraph" w:styleId="16">
    <w:name w:val="Plain Text"/>
    <w:basedOn w:val="1"/>
    <w:link w:val="51"/>
    <w:qFormat/>
    <w:uiPriority w:val="0"/>
    <w:rPr>
      <w:rFonts w:ascii="宋体"/>
    </w:rPr>
  </w:style>
  <w:style w:type="paragraph" w:styleId="17">
    <w:name w:val="toc 8"/>
    <w:basedOn w:val="1"/>
    <w:next w:val="1"/>
    <w:qFormat/>
    <w:uiPriority w:val="39"/>
    <w:pPr>
      <w:ind w:left="1400" w:leftChars="1400"/>
    </w:p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link w:val="5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style>
  <w:style w:type="paragraph" w:styleId="23">
    <w:name w:val="toc 4"/>
    <w:basedOn w:val="1"/>
    <w:next w:val="1"/>
    <w:qFormat/>
    <w:uiPriority w:val="39"/>
    <w:pPr>
      <w:ind w:left="600" w:leftChars="600"/>
    </w:pPr>
  </w:style>
  <w:style w:type="paragraph" w:styleId="24">
    <w:name w:val="toc 6"/>
    <w:basedOn w:val="1"/>
    <w:next w:val="1"/>
    <w:qFormat/>
    <w:uiPriority w:val="39"/>
    <w:pPr>
      <w:ind w:left="1000" w:leftChars="1000"/>
    </w:pPr>
  </w:style>
  <w:style w:type="paragraph" w:styleId="25">
    <w:name w:val="Body Text Indent 3"/>
    <w:basedOn w:val="1"/>
    <w:qFormat/>
    <w:uiPriority w:val="0"/>
    <w:pPr>
      <w:spacing w:after="120" w:afterLines="0"/>
      <w:ind w:left="200" w:leftChars="200"/>
    </w:pPr>
    <w:rPr>
      <w:sz w:val="16"/>
      <w:szCs w:val="16"/>
    </w:rPr>
  </w:style>
  <w:style w:type="paragraph" w:styleId="26">
    <w:name w:val="table of figures"/>
    <w:basedOn w:val="1"/>
    <w:next w:val="1"/>
    <w:unhideWhenUsed/>
    <w:qFormat/>
    <w:uiPriority w:val="99"/>
    <w:pPr>
      <w:spacing w:line="360" w:lineRule="auto"/>
      <w:ind w:left="1270" w:hanging="420"/>
      <w:jc w:val="left"/>
    </w:pPr>
    <w:rPr>
      <w:rFonts w:ascii="Times New Roman" w:hAnsi="Times New Roman"/>
      <w:smallCaps/>
      <w:sz w:val="20"/>
      <w:szCs w:val="20"/>
    </w:rPr>
  </w:style>
  <w:style w:type="paragraph" w:styleId="27">
    <w:name w:val="toc 2"/>
    <w:basedOn w:val="1"/>
    <w:next w:val="1"/>
    <w:qFormat/>
    <w:uiPriority w:val="39"/>
    <w:pPr>
      <w:ind w:left="200" w:leftChars="200"/>
    </w:pPr>
  </w:style>
  <w:style w:type="paragraph" w:styleId="28">
    <w:name w:val="toc 9"/>
    <w:basedOn w:val="1"/>
    <w:next w:val="1"/>
    <w:qFormat/>
    <w:uiPriority w:val="39"/>
    <w:pPr>
      <w:ind w:left="1600" w:leftChars="1600"/>
    </w:pPr>
  </w:style>
  <w:style w:type="paragraph" w:styleId="29">
    <w:name w:val="Normal (Web)"/>
    <w:basedOn w:val="1"/>
    <w:qFormat/>
    <w:uiPriority w:val="0"/>
    <w:pPr>
      <w:widowControl/>
      <w:spacing w:before="100" w:beforeLines="0" w:beforeAutospacing="1" w:after="100" w:afterLines="0" w:afterAutospacing="1"/>
      <w:jc w:val="left"/>
    </w:pPr>
    <w:rPr>
      <w:rFonts w:ascii="Calibri Light" w:hAnsi="Calibri Light" w:cs="Calibri Light"/>
      <w:kern w:val="0"/>
      <w:sz w:val="24"/>
    </w:rPr>
  </w:style>
  <w:style w:type="paragraph" w:styleId="3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1">
    <w:name w:val="annotation subject"/>
    <w:basedOn w:val="10"/>
    <w:next w:val="10"/>
    <w:qFormat/>
    <w:uiPriority w:val="0"/>
    <w:rPr>
      <w:lang w:val="en-US" w:eastAsia="zh-CN"/>
    </w:rPr>
  </w:style>
  <w:style w:type="paragraph" w:styleId="32">
    <w:name w:val="Body Text First Indent 2"/>
    <w:basedOn w:val="13"/>
    <w:qFormat/>
    <w:uiPriority w:val="99"/>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rPr>
  </w:style>
  <w:style w:type="paragraph" w:customStyle="1" w:styleId="40">
    <w:name w:val="样式1"/>
    <w:basedOn w:val="1"/>
    <w:link w:val="63"/>
    <w:qFormat/>
    <w:uiPriority w:val="0"/>
    <w:pPr>
      <w:tabs>
        <w:tab w:val="left" w:pos="1560"/>
      </w:tabs>
      <w:adjustRightInd w:val="0"/>
      <w:spacing w:line="440" w:lineRule="exact"/>
      <w:jc w:val="left"/>
      <w:textAlignment w:val="baseline"/>
    </w:pPr>
    <w:rPr>
      <w:rFonts w:ascii="Times New Roman" w:hAnsi="Times New Roman" w:eastAsia="兰米仿宋体"/>
      <w:spacing w:val="-16"/>
      <w:kern w:val="0"/>
      <w:sz w:val="28"/>
      <w:szCs w:val="20"/>
    </w:rPr>
  </w:style>
  <w:style w:type="paragraph" w:customStyle="1" w:styleId="41">
    <w:name w:val="p0"/>
    <w:basedOn w:val="1"/>
    <w:qFormat/>
    <w:uiPriority w:val="0"/>
    <w:pPr>
      <w:widowControl/>
    </w:pPr>
    <w:rPr>
      <w:rFonts w:hint="eastAsia" w:ascii="Times New Roman" w:hAnsi="Times New Roman"/>
      <w:szCs w:val="24"/>
    </w:rPr>
  </w:style>
  <w:style w:type="paragraph" w:customStyle="1" w:styleId="42">
    <w:name w:val="标题 21"/>
    <w:basedOn w:val="1"/>
    <w:next w:val="1"/>
    <w:qFormat/>
    <w:uiPriority w:val="0"/>
    <w:pPr>
      <w:keepNext/>
      <w:keepLines/>
      <w:outlineLvl w:val="1"/>
    </w:pPr>
    <w:rPr>
      <w:rFonts w:hint="eastAsia" w:ascii="Times New Roman" w:hAnsi="Times New Roman"/>
      <w:szCs w:val="20"/>
    </w:rPr>
  </w:style>
  <w:style w:type="paragraph" w:customStyle="1" w:styleId="43">
    <w:name w:val="Table Paragraph"/>
    <w:basedOn w:val="1"/>
    <w:qFormat/>
    <w:uiPriority w:val="1"/>
    <w:pPr>
      <w:jc w:val="left"/>
    </w:pPr>
    <w:rPr>
      <w:rFonts w:eastAsia="Calibri"/>
      <w:kern w:val="0"/>
      <w:sz w:val="22"/>
      <w:lang w:eastAsia="en-US"/>
    </w:rPr>
  </w:style>
  <w:style w:type="paragraph" w:customStyle="1" w:styleId="44">
    <w:name w:val="_Style 23"/>
    <w:basedOn w:val="1"/>
    <w:qFormat/>
    <w:uiPriority w:val="0"/>
    <w:pPr>
      <w:widowControl/>
      <w:spacing w:after="160" w:afterLines="0" w:afterAutospacing="0" w:line="240" w:lineRule="exact"/>
      <w:jc w:val="left"/>
    </w:pPr>
  </w:style>
  <w:style w:type="paragraph" w:customStyle="1" w:styleId="45">
    <w:name w:val="_Style 39"/>
    <w:basedOn w:val="3"/>
    <w:next w:val="1"/>
    <w:qFormat/>
    <w:uiPriority w:val="39"/>
    <w:pPr>
      <w:keepNext/>
      <w:keepLines/>
      <w:widowControl/>
      <w:spacing w:before="480" w:beforeLines="0" w:beforeAutospacing="0" w:after="0" w:afterLines="0" w:afterAutospacing="0" w:line="276" w:lineRule="auto"/>
      <w:jc w:val="left"/>
      <w:outlineLvl w:val="9"/>
    </w:pPr>
    <w:rPr>
      <w:rFonts w:ascii="Cambria" w:hAnsi="Cambria" w:eastAsia="宋体"/>
      <w:color w:val="365F91"/>
      <w:kern w:val="0"/>
      <w:sz w:val="28"/>
    </w:rPr>
  </w:style>
  <w:style w:type="paragraph" w:customStyle="1" w:styleId="46">
    <w:name w:val="_Style 40"/>
    <w:qFormat/>
    <w:uiPriority w:val="0"/>
    <w:rPr>
      <w:rFonts w:ascii="Times New Roman" w:hAnsi="Times New Roman" w:eastAsia="宋体" w:cs="Times New Roman"/>
      <w:kern w:val="2"/>
      <w:sz w:val="21"/>
      <w:lang w:val="en-US" w:eastAsia="zh-CN" w:bidi="ar-SA"/>
    </w:rPr>
  </w:style>
  <w:style w:type="paragraph" w:customStyle="1" w:styleId="47">
    <w:name w:val=" Char"/>
    <w:basedOn w:val="1"/>
    <w:qFormat/>
    <w:uiPriority w:val="0"/>
    <w:rPr>
      <w:rFonts w:ascii="Tahoma" w:hAnsi="Tahoma"/>
      <w:sz w:val="24"/>
      <w:szCs w:val="20"/>
    </w:rPr>
  </w:style>
  <w:style w:type="paragraph" w:customStyle="1" w:styleId="48">
    <w:name w:val="日期1"/>
    <w:basedOn w:val="1"/>
    <w:next w:val="1"/>
    <w:qFormat/>
    <w:uiPriority w:val="0"/>
    <w:pPr>
      <w:adjustRightInd w:val="0"/>
      <w:textAlignment w:val="baseline"/>
    </w:pPr>
    <w:rPr>
      <w:rFonts w:ascii="Times New Roman" w:hAnsi="Times New Roman" w:eastAsia="仿宋_GB2312"/>
      <w:sz w:val="28"/>
      <w:szCs w:val="20"/>
    </w:rPr>
  </w:style>
  <w:style w:type="paragraph" w:customStyle="1" w:styleId="49">
    <w:name w:val="1"/>
    <w:basedOn w:val="1"/>
    <w:next w:val="16"/>
    <w:qFormat/>
    <w:uiPriority w:val="0"/>
    <w:rPr>
      <w:rFonts w:ascii="宋体" w:hAnsi="Courier New"/>
      <w:szCs w:val="20"/>
    </w:rPr>
  </w:style>
  <w:style w:type="character" w:customStyle="1" w:styleId="50">
    <w:name w:val="未处理的提及"/>
    <w:unhideWhenUsed/>
    <w:qFormat/>
    <w:uiPriority w:val="99"/>
    <w:rPr>
      <w:color w:val="808080"/>
      <w:shd w:val="clear" w:color="auto" w:fill="E6E6E6"/>
    </w:rPr>
  </w:style>
  <w:style w:type="character" w:customStyle="1" w:styleId="51">
    <w:name w:val="纯文本 Char"/>
    <w:link w:val="16"/>
    <w:qFormat/>
    <w:uiPriority w:val="0"/>
    <w:rPr>
      <w:rFonts w:ascii="宋体" w:hAnsi="Calibri" w:eastAsia="宋体"/>
      <w:kern w:val="2"/>
      <w:sz w:val="21"/>
      <w:szCs w:val="22"/>
    </w:rPr>
  </w:style>
  <w:style w:type="character" w:customStyle="1" w:styleId="52">
    <w:name w:val="页脚 Char"/>
    <w:link w:val="20"/>
    <w:qFormat/>
    <w:uiPriority w:val="99"/>
    <w:rPr>
      <w:rFonts w:ascii="Calibri" w:hAnsi="Calibri" w:eastAsia="宋体"/>
      <w:kern w:val="2"/>
      <w:sz w:val="18"/>
      <w:szCs w:val="22"/>
    </w:rPr>
  </w:style>
  <w:style w:type="character" w:customStyle="1" w:styleId="53">
    <w:name w:val="标题 8 Char"/>
    <w:link w:val="7"/>
    <w:semiHidden/>
    <w:qFormat/>
    <w:uiPriority w:val="0"/>
    <w:rPr>
      <w:rFonts w:ascii="Calibri Light" w:hAnsi="Calibri Light" w:eastAsia="宋体" w:cs="Times New Roman"/>
      <w:kern w:val="2"/>
      <w:sz w:val="24"/>
      <w:szCs w:val="24"/>
    </w:rPr>
  </w:style>
  <w:style w:type="character" w:customStyle="1" w:styleId="54">
    <w:name w:val="Comment Text Char"/>
    <w:qFormat/>
    <w:uiPriority w:val="0"/>
  </w:style>
  <w:style w:type="character" w:customStyle="1" w:styleId="55">
    <w:name w:val="font4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sz w:val="20"/>
      <w:szCs w:val="20"/>
      <w:lang w:bidi="ar-SA"/>
    </w:rPr>
  </w:style>
  <w:style w:type="character" w:customStyle="1" w:styleId="57">
    <w:name w:val="样式 新宋体 小四"/>
    <w:qFormat/>
    <w:uiPriority w:val="0"/>
    <w:rPr>
      <w:rFonts w:ascii="新宋体" w:hAnsi="新宋体" w:eastAsia="宋体"/>
      <w:sz w:val="21"/>
    </w:rPr>
  </w:style>
  <w:style w:type="character" w:customStyle="1" w:styleId="58">
    <w:name w:val="标题 7 Char"/>
    <w:link w:val="6"/>
    <w:semiHidden/>
    <w:qFormat/>
    <w:uiPriority w:val="0"/>
    <w:rPr>
      <w:rFonts w:ascii="Calibri" w:hAnsi="Calibri" w:eastAsia="宋体"/>
      <w:b/>
      <w:bCs/>
      <w:kern w:val="2"/>
      <w:sz w:val="24"/>
      <w:szCs w:val="24"/>
    </w:rPr>
  </w:style>
  <w:style w:type="character" w:customStyle="1" w:styleId="59">
    <w:name w:val="标题 1 Char"/>
    <w:link w:val="3"/>
    <w:qFormat/>
    <w:uiPriority w:val="0"/>
    <w:rPr>
      <w:rFonts w:eastAsia="宋体"/>
      <w:b/>
      <w:kern w:val="44"/>
      <w:sz w:val="44"/>
    </w:rPr>
  </w:style>
  <w:style w:type="character" w:customStyle="1" w:styleId="60">
    <w:name w:val="正文文本 Char"/>
    <w:link w:val="12"/>
    <w:qFormat/>
    <w:uiPriority w:val="0"/>
    <w:rPr>
      <w:rFonts w:ascii="Calibri" w:hAnsi="Calibri" w:eastAsia="宋体"/>
      <w:kern w:val="2"/>
      <w:sz w:val="21"/>
      <w:szCs w:val="22"/>
    </w:rPr>
  </w:style>
  <w:style w:type="character" w:customStyle="1" w:styleId="61">
    <w:name w:val="批注文字 Char"/>
    <w:link w:val="10"/>
    <w:qFormat/>
    <w:uiPriority w:val="99"/>
    <w:rPr>
      <w:rFonts w:eastAsia="宋体"/>
      <w:kern w:val="2"/>
      <w:sz w:val="21"/>
    </w:rPr>
  </w:style>
  <w:style w:type="character" w:customStyle="1" w:styleId="62">
    <w:name w:val="style_kwd"/>
    <w:basedOn w:val="35"/>
    <w:qFormat/>
    <w:uiPriority w:val="0"/>
  </w:style>
  <w:style w:type="character" w:customStyle="1" w:styleId="63">
    <w:name w:val="样式1 Char"/>
    <w:link w:val="40"/>
    <w:qFormat/>
    <w:uiPriority w:val="0"/>
    <w:rPr>
      <w:rFonts w:eastAsia="兰米仿宋体"/>
      <w:spacing w:val="-16"/>
      <w:kern w:val="0"/>
      <w:sz w:val="28"/>
      <w:szCs w:val="20"/>
    </w:rPr>
  </w:style>
  <w:style w:type="paragraph" w:customStyle="1" w:styleId="64">
    <w:name w:val="正文文本缩进1"/>
    <w:basedOn w:val="1"/>
    <w:qFormat/>
    <w:uiPriority w:val="0"/>
    <w:pPr>
      <w:ind w:firstLine="420" w:firstLineChars="200"/>
    </w:pPr>
  </w:style>
  <w:style w:type="paragraph" w:customStyle="1" w:styleId="65">
    <w:name w:val="List Paragraph"/>
    <w:basedOn w:val="1"/>
    <w:qFormat/>
    <w:uiPriority w:val="34"/>
    <w:pPr>
      <w:ind w:firstLine="420" w:firstLineChars="200"/>
    </w:pPr>
  </w:style>
  <w:style w:type="paragraph" w:customStyle="1" w:styleId="66">
    <w:name w:val="正文00"/>
    <w:basedOn w:val="1"/>
    <w:qFormat/>
    <w:uiPriority w:val="0"/>
    <w:pPr>
      <w:topLinePunct/>
      <w:spacing w:line="360" w:lineRule="auto"/>
      <w:ind w:firstLine="200" w:firstLineChars="200"/>
    </w:pPr>
    <w:rPr>
      <w:sz w:val="24"/>
      <w:szCs w:val="21"/>
    </w:rPr>
  </w:style>
  <w:style w:type="character" w:customStyle="1" w:styleId="67">
    <w:name w:val="font61"/>
    <w:qFormat/>
    <w:uiPriority w:val="0"/>
    <w:rPr>
      <w:rFonts w:hint="default" w:ascii="Times New Roman" w:hAnsi="Times New Roman" w:cs="Times New Roman"/>
      <w:color w:val="000000"/>
      <w:sz w:val="14"/>
      <w:szCs w:val="14"/>
      <w:u w:val="none"/>
    </w:rPr>
  </w:style>
  <w:style w:type="character" w:customStyle="1" w:styleId="68">
    <w:name w:val="font21"/>
    <w:qFormat/>
    <w:uiPriority w:val="0"/>
    <w:rPr>
      <w:rFonts w:hint="eastAsia" w:ascii="宋体" w:hAnsi="宋体" w:eastAsia="宋体" w:cs="宋体"/>
      <w:color w:val="000000"/>
      <w:sz w:val="21"/>
      <w:szCs w:val="21"/>
      <w:u w:val="none"/>
    </w:rPr>
  </w:style>
  <w:style w:type="character" w:customStyle="1" w:styleId="69">
    <w:name w:val="font31"/>
    <w:qFormat/>
    <w:uiPriority w:val="0"/>
    <w:rPr>
      <w:rFonts w:hint="default" w:ascii="Times New Roman" w:hAnsi="Times New Roman" w:cs="Times New Roman"/>
      <w:color w:val="000000"/>
      <w:sz w:val="21"/>
      <w:szCs w:val="21"/>
      <w:u w:val="none"/>
    </w:rPr>
  </w:style>
  <w:style w:type="character" w:customStyle="1" w:styleId="70">
    <w:name w:val="font51"/>
    <w:qFormat/>
    <w:uiPriority w:val="0"/>
    <w:rPr>
      <w:rFonts w:hint="eastAsia" w:ascii="宋体" w:hAnsi="宋体" w:eastAsia="宋体" w:cs="宋体"/>
      <w:color w:val="000000"/>
      <w:sz w:val="21"/>
      <w:szCs w:val="21"/>
      <w:u w:val="none"/>
    </w:rPr>
  </w:style>
  <w:style w:type="character" w:customStyle="1" w:styleId="71">
    <w:name w:val="font71"/>
    <w:qFormat/>
    <w:uiPriority w:val="0"/>
    <w:rPr>
      <w:rFonts w:hint="eastAsia" w:ascii="等线" w:hAnsi="等线" w:eastAsia="等线" w:cs="等线"/>
      <w:color w:val="000000"/>
      <w:sz w:val="21"/>
      <w:szCs w:val="21"/>
      <w:u w:val="none"/>
    </w:rPr>
  </w:style>
  <w:style w:type="character" w:customStyle="1" w:styleId="72">
    <w:name w:val="font81"/>
    <w:qFormat/>
    <w:uiPriority w:val="0"/>
    <w:rPr>
      <w:rFonts w:hint="eastAsia" w:ascii="宋体" w:hAnsi="宋体" w:eastAsia="宋体" w:cs="宋体"/>
      <w:color w:val="FF0000"/>
      <w:sz w:val="21"/>
      <w:szCs w:val="21"/>
      <w:u w:val="none"/>
    </w:rPr>
  </w:style>
  <w:style w:type="character" w:customStyle="1" w:styleId="73">
    <w:name w:val="font91"/>
    <w:qFormat/>
    <w:uiPriority w:val="0"/>
    <w:rPr>
      <w:rFonts w:hint="default" w:ascii="Times New Roman" w:hAnsi="Times New Roman" w:cs="Times New Roman"/>
      <w:color w:val="FF0000"/>
      <w:sz w:val="14"/>
      <w:szCs w:val="14"/>
      <w:u w:val="none"/>
    </w:rPr>
  </w:style>
  <w:style w:type="character" w:customStyle="1" w:styleId="74">
    <w:name w:val="font101"/>
    <w:qFormat/>
    <w:uiPriority w:val="0"/>
    <w:rPr>
      <w:rFonts w:hint="default" w:ascii="Times New Roman" w:hAnsi="Times New Roman" w:cs="Times New Roman"/>
      <w:color w:val="000000"/>
      <w:sz w:val="20"/>
      <w:szCs w:val="20"/>
      <w:u w:val="none"/>
    </w:rPr>
  </w:style>
  <w:style w:type="character" w:customStyle="1" w:styleId="75">
    <w:name w:val="font112"/>
    <w:qFormat/>
    <w:uiPriority w:val="0"/>
    <w:rPr>
      <w:rFonts w:hint="eastAsia" w:ascii="宋体" w:hAnsi="宋体" w:eastAsia="宋体" w:cs="宋体"/>
      <w:color w:val="000000"/>
      <w:sz w:val="20"/>
      <w:szCs w:val="20"/>
      <w:u w:val="none"/>
    </w:rPr>
  </w:style>
  <w:style w:type="character" w:customStyle="1" w:styleId="76">
    <w:name w:val="font1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32882</Words>
  <Characters>35570</Characters>
  <Lines>302</Lines>
  <Paragraphs>85</Paragraphs>
  <TotalTime>4</TotalTime>
  <ScaleCrop>false</ScaleCrop>
  <LinksUpToDate>false</LinksUpToDate>
  <CharactersWithSpaces>38414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2016-08-14T07:34:00Z</dcterms:created>
  <dc:creator>srq</dc:creator>
  <cp:lastModifiedBy>张子豪</cp:lastModifiedBy>
  <cp:lastPrinted>2017-10-15T05:12:00Z</cp:lastPrinted>
  <dcterms:modified xsi:type="dcterms:W3CDTF">2024-11-06T08:48:36Z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5D66E03041324124A8E05E8006AB4833</vt:lpwstr>
  </property>
</Properties>
</file>