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ind w:firstLine="0"/>
        <w:jc w:val="center"/>
        <w:rPr>
          <w:rFonts w:ascii="Times New Roman" w:hAnsi="Times New Roman" w:eastAsia="黑体"/>
          <w:color w:val="auto"/>
          <w:sz w:val="40"/>
          <w:szCs w:val="36"/>
          <w:highlight w:val="none"/>
        </w:rPr>
      </w:pPr>
    </w:p>
    <w:p>
      <w:pPr>
        <w:adjustRightInd w:val="0"/>
        <w:spacing w:before="120" w:after="120" w:line="360" w:lineRule="auto"/>
        <w:jc w:val="center"/>
        <w:textAlignment w:val="baseline"/>
        <w:rPr>
          <w:rFonts w:ascii="楷体" w:hAnsi="楷体" w:eastAsia="楷体" w:cs="楷体"/>
          <w:b/>
          <w:bCs/>
          <w:color w:val="auto"/>
          <w:sz w:val="84"/>
          <w:szCs w:val="24"/>
          <w:highlight w:val="none"/>
        </w:rPr>
      </w:pPr>
    </w:p>
    <w:p>
      <w:pPr>
        <w:adjustRightInd w:val="0"/>
        <w:spacing w:before="120" w:after="120" w:line="360" w:lineRule="auto"/>
        <w:jc w:val="center"/>
        <w:textAlignment w:val="baseline"/>
        <w:rPr>
          <w:rFonts w:hint="eastAsia" w:ascii="黑体" w:hAnsi="黑体" w:eastAsia="黑体" w:cs="黑体"/>
          <w:b/>
          <w:bCs/>
          <w:color w:val="auto"/>
          <w:sz w:val="84"/>
          <w:szCs w:val="24"/>
          <w:highlight w:val="none"/>
        </w:rPr>
      </w:pPr>
      <w:r>
        <w:rPr>
          <w:rFonts w:hint="eastAsia" w:ascii="黑体" w:hAnsi="黑体" w:eastAsia="黑体" w:cs="黑体"/>
          <w:b/>
          <w:bCs/>
          <w:color w:val="auto"/>
          <w:sz w:val="84"/>
          <w:szCs w:val="24"/>
          <w:highlight w:val="none"/>
        </w:rPr>
        <w:t>招 标 文 件</w:t>
      </w:r>
    </w:p>
    <w:p>
      <w:pPr>
        <w:adjustRightInd w:val="0"/>
        <w:spacing w:before="120" w:after="120" w:line="360" w:lineRule="auto"/>
        <w:jc w:val="center"/>
        <w:textAlignment w:val="baseline"/>
        <w:rPr>
          <w:rFonts w:hint="eastAsia" w:ascii="楷体" w:hAnsi="楷体" w:eastAsia="楷体" w:cs="楷体"/>
          <w:b/>
          <w:color w:val="auto"/>
          <w:sz w:val="36"/>
          <w:szCs w:val="36"/>
          <w:highlight w:val="none"/>
        </w:rPr>
      </w:pPr>
    </w:p>
    <w:p>
      <w:pPr>
        <w:adjustRightInd w:val="0"/>
        <w:spacing w:before="120" w:after="120" w:line="360" w:lineRule="auto"/>
        <w:jc w:val="center"/>
        <w:textAlignment w:val="baseline"/>
        <w:rPr>
          <w:rFonts w:ascii="楷体" w:hAnsi="楷体" w:eastAsia="楷体" w:cs="楷体"/>
          <w:b/>
          <w:color w:val="auto"/>
          <w:sz w:val="36"/>
          <w:szCs w:val="36"/>
          <w:highlight w:val="none"/>
        </w:rPr>
      </w:pPr>
      <w:r>
        <w:rPr>
          <w:rFonts w:hint="eastAsia" w:ascii="楷体" w:hAnsi="楷体" w:eastAsia="楷体" w:cs="楷体"/>
          <w:b/>
          <w:color w:val="auto"/>
          <w:sz w:val="36"/>
          <w:szCs w:val="36"/>
          <w:highlight w:val="none"/>
        </w:rPr>
        <w:t>项目名称：</w:t>
      </w:r>
      <w:bookmarkStart w:id="0" w:name="_Hlk154389994"/>
      <w:bookmarkStart w:id="75" w:name="_GoBack"/>
      <w:r>
        <w:rPr>
          <w:rFonts w:hint="eastAsia" w:ascii="楷体" w:hAnsi="楷体" w:eastAsia="楷体" w:cs="楷体"/>
          <w:b/>
          <w:color w:val="auto"/>
          <w:sz w:val="36"/>
          <w:szCs w:val="36"/>
          <w:highlight w:val="none"/>
          <w:lang w:eastAsia="zh-CN"/>
        </w:rPr>
        <w:t>南京铁路公安处一键点调系统</w:t>
      </w:r>
      <w:r>
        <w:rPr>
          <w:rFonts w:hint="eastAsia" w:ascii="楷体" w:hAnsi="楷体" w:eastAsia="楷体" w:cs="楷体"/>
          <w:b/>
          <w:color w:val="auto"/>
          <w:sz w:val="36"/>
          <w:szCs w:val="36"/>
          <w:highlight w:val="none"/>
        </w:rPr>
        <w:t>项目</w:t>
      </w:r>
      <w:bookmarkEnd w:id="0"/>
      <w:bookmarkEnd w:id="75"/>
    </w:p>
    <w:p>
      <w:pPr>
        <w:adjustRightInd w:val="0"/>
        <w:spacing w:before="120" w:after="120" w:line="360" w:lineRule="auto"/>
        <w:ind w:firstLine="1807" w:firstLineChars="500"/>
        <w:textAlignment w:val="baseline"/>
        <w:rPr>
          <w:rFonts w:ascii="楷体" w:hAnsi="楷体" w:eastAsia="楷体" w:cs="楷体"/>
          <w:b/>
          <w:color w:val="auto"/>
          <w:sz w:val="36"/>
          <w:szCs w:val="36"/>
          <w:highlight w:val="none"/>
        </w:rPr>
      </w:pPr>
      <w:r>
        <w:rPr>
          <w:rFonts w:hint="eastAsia" w:ascii="楷体" w:hAnsi="楷体" w:eastAsia="楷体" w:cs="楷体"/>
          <w:b/>
          <w:color w:val="auto"/>
          <w:sz w:val="36"/>
          <w:szCs w:val="36"/>
          <w:highlight w:val="none"/>
        </w:rPr>
        <w:t>项目编号：ZBZBZ0000340ZX0003</w:t>
      </w:r>
    </w:p>
    <w:p>
      <w:pPr>
        <w:pStyle w:val="53"/>
        <w:spacing w:before="0" w:after="0"/>
        <w:ind w:firstLine="0"/>
        <w:rPr>
          <w:rFonts w:ascii="楷体" w:hAnsi="楷体" w:eastAsia="楷体" w:cs="楷体"/>
          <w:color w:val="auto"/>
          <w:highlight w:val="none"/>
        </w:rPr>
      </w:pPr>
    </w:p>
    <w:p>
      <w:pPr>
        <w:pStyle w:val="53"/>
        <w:spacing w:before="0" w:after="0"/>
        <w:ind w:firstLine="0"/>
        <w:rPr>
          <w:rFonts w:ascii="楷体" w:hAnsi="楷体" w:eastAsia="楷体" w:cs="楷体"/>
          <w:color w:val="auto"/>
          <w:highlight w:val="none"/>
        </w:rPr>
      </w:pPr>
      <w:r>
        <w:rPr>
          <w:rFonts w:hint="eastAsia" w:ascii="楷体" w:hAnsi="楷体" w:eastAsia="楷体" w:cs="楷体"/>
          <w:color w:val="auto"/>
          <w:highlight w:val="none"/>
        </w:rPr>
        <w:drawing>
          <wp:anchor distT="0" distB="0" distL="114300" distR="114300" simplePos="0" relativeHeight="251659264" behindDoc="0" locked="0" layoutInCell="1" allowOverlap="1">
            <wp:simplePos x="0" y="0"/>
            <wp:positionH relativeFrom="column">
              <wp:posOffset>476885</wp:posOffset>
            </wp:positionH>
            <wp:positionV relativeFrom="paragraph">
              <wp:posOffset>-285750</wp:posOffset>
            </wp:positionV>
            <wp:extent cx="4636135" cy="3012440"/>
            <wp:effectExtent l="0" t="0" r="5715" b="10160"/>
            <wp:wrapNone/>
            <wp:docPr id="3" name="图片 1026" descr="4a7a4c49674cf03eb7e28cd4ee56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6" descr="4a7a4c49674cf03eb7e28cd4ee56c7e"/>
                    <pic:cNvPicPr>
                      <a:picLocks noChangeAspect="1"/>
                    </pic:cNvPicPr>
                  </pic:nvPicPr>
                  <pic:blipFill>
                    <a:blip r:embed="rId9"/>
                    <a:stretch>
                      <a:fillRect/>
                    </a:stretch>
                  </pic:blipFill>
                  <pic:spPr>
                    <a:xfrm>
                      <a:off x="0" y="0"/>
                      <a:ext cx="4636135" cy="3012440"/>
                    </a:xfrm>
                    <a:prstGeom prst="rect">
                      <a:avLst/>
                    </a:prstGeom>
                    <a:noFill/>
                    <a:ln>
                      <a:noFill/>
                    </a:ln>
                  </pic:spPr>
                </pic:pic>
              </a:graphicData>
            </a:graphic>
          </wp:anchor>
        </w:drawing>
      </w:r>
    </w:p>
    <w:p>
      <w:pPr>
        <w:pStyle w:val="53"/>
        <w:spacing w:before="0" w:after="0"/>
        <w:ind w:firstLine="0"/>
        <w:rPr>
          <w:rFonts w:ascii="楷体" w:hAnsi="楷体" w:eastAsia="楷体" w:cs="楷体"/>
          <w:color w:val="auto"/>
          <w:highlight w:val="none"/>
        </w:rPr>
      </w:pPr>
    </w:p>
    <w:p>
      <w:pPr>
        <w:pStyle w:val="53"/>
        <w:spacing w:before="0" w:after="0"/>
        <w:ind w:firstLine="0"/>
        <w:rPr>
          <w:rFonts w:ascii="楷体" w:hAnsi="楷体" w:eastAsia="楷体" w:cs="楷体"/>
          <w:color w:val="auto"/>
          <w:highlight w:val="none"/>
        </w:rPr>
      </w:pPr>
    </w:p>
    <w:p>
      <w:pPr>
        <w:pStyle w:val="53"/>
        <w:spacing w:before="0" w:after="0"/>
        <w:ind w:firstLine="0"/>
        <w:rPr>
          <w:rFonts w:ascii="楷体" w:hAnsi="楷体" w:eastAsia="楷体" w:cs="楷体"/>
          <w:color w:val="auto"/>
          <w:highlight w:val="none"/>
        </w:rPr>
      </w:pPr>
    </w:p>
    <w:p>
      <w:pPr>
        <w:pStyle w:val="53"/>
        <w:spacing w:before="0" w:after="0"/>
        <w:ind w:firstLine="0"/>
        <w:jc w:val="center"/>
        <w:rPr>
          <w:rFonts w:ascii="楷体" w:hAnsi="楷体" w:eastAsia="楷体" w:cs="楷体"/>
          <w:color w:val="auto"/>
          <w:sz w:val="30"/>
          <w:szCs w:val="30"/>
          <w:highlight w:val="none"/>
        </w:rPr>
      </w:pPr>
    </w:p>
    <w:p>
      <w:pPr>
        <w:pStyle w:val="53"/>
        <w:spacing w:before="0" w:after="0"/>
        <w:ind w:firstLine="0"/>
        <w:jc w:val="center"/>
        <w:rPr>
          <w:rFonts w:ascii="楷体" w:hAnsi="楷体" w:eastAsia="楷体" w:cs="楷体"/>
          <w:color w:val="auto"/>
          <w:sz w:val="30"/>
          <w:szCs w:val="30"/>
          <w:highlight w:val="none"/>
        </w:rPr>
      </w:pPr>
    </w:p>
    <w:p>
      <w:pPr>
        <w:pStyle w:val="53"/>
        <w:spacing w:before="0" w:after="0"/>
        <w:ind w:firstLine="0"/>
        <w:jc w:val="center"/>
        <w:rPr>
          <w:rFonts w:ascii="楷体" w:hAnsi="楷体" w:eastAsia="楷体" w:cs="楷体"/>
          <w:color w:val="auto"/>
          <w:sz w:val="30"/>
          <w:szCs w:val="30"/>
          <w:highlight w:val="none"/>
        </w:rPr>
      </w:pPr>
    </w:p>
    <w:p>
      <w:pPr>
        <w:pStyle w:val="53"/>
        <w:spacing w:before="0" w:after="0"/>
        <w:ind w:firstLine="0"/>
        <w:jc w:val="center"/>
        <w:rPr>
          <w:rFonts w:ascii="楷体" w:hAnsi="楷体" w:eastAsia="楷体" w:cs="楷体"/>
          <w:color w:val="auto"/>
          <w:sz w:val="30"/>
          <w:szCs w:val="30"/>
          <w:highlight w:val="none"/>
        </w:rPr>
      </w:pPr>
    </w:p>
    <w:p>
      <w:pPr>
        <w:pStyle w:val="53"/>
        <w:spacing w:before="0" w:after="0"/>
        <w:ind w:firstLine="0"/>
        <w:jc w:val="center"/>
        <w:rPr>
          <w:rFonts w:hint="eastAsia" w:ascii="楷体" w:hAnsi="楷体" w:eastAsia="楷体" w:cs="楷体"/>
          <w:color w:val="auto"/>
          <w:sz w:val="30"/>
          <w:szCs w:val="30"/>
          <w:highlight w:val="none"/>
          <w:lang w:eastAsia="zh-CN"/>
        </w:rPr>
      </w:pPr>
      <w:r>
        <w:rPr>
          <w:rFonts w:hint="eastAsia" w:ascii="楷体" w:hAnsi="楷体" w:eastAsia="楷体" w:cs="楷体"/>
          <w:color w:val="auto"/>
          <w:sz w:val="30"/>
          <w:szCs w:val="30"/>
          <w:highlight w:val="none"/>
        </w:rPr>
        <w:t>招标人：</w:t>
      </w:r>
      <w:r>
        <w:rPr>
          <w:rFonts w:hint="eastAsia" w:ascii="楷体" w:hAnsi="楷体" w:eastAsia="楷体" w:cs="楷体"/>
          <w:color w:val="auto"/>
          <w:sz w:val="30"/>
          <w:szCs w:val="30"/>
          <w:highlight w:val="none"/>
          <w:lang w:eastAsia="zh-CN"/>
        </w:rPr>
        <w:t>上海铁路公安局南京公安处</w:t>
      </w:r>
    </w:p>
    <w:p>
      <w:pPr>
        <w:pStyle w:val="53"/>
        <w:spacing w:before="0" w:after="0"/>
        <w:ind w:firstLine="0"/>
        <w:jc w:val="center"/>
        <w:rPr>
          <w:rFonts w:ascii="楷体" w:hAnsi="楷体" w:eastAsia="楷体" w:cs="楷体"/>
          <w:color w:val="auto"/>
          <w:sz w:val="30"/>
          <w:szCs w:val="30"/>
          <w:highlight w:val="none"/>
        </w:rPr>
      </w:pPr>
      <w:r>
        <w:rPr>
          <w:rFonts w:hint="eastAsia" w:ascii="楷体" w:hAnsi="楷体" w:eastAsia="楷体" w:cs="楷体"/>
          <w:color w:val="auto"/>
          <w:sz w:val="30"/>
          <w:szCs w:val="30"/>
          <w:highlight w:val="none"/>
        </w:rPr>
        <w:t>招标代理机构：中通服咨询设计研究院有限公司</w:t>
      </w:r>
    </w:p>
    <w:p>
      <w:pPr>
        <w:spacing w:line="360" w:lineRule="auto"/>
        <w:jc w:val="center"/>
        <w:rPr>
          <w:rFonts w:ascii="楷体" w:hAnsi="楷体" w:eastAsia="楷体" w:cs="楷体"/>
          <w:color w:val="auto"/>
          <w:sz w:val="28"/>
          <w:szCs w:val="28"/>
          <w:highlight w:val="none"/>
          <w:u w:color="000000"/>
        </w:rPr>
      </w:pPr>
      <w:r>
        <w:rPr>
          <w:rFonts w:hint="eastAsia" w:ascii="楷体" w:hAnsi="楷体" w:eastAsia="楷体" w:cs="楷体"/>
          <w:color w:val="auto"/>
          <w:sz w:val="30"/>
          <w:szCs w:val="30"/>
          <w:highlight w:val="none"/>
        </w:rPr>
        <w:t>2024年</w:t>
      </w:r>
      <w:r>
        <w:rPr>
          <w:rFonts w:hint="eastAsia" w:ascii="楷体" w:hAnsi="楷体" w:eastAsia="楷体" w:cs="楷体"/>
          <w:color w:val="auto"/>
          <w:sz w:val="30"/>
          <w:szCs w:val="30"/>
          <w:highlight w:val="none"/>
          <w:lang w:val="en-US" w:eastAsia="zh-CN"/>
        </w:rPr>
        <w:t>10</w:t>
      </w:r>
      <w:r>
        <w:rPr>
          <w:rFonts w:hint="eastAsia" w:ascii="楷体" w:hAnsi="楷体" w:eastAsia="楷体" w:cs="楷体"/>
          <w:color w:val="auto"/>
          <w:sz w:val="30"/>
          <w:szCs w:val="30"/>
          <w:highlight w:val="none"/>
        </w:rPr>
        <w:t>月</w:t>
      </w:r>
    </w:p>
    <w:p>
      <w:pPr>
        <w:widowControl/>
        <w:jc w:val="center"/>
        <w:rPr>
          <w:color w:val="auto"/>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color w:val="auto"/>
          <w:highlight w:val="none"/>
        </w:rPr>
        <w:drawing>
          <wp:inline distT="0" distB="0" distL="114300" distR="114300">
            <wp:extent cx="1706880" cy="614045"/>
            <wp:effectExtent l="0" t="0" r="762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706880" cy="614045"/>
                    </a:xfrm>
                    <a:prstGeom prst="rect">
                      <a:avLst/>
                    </a:prstGeom>
                    <a:noFill/>
                    <a:ln>
                      <a:noFill/>
                    </a:ln>
                  </pic:spPr>
                </pic:pic>
              </a:graphicData>
            </a:graphic>
          </wp:inline>
        </w:drawing>
      </w:r>
    </w:p>
    <w:p>
      <w:pPr>
        <w:widowControl/>
        <w:spacing w:line="360" w:lineRule="auto"/>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目  录</w:t>
      </w:r>
    </w:p>
    <w:sdt>
      <w:sdtPr>
        <w:rPr>
          <w:rFonts w:asciiTheme="majorHAnsi" w:hAnsiTheme="majorHAnsi" w:eastAsiaTheme="majorEastAsia" w:cstheme="majorBidi"/>
          <w:color w:val="auto"/>
          <w:sz w:val="32"/>
          <w:szCs w:val="32"/>
          <w:highlight w:val="none"/>
          <w:lang w:val="zh-CN"/>
        </w:rPr>
        <w:id w:val="-1199246136"/>
        <w:docPartObj>
          <w:docPartGallery w:val="Table of Contents"/>
          <w:docPartUnique/>
        </w:docPartObj>
      </w:sdtPr>
      <w:sdtEndPr>
        <w:rPr>
          <w:rFonts w:ascii="Times New Roman" w:hAnsi="Times New Roman" w:eastAsia="黑体" w:cs="Times New Roman"/>
          <w:b/>
          <w:bCs/>
          <w:color w:val="auto"/>
          <w:sz w:val="24"/>
          <w:szCs w:val="22"/>
          <w:highlight w:val="none"/>
          <w:lang w:val="zh-CN"/>
        </w:rPr>
      </w:sdtEndPr>
      <w:sdtContent>
        <w:p>
          <w:pPr>
            <w:pStyle w:val="22"/>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p>
        <w:p>
          <w:pPr>
            <w:pStyle w:val="22"/>
            <w:tabs>
              <w:tab w:val="right" w:leader="dot" w:pos="8787"/>
              <w:tab w:val="clear" w:pos="8777"/>
            </w:tabs>
            <w:rPr>
              <w:color w:val="auto"/>
              <w:highlight w:val="none"/>
            </w:rPr>
          </w:pPr>
          <w:r>
            <w:rPr>
              <w:color w:val="auto"/>
              <w:highlight w:val="none"/>
            </w:rPr>
            <w:fldChar w:fldCharType="begin"/>
          </w:r>
          <w:r>
            <w:rPr>
              <w:color w:val="auto"/>
              <w:highlight w:val="none"/>
            </w:rPr>
            <w:instrText xml:space="preserve"> HYPERLINK \l "_Toc24580" </w:instrText>
          </w:r>
          <w:r>
            <w:rPr>
              <w:color w:val="auto"/>
              <w:highlight w:val="none"/>
            </w:rPr>
            <w:fldChar w:fldCharType="separate"/>
          </w:r>
          <w:r>
            <w:rPr>
              <w:rFonts w:ascii="黑体" w:hAnsi="黑体" w:cs="黑体"/>
              <w:color w:val="auto"/>
              <w:kern w:val="44"/>
              <w:szCs w:val="36"/>
              <w:highlight w:val="none"/>
              <w:lang w:val="zh-TW" w:eastAsia="zh-TW"/>
            </w:rPr>
            <w:t xml:space="preserve">第一章  </w:t>
          </w:r>
          <w:r>
            <w:rPr>
              <w:rFonts w:hint="eastAsia" w:ascii="黑体" w:hAnsi="黑体" w:cs="黑体"/>
              <w:color w:val="auto"/>
              <w:kern w:val="44"/>
              <w:szCs w:val="36"/>
              <w:highlight w:val="none"/>
              <w:lang w:val="zh-TW"/>
            </w:rPr>
            <w:t>招标</w:t>
          </w:r>
          <w:r>
            <w:rPr>
              <w:rFonts w:ascii="黑体" w:hAnsi="黑体" w:cs="黑体"/>
              <w:color w:val="auto"/>
              <w:kern w:val="44"/>
              <w:szCs w:val="36"/>
              <w:highlight w:val="none"/>
              <w:lang w:val="zh-TW" w:eastAsia="zh-TW"/>
            </w:rPr>
            <w:t>公告</w:t>
          </w:r>
          <w:r>
            <w:rPr>
              <w:color w:val="auto"/>
              <w:highlight w:val="none"/>
            </w:rPr>
            <w:tab/>
          </w:r>
          <w:r>
            <w:rPr>
              <w:color w:val="auto"/>
              <w:highlight w:val="none"/>
            </w:rPr>
            <w:fldChar w:fldCharType="begin"/>
          </w:r>
          <w:r>
            <w:rPr>
              <w:color w:val="auto"/>
              <w:highlight w:val="none"/>
            </w:rPr>
            <w:instrText xml:space="preserve"> PAGEREF _Toc24580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2"/>
            <w:tabs>
              <w:tab w:val="right" w:leader="dot" w:pos="8787"/>
              <w:tab w:val="clear" w:pos="8777"/>
            </w:tabs>
            <w:rPr>
              <w:color w:val="auto"/>
              <w:highlight w:val="none"/>
            </w:rPr>
          </w:pPr>
          <w:r>
            <w:rPr>
              <w:color w:val="auto"/>
              <w:highlight w:val="none"/>
            </w:rPr>
            <w:fldChar w:fldCharType="begin"/>
          </w:r>
          <w:r>
            <w:rPr>
              <w:color w:val="auto"/>
              <w:highlight w:val="none"/>
            </w:rPr>
            <w:instrText xml:space="preserve"> HYPERLINK \l "_Toc10216" </w:instrText>
          </w:r>
          <w:r>
            <w:rPr>
              <w:color w:val="auto"/>
              <w:highlight w:val="none"/>
            </w:rPr>
            <w:fldChar w:fldCharType="separate"/>
          </w:r>
          <w:r>
            <w:rPr>
              <w:rFonts w:ascii="黑体" w:hAnsi="黑体" w:cs="黑体"/>
              <w:color w:val="auto"/>
              <w:kern w:val="44"/>
              <w:szCs w:val="36"/>
              <w:highlight w:val="none"/>
              <w:lang w:val="zh-TW" w:eastAsia="zh-TW"/>
            </w:rPr>
            <w:t xml:space="preserve">第二章  </w:t>
          </w:r>
          <w:r>
            <w:rPr>
              <w:rFonts w:hint="eastAsia" w:ascii="黑体" w:hAnsi="黑体" w:cs="黑体"/>
              <w:color w:val="auto"/>
              <w:kern w:val="44"/>
              <w:szCs w:val="36"/>
              <w:highlight w:val="none"/>
              <w:lang w:val="zh-TW"/>
            </w:rPr>
            <w:t>投标人</w:t>
          </w:r>
          <w:r>
            <w:rPr>
              <w:rFonts w:ascii="黑体" w:hAnsi="黑体" w:cs="黑体"/>
              <w:color w:val="auto"/>
              <w:kern w:val="44"/>
              <w:szCs w:val="36"/>
              <w:highlight w:val="none"/>
              <w:lang w:val="zh-TW" w:eastAsia="zh-TW"/>
            </w:rPr>
            <w:t>须知</w:t>
          </w:r>
          <w:r>
            <w:rPr>
              <w:color w:val="auto"/>
              <w:highlight w:val="none"/>
            </w:rPr>
            <w:tab/>
          </w:r>
          <w:r>
            <w:rPr>
              <w:color w:val="auto"/>
              <w:highlight w:val="none"/>
            </w:rPr>
            <w:fldChar w:fldCharType="begin"/>
          </w:r>
          <w:r>
            <w:rPr>
              <w:color w:val="auto"/>
              <w:highlight w:val="none"/>
            </w:rPr>
            <w:instrText xml:space="preserve"> PAGEREF _Toc10216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2"/>
            <w:tabs>
              <w:tab w:val="right" w:leader="dot" w:pos="8787"/>
              <w:tab w:val="clear" w:pos="8777"/>
            </w:tabs>
            <w:rPr>
              <w:color w:val="auto"/>
              <w:highlight w:val="none"/>
            </w:rPr>
          </w:pPr>
          <w:r>
            <w:rPr>
              <w:color w:val="auto"/>
              <w:highlight w:val="none"/>
            </w:rPr>
            <w:fldChar w:fldCharType="begin"/>
          </w:r>
          <w:r>
            <w:rPr>
              <w:color w:val="auto"/>
              <w:highlight w:val="none"/>
            </w:rPr>
            <w:instrText xml:space="preserve"> HYPERLINK \l "_Toc28020" </w:instrText>
          </w:r>
          <w:r>
            <w:rPr>
              <w:color w:val="auto"/>
              <w:highlight w:val="none"/>
            </w:rPr>
            <w:fldChar w:fldCharType="separate"/>
          </w:r>
          <w:r>
            <w:rPr>
              <w:rFonts w:ascii="黑体" w:hAnsi="黑体" w:cs="黑体"/>
              <w:color w:val="auto"/>
              <w:kern w:val="44"/>
              <w:szCs w:val="36"/>
              <w:highlight w:val="none"/>
              <w:lang w:val="zh-TW" w:eastAsia="zh-TW"/>
            </w:rPr>
            <w:t>第</w:t>
          </w:r>
          <w:r>
            <w:rPr>
              <w:rFonts w:hint="eastAsia" w:ascii="黑体" w:hAnsi="黑体" w:cs="黑体"/>
              <w:color w:val="auto"/>
              <w:kern w:val="44"/>
              <w:szCs w:val="36"/>
              <w:highlight w:val="none"/>
              <w:lang w:val="zh-TW"/>
            </w:rPr>
            <w:t>三</w:t>
          </w:r>
          <w:r>
            <w:rPr>
              <w:rFonts w:ascii="黑体" w:hAnsi="黑体" w:cs="黑体"/>
              <w:color w:val="auto"/>
              <w:kern w:val="44"/>
              <w:szCs w:val="36"/>
              <w:highlight w:val="none"/>
              <w:lang w:val="zh-TW" w:eastAsia="zh-TW"/>
            </w:rPr>
            <w:t xml:space="preserve">章  </w:t>
          </w:r>
          <w:r>
            <w:rPr>
              <w:rFonts w:hint="eastAsia" w:ascii="黑体" w:hAnsi="黑体" w:cs="黑体"/>
              <w:color w:val="auto"/>
              <w:kern w:val="44"/>
              <w:szCs w:val="36"/>
              <w:highlight w:val="none"/>
              <w:lang w:val="zh-TW" w:eastAsia="zh-TW"/>
            </w:rPr>
            <w:t>合同条款及格式</w:t>
          </w:r>
          <w:r>
            <w:rPr>
              <w:color w:val="auto"/>
              <w:highlight w:val="none"/>
            </w:rPr>
            <w:tab/>
          </w:r>
          <w:r>
            <w:rPr>
              <w:color w:val="auto"/>
              <w:highlight w:val="none"/>
            </w:rPr>
            <w:fldChar w:fldCharType="begin"/>
          </w:r>
          <w:r>
            <w:rPr>
              <w:color w:val="auto"/>
              <w:highlight w:val="none"/>
            </w:rPr>
            <w:instrText xml:space="preserve"> PAGEREF _Toc28020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2"/>
            <w:tabs>
              <w:tab w:val="right" w:leader="dot" w:pos="8787"/>
              <w:tab w:val="clear" w:pos="8777"/>
            </w:tabs>
            <w:rPr>
              <w:color w:val="auto"/>
              <w:highlight w:val="none"/>
            </w:rPr>
          </w:pPr>
          <w:r>
            <w:rPr>
              <w:color w:val="auto"/>
              <w:highlight w:val="none"/>
            </w:rPr>
            <w:fldChar w:fldCharType="begin"/>
          </w:r>
          <w:r>
            <w:rPr>
              <w:color w:val="auto"/>
              <w:highlight w:val="none"/>
            </w:rPr>
            <w:instrText xml:space="preserve"> HYPERLINK \l "_Toc14170" </w:instrText>
          </w:r>
          <w:r>
            <w:rPr>
              <w:color w:val="auto"/>
              <w:highlight w:val="none"/>
            </w:rPr>
            <w:fldChar w:fldCharType="separate"/>
          </w:r>
          <w:r>
            <w:rPr>
              <w:rFonts w:hint="eastAsia" w:ascii="黑体" w:hAnsi="黑体" w:cs="黑体"/>
              <w:color w:val="auto"/>
              <w:kern w:val="44"/>
              <w:szCs w:val="36"/>
              <w:highlight w:val="none"/>
              <w:lang w:val="zh-TW" w:eastAsia="zh-TW"/>
            </w:rPr>
            <w:t xml:space="preserve">第四章 </w:t>
          </w:r>
          <w:r>
            <w:rPr>
              <w:rFonts w:hint="eastAsia" w:ascii="黑体" w:hAnsi="黑体" w:cs="黑体"/>
              <w:color w:val="auto"/>
              <w:kern w:val="44"/>
              <w:szCs w:val="36"/>
              <w:highlight w:val="none"/>
            </w:rPr>
            <w:t xml:space="preserve"> </w:t>
          </w:r>
          <w:r>
            <w:rPr>
              <w:rFonts w:hint="eastAsia" w:ascii="黑体" w:hAnsi="黑体" w:cs="黑体"/>
              <w:color w:val="auto"/>
              <w:kern w:val="44"/>
              <w:szCs w:val="36"/>
              <w:highlight w:val="none"/>
              <w:lang w:val="zh-TW" w:eastAsia="zh-TW"/>
            </w:rPr>
            <w:t>项目需求</w:t>
          </w:r>
          <w:r>
            <w:rPr>
              <w:color w:val="auto"/>
              <w:highlight w:val="none"/>
            </w:rPr>
            <w:tab/>
          </w:r>
          <w:r>
            <w:rPr>
              <w:color w:val="auto"/>
              <w:highlight w:val="none"/>
            </w:rPr>
            <w:fldChar w:fldCharType="begin"/>
          </w:r>
          <w:r>
            <w:rPr>
              <w:color w:val="auto"/>
              <w:highlight w:val="none"/>
            </w:rPr>
            <w:instrText xml:space="preserve"> PAGEREF _Toc14170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2"/>
            <w:tabs>
              <w:tab w:val="right" w:leader="dot" w:pos="8787"/>
              <w:tab w:val="clear" w:pos="8777"/>
            </w:tabs>
            <w:rPr>
              <w:color w:val="auto"/>
              <w:highlight w:val="none"/>
            </w:rPr>
          </w:pPr>
          <w:r>
            <w:rPr>
              <w:color w:val="auto"/>
              <w:highlight w:val="none"/>
            </w:rPr>
            <w:fldChar w:fldCharType="begin"/>
          </w:r>
          <w:r>
            <w:rPr>
              <w:color w:val="auto"/>
              <w:highlight w:val="none"/>
            </w:rPr>
            <w:instrText xml:space="preserve"> HYPERLINK \l "_Toc29558" </w:instrText>
          </w:r>
          <w:r>
            <w:rPr>
              <w:color w:val="auto"/>
              <w:highlight w:val="none"/>
            </w:rPr>
            <w:fldChar w:fldCharType="separate"/>
          </w:r>
          <w:r>
            <w:rPr>
              <w:rFonts w:ascii="黑体" w:hAnsi="黑体" w:cs="黑体"/>
              <w:color w:val="auto"/>
              <w:kern w:val="44"/>
              <w:szCs w:val="36"/>
              <w:highlight w:val="none"/>
              <w:lang w:val="zh-TW" w:eastAsia="zh-TW"/>
            </w:rPr>
            <w:t>第</w:t>
          </w:r>
          <w:r>
            <w:rPr>
              <w:rFonts w:hint="eastAsia" w:ascii="黑体" w:hAnsi="黑体" w:cs="黑体"/>
              <w:color w:val="auto"/>
              <w:kern w:val="44"/>
              <w:szCs w:val="36"/>
              <w:highlight w:val="none"/>
              <w:lang w:val="zh-TW" w:eastAsia="zh-TW"/>
            </w:rPr>
            <w:t>五</w:t>
          </w:r>
          <w:r>
            <w:rPr>
              <w:rFonts w:ascii="黑体" w:hAnsi="黑体" w:cs="黑体"/>
              <w:color w:val="auto"/>
              <w:kern w:val="44"/>
              <w:szCs w:val="36"/>
              <w:highlight w:val="none"/>
              <w:lang w:val="zh-TW" w:eastAsia="zh-TW"/>
            </w:rPr>
            <w:t xml:space="preserve">章  </w:t>
          </w:r>
          <w:r>
            <w:rPr>
              <w:rFonts w:hint="eastAsia" w:ascii="黑体" w:hAnsi="黑体" w:cs="黑体"/>
              <w:color w:val="auto"/>
              <w:kern w:val="44"/>
              <w:szCs w:val="36"/>
              <w:highlight w:val="none"/>
              <w:lang w:val="zh-TW" w:eastAsia="zh-TW"/>
            </w:rPr>
            <w:t>评标方法与评标标准</w:t>
          </w:r>
          <w:r>
            <w:rPr>
              <w:color w:val="auto"/>
              <w:highlight w:val="none"/>
            </w:rPr>
            <w:tab/>
          </w:r>
          <w:r>
            <w:rPr>
              <w:color w:val="auto"/>
              <w:highlight w:val="none"/>
            </w:rPr>
            <w:fldChar w:fldCharType="begin"/>
          </w:r>
          <w:r>
            <w:rPr>
              <w:color w:val="auto"/>
              <w:highlight w:val="none"/>
            </w:rPr>
            <w:instrText xml:space="preserve"> PAGEREF _Toc29558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22"/>
            <w:tabs>
              <w:tab w:val="right" w:leader="dot" w:pos="8787"/>
              <w:tab w:val="clear" w:pos="8777"/>
            </w:tabs>
            <w:rPr>
              <w:color w:val="auto"/>
              <w:highlight w:val="none"/>
            </w:rPr>
          </w:pPr>
          <w:r>
            <w:rPr>
              <w:color w:val="auto"/>
              <w:highlight w:val="none"/>
            </w:rPr>
            <w:fldChar w:fldCharType="begin"/>
          </w:r>
          <w:r>
            <w:rPr>
              <w:color w:val="auto"/>
              <w:highlight w:val="none"/>
            </w:rPr>
            <w:instrText xml:space="preserve"> HYPERLINK \l "_Toc30059" </w:instrText>
          </w:r>
          <w:r>
            <w:rPr>
              <w:color w:val="auto"/>
              <w:highlight w:val="none"/>
            </w:rPr>
            <w:fldChar w:fldCharType="separate"/>
          </w:r>
          <w:r>
            <w:rPr>
              <w:rFonts w:ascii="黑体" w:hAnsi="黑体" w:cs="黑体"/>
              <w:color w:val="auto"/>
              <w:kern w:val="44"/>
              <w:szCs w:val="36"/>
              <w:highlight w:val="none"/>
              <w:lang w:val="zh-TW" w:eastAsia="zh-TW"/>
            </w:rPr>
            <w:t>第</w:t>
          </w:r>
          <w:r>
            <w:rPr>
              <w:rFonts w:hint="eastAsia" w:ascii="黑体" w:hAnsi="黑体" w:cs="黑体"/>
              <w:color w:val="auto"/>
              <w:kern w:val="44"/>
              <w:szCs w:val="36"/>
              <w:highlight w:val="none"/>
              <w:lang w:val="zh-TW"/>
            </w:rPr>
            <w:t>六</w:t>
          </w:r>
          <w:r>
            <w:rPr>
              <w:rFonts w:ascii="黑体" w:hAnsi="黑体" w:cs="黑体"/>
              <w:color w:val="auto"/>
              <w:kern w:val="44"/>
              <w:szCs w:val="36"/>
              <w:highlight w:val="none"/>
              <w:lang w:val="zh-TW" w:eastAsia="zh-TW"/>
            </w:rPr>
            <w:t xml:space="preserve">章  </w:t>
          </w:r>
          <w:r>
            <w:rPr>
              <w:rFonts w:hint="eastAsia" w:ascii="黑体" w:hAnsi="黑体" w:cs="黑体"/>
              <w:color w:val="auto"/>
              <w:kern w:val="44"/>
              <w:szCs w:val="36"/>
              <w:highlight w:val="none"/>
              <w:lang w:val="zh-TW" w:eastAsia="zh-TW"/>
            </w:rPr>
            <w:t>投标文件格式</w:t>
          </w:r>
          <w:r>
            <w:rPr>
              <w:color w:val="auto"/>
              <w:highlight w:val="none"/>
            </w:rPr>
            <w:tab/>
          </w:r>
          <w:r>
            <w:rPr>
              <w:color w:val="auto"/>
              <w:highlight w:val="none"/>
            </w:rPr>
            <w:fldChar w:fldCharType="begin"/>
          </w:r>
          <w:r>
            <w:rPr>
              <w:color w:val="auto"/>
              <w:highlight w:val="none"/>
            </w:rPr>
            <w:instrText xml:space="preserve"> PAGEREF _Toc30059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15"/>
            <w:tabs>
              <w:tab w:val="right" w:leader="dot" w:pos="8787"/>
            </w:tabs>
            <w:rPr>
              <w:color w:val="auto"/>
              <w:highlight w:val="none"/>
            </w:rPr>
          </w:pPr>
        </w:p>
        <w:p>
          <w:pPr>
            <w:pStyle w:val="22"/>
            <w:rPr>
              <w:color w:val="auto"/>
              <w:highlight w:val="none"/>
            </w:rPr>
          </w:pPr>
          <w:r>
            <w:rPr>
              <w:color w:val="auto"/>
              <w:highlight w:val="none"/>
            </w:rPr>
            <w:fldChar w:fldCharType="end"/>
          </w:r>
        </w:p>
      </w:sdtContent>
    </w:sdt>
    <w:p>
      <w:pPr>
        <w:widowControl/>
        <w:jc w:val="left"/>
        <w:rPr>
          <w:color w:val="auto"/>
          <w:highlight w:val="none"/>
        </w:rPr>
        <w:sectPr>
          <w:headerReference r:id="rId3" w:type="default"/>
          <w:footerReference r:id="rId4" w:type="default"/>
          <w:pgSz w:w="11906" w:h="16838"/>
          <w:pgMar w:top="1418" w:right="1418" w:bottom="1418"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keepLines/>
        <w:spacing w:before="312" w:beforeLines="100" w:after="312" w:afterLines="100" w:line="360" w:lineRule="auto"/>
        <w:jc w:val="center"/>
        <w:outlineLvl w:val="0"/>
        <w:rPr>
          <w:rFonts w:ascii="黑体" w:hAnsi="黑体" w:eastAsia="黑体" w:cs="黑体"/>
          <w:color w:val="auto"/>
          <w:kern w:val="44"/>
          <w:sz w:val="36"/>
          <w:szCs w:val="36"/>
          <w:highlight w:val="none"/>
          <w:u w:color="000000"/>
          <w:lang w:val="zh-TW" w:eastAsia="zh-TW"/>
        </w:rPr>
      </w:pPr>
      <w:bookmarkStart w:id="1" w:name="_Toc"/>
      <w:bookmarkStart w:id="2" w:name="_Toc24580"/>
      <w:bookmarkStart w:id="3" w:name="_Toc415494523"/>
      <w:bookmarkStart w:id="4" w:name="_Toc448069940"/>
      <w:r>
        <w:rPr>
          <w:rFonts w:ascii="黑体" w:hAnsi="黑体" w:eastAsia="黑体" w:cs="黑体"/>
          <w:color w:val="auto"/>
          <w:kern w:val="44"/>
          <w:sz w:val="36"/>
          <w:szCs w:val="36"/>
          <w:highlight w:val="none"/>
          <w:u w:color="000000"/>
          <w:lang w:val="zh-TW" w:eastAsia="zh-TW"/>
        </w:rPr>
        <w:t xml:space="preserve">第一章  </w:t>
      </w:r>
      <w:r>
        <w:rPr>
          <w:rFonts w:hint="eastAsia" w:ascii="黑体" w:hAnsi="黑体" w:eastAsia="黑体" w:cs="黑体"/>
          <w:color w:val="auto"/>
          <w:kern w:val="44"/>
          <w:sz w:val="36"/>
          <w:szCs w:val="36"/>
          <w:highlight w:val="none"/>
          <w:u w:color="000000"/>
          <w:lang w:val="zh-TW"/>
        </w:rPr>
        <w:t>招标</w:t>
      </w:r>
      <w:r>
        <w:rPr>
          <w:rFonts w:ascii="黑体" w:hAnsi="黑体" w:eastAsia="黑体" w:cs="黑体"/>
          <w:color w:val="auto"/>
          <w:kern w:val="44"/>
          <w:sz w:val="36"/>
          <w:szCs w:val="36"/>
          <w:highlight w:val="none"/>
          <w:u w:color="000000"/>
          <w:lang w:val="zh-TW" w:eastAsia="zh-TW"/>
        </w:rPr>
        <w:t>公告</w:t>
      </w:r>
      <w:bookmarkEnd w:id="1"/>
      <w:bookmarkEnd w:id="2"/>
      <w:bookmarkEnd w:id="3"/>
      <w:bookmarkEnd w:id="4"/>
    </w:p>
    <w:p>
      <w:pPr>
        <w:spacing w:line="360" w:lineRule="auto"/>
        <w:ind w:firstLine="482" w:firstLineChars="200"/>
        <w:rPr>
          <w:rFonts w:ascii="Times New Roman" w:hAnsi="Times New Roman" w:cs="Times New Roman"/>
          <w:b/>
          <w:color w:val="auto"/>
          <w:sz w:val="24"/>
          <w:szCs w:val="24"/>
          <w:highlight w:val="none"/>
        </w:rPr>
      </w:pPr>
      <w:bookmarkStart w:id="5" w:name="_Toc415494524"/>
      <w:bookmarkStart w:id="6" w:name="_Toc448069941"/>
      <w:bookmarkStart w:id="7" w:name="_Toc1"/>
      <w:r>
        <w:rPr>
          <w:rFonts w:hint="eastAsia" w:ascii="Times New Roman" w:hAnsi="Times New Roman" w:cs="Times New Roman"/>
          <w:b/>
          <w:color w:val="auto"/>
          <w:sz w:val="24"/>
          <w:szCs w:val="24"/>
          <w:highlight w:val="none"/>
          <w:u w:val="single"/>
          <w:lang w:eastAsia="zh-CN"/>
        </w:rPr>
        <w:t>南京铁路公安处一键点调系统</w:t>
      </w:r>
      <w:r>
        <w:rPr>
          <w:rFonts w:hint="eastAsia" w:ascii="Times New Roman" w:hAnsi="Times New Roman" w:cs="Times New Roman"/>
          <w:color w:val="auto"/>
          <w:sz w:val="24"/>
          <w:szCs w:val="24"/>
          <w:highlight w:val="none"/>
        </w:rPr>
        <w:t>项目的潜在投标人应在</w:t>
      </w:r>
      <w:r>
        <w:rPr>
          <w:rFonts w:hint="eastAsia" w:ascii="Times New Roman" w:hAnsi="Times New Roman" w:cs="Times New Roman"/>
          <w:b/>
          <w:color w:val="auto"/>
          <w:sz w:val="24"/>
          <w:szCs w:val="24"/>
          <w:highlight w:val="none"/>
          <w:u w:val="single"/>
        </w:rPr>
        <w:t>中通服咨询设计研究院有限公司</w:t>
      </w:r>
      <w:r>
        <w:rPr>
          <w:rFonts w:hint="eastAsia" w:ascii="Times New Roman" w:hAnsi="Times New Roman" w:cs="Times New Roman"/>
          <w:color w:val="auto"/>
          <w:sz w:val="24"/>
          <w:szCs w:val="24"/>
          <w:highlight w:val="none"/>
        </w:rPr>
        <w:t>获取招标文件，并于</w:t>
      </w:r>
      <w:r>
        <w:rPr>
          <w:rFonts w:hint="eastAsia" w:ascii="Times New Roman" w:hAnsi="Times New Roman" w:cs="Times New Roman"/>
          <w:b/>
          <w:color w:val="auto"/>
          <w:sz w:val="24"/>
          <w:szCs w:val="24"/>
          <w:highlight w:val="none"/>
        </w:rPr>
        <w:t>2024年</w:t>
      </w:r>
      <w:r>
        <w:rPr>
          <w:rFonts w:hint="eastAsia" w:ascii="Times New Roman" w:hAnsi="Times New Roman" w:cs="Times New Roman"/>
          <w:b/>
          <w:color w:val="auto"/>
          <w:sz w:val="24"/>
          <w:szCs w:val="24"/>
          <w:highlight w:val="none"/>
          <w:lang w:val="en-US" w:eastAsia="zh-CN"/>
        </w:rPr>
        <w:t>11</w:t>
      </w:r>
      <w:r>
        <w:rPr>
          <w:rFonts w:hint="eastAsia" w:ascii="Times New Roman" w:hAnsi="Times New Roman" w:cs="Times New Roman"/>
          <w:b/>
          <w:color w:val="auto"/>
          <w:sz w:val="24"/>
          <w:szCs w:val="24"/>
          <w:highlight w:val="none"/>
        </w:rPr>
        <w:t>月</w:t>
      </w:r>
      <w:r>
        <w:rPr>
          <w:rFonts w:hint="eastAsia" w:ascii="Times New Roman" w:hAnsi="Times New Roman" w:cs="Times New Roman"/>
          <w:b/>
          <w:color w:val="auto"/>
          <w:sz w:val="24"/>
          <w:szCs w:val="24"/>
          <w:highlight w:val="none"/>
          <w:lang w:val="en-US" w:eastAsia="zh-CN"/>
        </w:rPr>
        <w:t>11</w:t>
      </w:r>
      <w:r>
        <w:rPr>
          <w:rFonts w:hint="eastAsia" w:ascii="Times New Roman" w:hAnsi="Times New Roman" w:cs="Times New Roman"/>
          <w:b/>
          <w:color w:val="auto"/>
          <w:sz w:val="24"/>
          <w:szCs w:val="24"/>
          <w:highlight w:val="none"/>
        </w:rPr>
        <w:t>日14点3</w:t>
      </w:r>
      <w:r>
        <w:rPr>
          <w:rFonts w:ascii="Times New Roman" w:hAnsi="Times New Roman" w:cs="Times New Roman"/>
          <w:b/>
          <w:color w:val="auto"/>
          <w:sz w:val="24"/>
          <w:szCs w:val="24"/>
          <w:highlight w:val="none"/>
        </w:rPr>
        <w:t>0</w:t>
      </w:r>
      <w:r>
        <w:rPr>
          <w:rFonts w:hint="eastAsia" w:ascii="Times New Roman" w:hAnsi="Times New Roman" w:cs="Times New Roman"/>
          <w:b/>
          <w:color w:val="auto"/>
          <w:sz w:val="24"/>
          <w:szCs w:val="24"/>
          <w:highlight w:val="none"/>
        </w:rPr>
        <w:t>分</w:t>
      </w:r>
      <w:r>
        <w:rPr>
          <w:rFonts w:hint="eastAsia" w:ascii="Times New Roman" w:hAnsi="Times New Roman" w:cs="Times New Roman"/>
          <w:color w:val="auto"/>
          <w:sz w:val="24"/>
          <w:szCs w:val="24"/>
          <w:highlight w:val="none"/>
        </w:rPr>
        <w:t>（北京时间）前递交投标文件。</w:t>
      </w:r>
    </w:p>
    <w:p>
      <w:pPr>
        <w:spacing w:line="360" w:lineRule="auto"/>
        <w:ind w:firstLine="482"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一、项目基本情况</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1.1项目编号：ZBZBZ0000340ZX0003 ；</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1.2项目名称：</w:t>
      </w:r>
      <w:r>
        <w:rPr>
          <w:rFonts w:hint="eastAsia" w:ascii="Times New Roman" w:hAnsi="Times New Roman" w:cs="Times New Roman"/>
          <w:color w:val="auto"/>
          <w:sz w:val="24"/>
          <w:szCs w:val="24"/>
          <w:highlight w:val="none"/>
          <w:lang w:eastAsia="zh-CN"/>
        </w:rPr>
        <w:t>南京铁路公安处一键点调系统</w:t>
      </w:r>
      <w:r>
        <w:rPr>
          <w:rFonts w:hint="eastAsia" w:ascii="Times New Roman" w:hAnsi="Times New Roman" w:cs="Times New Roman"/>
          <w:color w:val="auto"/>
          <w:sz w:val="24"/>
          <w:szCs w:val="24"/>
          <w:highlight w:val="none"/>
        </w:rPr>
        <w:t>项目；</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1.3预算金额：</w:t>
      </w:r>
      <w:r>
        <w:rPr>
          <w:rFonts w:hint="eastAsia" w:ascii="Times New Roman" w:hAnsi="Times New Roman" w:cs="Times New Roman"/>
          <w:color w:val="auto"/>
          <w:sz w:val="24"/>
          <w:szCs w:val="24"/>
          <w:highlight w:val="none"/>
          <w:lang w:eastAsia="zh-CN"/>
        </w:rPr>
        <w:t>316.782</w:t>
      </w:r>
      <w:r>
        <w:rPr>
          <w:rFonts w:hint="eastAsia" w:ascii="Times New Roman" w:hAnsi="Times New Roman" w:cs="Times New Roman"/>
          <w:color w:val="auto"/>
          <w:sz w:val="24"/>
          <w:szCs w:val="24"/>
          <w:highlight w:val="none"/>
        </w:rPr>
        <w:t>万元；</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1.4本项目设定最高限价，最高限价为：</w:t>
      </w:r>
      <w:r>
        <w:rPr>
          <w:rFonts w:hint="eastAsia" w:ascii="Times New Roman" w:hAnsi="Times New Roman" w:cs="Times New Roman"/>
          <w:color w:val="auto"/>
          <w:sz w:val="24"/>
          <w:szCs w:val="24"/>
          <w:highlight w:val="none"/>
          <w:lang w:eastAsia="zh-CN"/>
        </w:rPr>
        <w:t>272.46</w:t>
      </w:r>
      <w:r>
        <w:rPr>
          <w:rFonts w:hint="eastAsia" w:ascii="Times New Roman" w:hAnsi="Times New Roman" w:cs="Times New Roman"/>
          <w:color w:val="auto"/>
          <w:sz w:val="24"/>
          <w:szCs w:val="24"/>
          <w:highlight w:val="none"/>
        </w:rPr>
        <w:t>万元；</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1.5</w:t>
      </w:r>
      <w:r>
        <w:rPr>
          <w:rFonts w:hint="eastAsia" w:ascii="宋体" w:hAnsi="宋体" w:cs="仿宋"/>
          <w:color w:val="auto"/>
          <w:sz w:val="24"/>
          <w:szCs w:val="24"/>
          <w:highlight w:val="none"/>
        </w:rPr>
        <w:t>采购需求：</w:t>
      </w:r>
      <w:r>
        <w:rPr>
          <w:rFonts w:hint="eastAsia" w:ascii="Times New Roman" w:hAnsi="Times New Roman" w:cs="Times New Roman"/>
          <w:color w:val="auto"/>
          <w:sz w:val="24"/>
          <w:szCs w:val="24"/>
          <w:highlight w:val="none"/>
          <w:lang w:eastAsia="zh-CN"/>
        </w:rPr>
        <w:t>建设南京铁路公安处在江苏省内下辖25个派出所</w:t>
      </w:r>
      <w:r>
        <w:rPr>
          <w:rFonts w:hint="eastAsia" w:ascii="Times New Roman" w:hAnsi="Times New Roman" w:cs="Times New Roman"/>
          <w:color w:val="auto"/>
          <w:sz w:val="24"/>
          <w:szCs w:val="24"/>
          <w:highlight w:val="none"/>
          <w:lang w:val="en-US" w:eastAsia="zh-CN"/>
        </w:rPr>
        <w:t>外加指挥中心共26个点位的</w:t>
      </w:r>
      <w:r>
        <w:rPr>
          <w:rFonts w:hint="eastAsia" w:ascii="Times New Roman" w:hAnsi="Times New Roman" w:cs="Times New Roman"/>
          <w:color w:val="auto"/>
          <w:sz w:val="24"/>
          <w:szCs w:val="24"/>
          <w:highlight w:val="none"/>
          <w:lang w:eastAsia="zh-CN"/>
        </w:rPr>
        <w:t>一键点调平台，融合现有视频会议系统、4G执法记录仪、移动警务终端、350兆电台，加强智慧乘务建设，达到互联互通，设备图上展示，真正形成“一键令全警”。</w:t>
      </w:r>
      <w:r>
        <w:rPr>
          <w:rFonts w:hint="eastAsia" w:ascii="Times New Roman" w:hAnsi="Times New Roman" w:cs="Times New Roman"/>
          <w:color w:val="auto"/>
          <w:sz w:val="24"/>
          <w:szCs w:val="24"/>
          <w:highlight w:val="none"/>
        </w:rPr>
        <w:t>详见招标文件“第四章 项目需求”；</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1.6合同履行期限：详见招标文件“第四章 项目需求”；</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1.7本项目采购标的所属行业为：</w:t>
      </w:r>
      <w:r>
        <w:rPr>
          <w:rFonts w:hint="eastAsia" w:ascii="Times New Roman" w:hAnsi="Times New Roman" w:cs="Times New Roman"/>
          <w:color w:val="auto"/>
          <w:sz w:val="24"/>
          <w:szCs w:val="24"/>
          <w:highlight w:val="none"/>
          <w:lang w:val="en-US" w:eastAsia="zh-CN"/>
        </w:rPr>
        <w:t>工业</w:t>
      </w:r>
      <w:r>
        <w:rPr>
          <w:rFonts w:hint="eastAsia" w:ascii="Times New Roman" w:hAnsi="Times New Roman" w:cs="Times New Roman"/>
          <w:color w:val="auto"/>
          <w:sz w:val="24"/>
          <w:szCs w:val="24"/>
          <w:highlight w:val="none"/>
        </w:rPr>
        <w:t>。</w:t>
      </w:r>
    </w:p>
    <w:p>
      <w:pPr>
        <w:spacing w:line="360" w:lineRule="auto"/>
        <w:ind w:firstLine="482"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二、申请人的资格要求：</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2.1.满足《中华人民共和国政府采购法》第二十二条规定： </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（1）具有独立承担民事责任的能力（提供法人或者其他组织的营业执照等证明文件，如投标人为自然人的，提供其身份证明）；</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（2）供应商须具有良好的商业信誉和健全的财务会计制度（提供提交投标文件截止时间前1年内的经审计的财务报告或银行出具的资信证明或其他会计报表等，成立不满一个月不需提供）；</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（3）供应商需提供依法缴纳税收和社会保障资金的相关材料（在提交投标文件截止时间前</w:t>
      </w:r>
      <w:r>
        <w:rPr>
          <w:rFonts w:hint="eastAsia" w:ascii="Times New Roman" w:hAnsi="Times New Roman" w:cs="Times New Roman"/>
          <w:color w:val="auto"/>
          <w:sz w:val="24"/>
          <w:szCs w:val="24"/>
          <w:highlight w:val="none"/>
          <w:lang w:eastAsia="zh-CN"/>
        </w:rPr>
        <w:t>半年内（至少一个月）</w:t>
      </w:r>
      <w:r>
        <w:rPr>
          <w:rFonts w:hint="eastAsia" w:ascii="Times New Roman" w:hAnsi="Times New Roman" w:cs="Times New Roman"/>
          <w:color w:val="auto"/>
          <w:sz w:val="24"/>
          <w:szCs w:val="24"/>
          <w:highlight w:val="none"/>
        </w:rPr>
        <w:t>依法缴纳税收和社会保障资金的有效证明材料（投标人依法享受缓缴、免缴税收或社会保障资金的，须提供有效证明材料））；</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（4）供应商具有履行合同所必需的设备和专业技术能力的书面声明；</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（5）供应商参加政府采购活动前3年内在经营活动中没有重大违法记录的书面声明；</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（6）供应商须提供在“信用中国”（www.creditchina.gov.cn）</w:t>
      </w:r>
      <w:r>
        <w:rPr>
          <w:rFonts w:hint="eastAsia" w:ascii="Times New Roman" w:hAnsi="Times New Roman" w:cs="Times New Roman"/>
          <w:color w:val="auto"/>
          <w:sz w:val="24"/>
          <w:szCs w:val="24"/>
          <w:highlight w:val="none"/>
          <w:lang w:eastAsia="zh-CN"/>
        </w:rPr>
        <w:t>或中国政府采购网</w:t>
      </w:r>
      <w:r>
        <w:rPr>
          <w:rFonts w:hint="eastAsia" w:ascii="Times New Roman" w:hAnsi="Times New Roman" w:cs="Times New Roman"/>
          <w:color w:val="auto"/>
          <w:sz w:val="24"/>
          <w:szCs w:val="24"/>
          <w:highlight w:val="none"/>
        </w:rPr>
        <w:t>（www.ccgp.gov.cn）查询的、自本招标公告发布之日至投标截止前的信用记录的截图（截图须加盖公章）。</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2.2.落实政府采购政策需满足的资格要求：</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本项目按照以下第(4)种方式落实政府采购促进中小企业发展的要求： </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（1）本项目整体专门面向中小企业采购货物。 </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（2）本项目整体专门面向小微企业采购货物。 </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（3）本项目通过以下第（/） 种方式预留部分采购份额采购中小企业货物： </w:t>
      </w:r>
    </w:p>
    <w:p>
      <w:pPr>
        <w:spacing w:line="360" w:lineRule="auto"/>
        <w:ind w:firstLine="720" w:firstLineChars="3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①要求供应商以联合体形式参加，企业合同金额应当达到的比例为</w:t>
      </w:r>
      <w:r>
        <w:rPr>
          <w:rFonts w:hint="eastAsia"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rPr>
        <w:t xml:space="preserve">%。 </w:t>
      </w:r>
    </w:p>
    <w:p>
      <w:pPr>
        <w:spacing w:line="360" w:lineRule="auto"/>
        <w:ind w:firstLine="720" w:firstLineChars="3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②要求供应商进行合同分包，企业合同金额应当达到的比例为</w:t>
      </w:r>
      <w:r>
        <w:rPr>
          <w:rFonts w:hint="eastAsia"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rPr>
        <w:t xml:space="preserve">%。 </w:t>
      </w:r>
    </w:p>
    <w:p>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w:t>
      </w:r>
      <w:r>
        <w:rPr>
          <w:rFonts w:hint="eastAsia" w:ascii="Times New Roman" w:hAnsi="Times New Roman" w:cs="Times New Roman"/>
          <w:color w:val="auto"/>
          <w:sz w:val="24"/>
          <w:szCs w:val="24"/>
          <w:highlight w:val="none"/>
        </w:rPr>
        <w:t>本项目为非预留份额的采购项目或采购包，执行价格扣除优惠政策，具体详见评标办法与标准。</w:t>
      </w:r>
      <w:r>
        <w:rPr>
          <w:rFonts w:ascii="Times New Roman" w:hAnsi="Times New Roman" w:cs="Times New Roman"/>
          <w:color w:val="auto"/>
          <w:sz w:val="24"/>
          <w:szCs w:val="24"/>
          <w:highlight w:val="none"/>
        </w:rPr>
        <w:t xml:space="preserve"> </w:t>
      </w:r>
    </w:p>
    <w:p>
      <w:pPr>
        <w:pStyle w:val="2"/>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2.3.本项目</w:t>
      </w:r>
      <w:r>
        <w:rPr>
          <w:rFonts w:hint="eastAsia" w:ascii="Times New Roman" w:hAnsi="Times New Roman" w:cs="Times New Roman"/>
          <w:color w:val="auto"/>
          <w:sz w:val="24"/>
          <w:szCs w:val="24"/>
          <w:highlight w:val="none"/>
          <w:u w:val="single"/>
        </w:rPr>
        <w:t>不接受</w:t>
      </w:r>
      <w:r>
        <w:rPr>
          <w:rFonts w:hint="eastAsia" w:ascii="Times New Roman" w:hAnsi="Times New Roman" w:cs="Times New Roman"/>
          <w:color w:val="auto"/>
          <w:sz w:val="24"/>
          <w:szCs w:val="24"/>
          <w:highlight w:val="none"/>
        </w:rPr>
        <w:t>进口产品投标；本项目</w:t>
      </w:r>
      <w:r>
        <w:rPr>
          <w:rFonts w:hint="eastAsia" w:ascii="Times New Roman" w:hAnsi="Times New Roman" w:cs="Times New Roman"/>
          <w:color w:val="auto"/>
          <w:sz w:val="24"/>
          <w:szCs w:val="24"/>
          <w:highlight w:val="none"/>
          <w:u w:val="single"/>
        </w:rPr>
        <w:t>不接受</w:t>
      </w:r>
      <w:r>
        <w:rPr>
          <w:rFonts w:hint="eastAsia" w:ascii="Times New Roman" w:hAnsi="Times New Roman" w:cs="Times New Roman"/>
          <w:color w:val="auto"/>
          <w:sz w:val="24"/>
          <w:szCs w:val="24"/>
          <w:highlight w:val="none"/>
        </w:rPr>
        <w:t>联合体参与投标；</w:t>
      </w:r>
    </w:p>
    <w:p>
      <w:pPr>
        <w:spacing w:line="360" w:lineRule="auto"/>
        <w:ind w:firstLine="480" w:firstLineChars="200"/>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rPr>
        <w:t>2.4.本项目的特定资格要求：</w:t>
      </w:r>
      <w:r>
        <w:rPr>
          <w:rFonts w:hint="eastAsia" w:ascii="Times New Roman" w:hAnsi="Times New Roman" w:cs="Times New Roman"/>
          <w:color w:val="auto"/>
          <w:sz w:val="24"/>
          <w:szCs w:val="24"/>
          <w:highlight w:val="none"/>
          <w:lang w:val="en-US" w:eastAsia="zh-CN"/>
        </w:rPr>
        <w:t>/</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2.5拒绝以下投标人参加本次采购活动：</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被“信用中国”网站（www.creditchina.gov.cn）、“中国政府采购网”(www.ccgp.gov.cn)列入失信被执行人、税收违法黑名单、政府采购严重失信行为记录名单，及其他不符合《中华人民共和国政府采购法》第二十二条规定条件的信用记录。</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（2）供应商单位负责人为同一人或者存在直接控股、管理关系的不同供应商，不得参加同一合同项下的政府采购活动；</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（3）为本项目提供整体设计、规范编制或者项目管理、监理、检测等服务的供应商，不得再参加本项目的采购活动；</w:t>
      </w:r>
    </w:p>
    <w:p>
      <w:pPr>
        <w:spacing w:line="360" w:lineRule="auto"/>
        <w:ind w:firstLine="482"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三、获取招标文件</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3.1.时间：2024年</w:t>
      </w:r>
      <w:r>
        <w:rPr>
          <w:rFonts w:hint="eastAsia" w:ascii="Times New Roman" w:hAnsi="Times New Roman" w:cs="Times New Roman"/>
          <w:color w:val="auto"/>
          <w:sz w:val="24"/>
          <w:szCs w:val="24"/>
          <w:highlight w:val="none"/>
          <w:lang w:val="en-US" w:eastAsia="zh-CN"/>
        </w:rPr>
        <w:t>10</w:t>
      </w:r>
      <w:r>
        <w:rPr>
          <w:rFonts w:hint="eastAsia"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19</w:t>
      </w:r>
      <w:r>
        <w:rPr>
          <w:rFonts w:hint="eastAsia" w:ascii="Times New Roman" w:hAnsi="Times New Roman" w:cs="Times New Roman"/>
          <w:color w:val="auto"/>
          <w:sz w:val="24"/>
          <w:szCs w:val="24"/>
          <w:highlight w:val="none"/>
        </w:rPr>
        <w:t>日至2024年</w:t>
      </w:r>
      <w:r>
        <w:rPr>
          <w:rFonts w:hint="eastAsia" w:ascii="Times New Roman" w:hAnsi="Times New Roman" w:cs="Times New Roman"/>
          <w:color w:val="auto"/>
          <w:sz w:val="24"/>
          <w:szCs w:val="24"/>
          <w:highlight w:val="none"/>
          <w:lang w:val="en-US" w:eastAsia="zh-CN"/>
        </w:rPr>
        <w:t>10</w:t>
      </w:r>
      <w:r>
        <w:rPr>
          <w:rFonts w:hint="eastAsia"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25</w:t>
      </w:r>
      <w:r>
        <w:rPr>
          <w:rFonts w:hint="eastAsia" w:ascii="Times New Roman" w:hAnsi="Times New Roman" w:cs="Times New Roman"/>
          <w:color w:val="auto"/>
          <w:sz w:val="24"/>
          <w:szCs w:val="24"/>
          <w:highlight w:val="none"/>
        </w:rPr>
        <w:t>日，每天上午</w:t>
      </w:r>
      <w:r>
        <w:rPr>
          <w:rFonts w:ascii="Times New Roman" w:hAnsi="Times New Roman" w:cs="Times New Roman"/>
          <w:color w:val="auto"/>
          <w:sz w:val="24"/>
          <w:szCs w:val="24"/>
          <w:highlight w:val="none"/>
        </w:rPr>
        <w:t>8时30分到11时30分</w:t>
      </w:r>
      <w:r>
        <w:rPr>
          <w:rFonts w:hint="eastAsia" w:ascii="Times New Roman" w:hAnsi="Times New Roman" w:cs="Times New Roman"/>
          <w:color w:val="auto"/>
          <w:sz w:val="24"/>
          <w:szCs w:val="24"/>
          <w:highlight w:val="none"/>
        </w:rPr>
        <w:t>，下午</w:t>
      </w:r>
      <w:r>
        <w:rPr>
          <w:rFonts w:ascii="Times New Roman" w:hAnsi="Times New Roman" w:cs="Times New Roman"/>
          <w:color w:val="auto"/>
          <w:sz w:val="24"/>
          <w:szCs w:val="24"/>
          <w:highlight w:val="none"/>
        </w:rPr>
        <w:t>14时00分到17时30分</w:t>
      </w:r>
      <w:r>
        <w:rPr>
          <w:rFonts w:hint="eastAsia" w:ascii="Times New Roman" w:hAnsi="Times New Roman" w:cs="Times New Roman"/>
          <w:color w:val="auto"/>
          <w:sz w:val="24"/>
          <w:szCs w:val="24"/>
          <w:highlight w:val="none"/>
        </w:rPr>
        <w:t>（北京时间，法定节假日除外）</w:t>
      </w:r>
    </w:p>
    <w:p>
      <w:pPr>
        <w:spacing w:line="360" w:lineRule="auto"/>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rPr>
        <w:t>3.2.地点：线上报名</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线下领取</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3.3.方式：</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报名需将下述资料盖章扫描件（1份）发邮件至</w:t>
      </w:r>
      <w:r>
        <w:rPr>
          <w:rFonts w:hint="eastAsia" w:ascii="Times New Roman" w:hAnsi="Times New Roman" w:cs="Times New Roman"/>
          <w:color w:val="auto"/>
          <w:sz w:val="24"/>
          <w:szCs w:val="24"/>
          <w:highlight w:val="none"/>
          <w:lang w:eastAsia="zh-CN"/>
        </w:rPr>
        <w:t>zhuxiaoqi_xm@cicdi.cn</w:t>
      </w:r>
      <w:r>
        <w:rPr>
          <w:rFonts w:hint="eastAsia" w:ascii="Times New Roman" w:hAnsi="Times New Roman" w:cs="Times New Roman"/>
          <w:color w:val="auto"/>
          <w:sz w:val="24"/>
          <w:szCs w:val="24"/>
          <w:highlight w:val="none"/>
        </w:rPr>
        <w:t>，进行线上报名：</w:t>
      </w:r>
    </w:p>
    <w:p>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（1）营业执照副本；</w:t>
      </w:r>
    </w:p>
    <w:p>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（2）法人授权委托书</w:t>
      </w:r>
      <w:r>
        <w:rPr>
          <w:rFonts w:hint="eastAsia" w:ascii="Times New Roman" w:hAnsi="Times New Roman" w:cs="Times New Roman"/>
          <w:color w:val="auto"/>
          <w:sz w:val="24"/>
          <w:szCs w:val="24"/>
          <w:highlight w:val="none"/>
        </w:rPr>
        <w:t>和</w:t>
      </w:r>
      <w:r>
        <w:rPr>
          <w:rFonts w:ascii="Times New Roman" w:hAnsi="Times New Roman" w:cs="Times New Roman"/>
          <w:color w:val="auto"/>
          <w:sz w:val="24"/>
          <w:szCs w:val="24"/>
          <w:highlight w:val="none"/>
        </w:rPr>
        <w:t>被授权人身份证；</w:t>
      </w:r>
    </w:p>
    <w:p>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（3）标书费付款凭证。</w:t>
      </w:r>
    </w:p>
    <w:p>
      <w:pPr>
        <w:spacing w:line="360" w:lineRule="auto"/>
        <w:ind w:firstLine="960" w:firstLineChars="4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售价：</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00元人民币</w:t>
      </w:r>
    </w:p>
    <w:p>
      <w:pPr>
        <w:spacing w:line="360" w:lineRule="auto"/>
        <w:ind w:firstLine="960" w:firstLineChars="4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汇款账号信息如下：</w:t>
      </w:r>
    </w:p>
    <w:p>
      <w:pPr>
        <w:spacing w:line="360" w:lineRule="auto"/>
        <w:ind w:firstLine="960" w:firstLineChars="4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收款单位：中通服咨询设计研究院有限公司</w:t>
      </w:r>
    </w:p>
    <w:p>
      <w:pPr>
        <w:spacing w:line="360" w:lineRule="auto"/>
        <w:ind w:firstLine="960" w:firstLineChars="4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开户银行：招商银行南京分行城北支行</w:t>
      </w:r>
    </w:p>
    <w:p>
      <w:pPr>
        <w:spacing w:line="360" w:lineRule="auto"/>
        <w:ind w:firstLine="960" w:firstLineChars="4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账    号：</w:t>
      </w:r>
      <w:r>
        <w:rPr>
          <w:rFonts w:ascii="Times New Roman" w:hAnsi="Times New Roman" w:cs="Times New Roman"/>
          <w:color w:val="auto"/>
          <w:sz w:val="24"/>
          <w:szCs w:val="24"/>
          <w:highlight w:val="none"/>
        </w:rPr>
        <w:t>1259 0209 5710 1030 0005</w:t>
      </w:r>
    </w:p>
    <w:p>
      <w:pPr>
        <w:spacing w:line="360" w:lineRule="auto"/>
        <w:ind w:firstLine="960" w:firstLineChars="4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转账事由：</w:t>
      </w:r>
    </w:p>
    <w:p>
      <w:pPr>
        <w:spacing w:line="360" w:lineRule="auto"/>
        <w:ind w:firstLine="482"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四、提交投标文件截止时间、开标时间和地点</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4.1.提交投标文件截止时间及开标时间：2024年</w:t>
      </w:r>
      <w:r>
        <w:rPr>
          <w:rFonts w:hint="eastAsia" w:ascii="Times New Roman" w:hAnsi="Times New Roman" w:cs="Times New Roman"/>
          <w:color w:val="auto"/>
          <w:sz w:val="24"/>
          <w:szCs w:val="24"/>
          <w:highlight w:val="none"/>
          <w:lang w:val="en-US" w:eastAsia="zh-CN"/>
        </w:rPr>
        <w:t>11</w:t>
      </w:r>
      <w:r>
        <w:rPr>
          <w:rFonts w:hint="eastAsia"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11</w:t>
      </w:r>
      <w:r>
        <w:rPr>
          <w:rFonts w:hint="eastAsia" w:ascii="Times New Roman" w:hAnsi="Times New Roman" w:cs="Times New Roman"/>
          <w:color w:val="auto"/>
          <w:sz w:val="24"/>
          <w:szCs w:val="24"/>
          <w:highlight w:val="none"/>
        </w:rPr>
        <w:t>日14点30分（北京时间）</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4.2.提交投标文件及开标地点：南京市秦淮区中山南路371号</w:t>
      </w:r>
      <w:r>
        <w:rPr>
          <w:rFonts w:hint="eastAsia" w:ascii="Times New Roman" w:hAnsi="Times New Roman" w:cs="Times New Roman"/>
          <w:color w:val="auto"/>
          <w:sz w:val="24"/>
          <w:szCs w:val="24"/>
          <w:highlight w:val="none"/>
          <w:lang w:eastAsia="zh-CN"/>
        </w:rPr>
        <w:t>607号</w:t>
      </w:r>
      <w:r>
        <w:rPr>
          <w:rFonts w:hint="eastAsia" w:ascii="Times New Roman" w:hAnsi="Times New Roman" w:cs="Times New Roman"/>
          <w:color w:val="auto"/>
          <w:sz w:val="24"/>
          <w:szCs w:val="24"/>
          <w:highlight w:val="none"/>
        </w:rPr>
        <w:t>会议室。</w:t>
      </w:r>
    </w:p>
    <w:p>
      <w:pPr>
        <w:spacing w:line="360" w:lineRule="auto"/>
        <w:ind w:firstLine="482"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五、公告期限</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5.1自本公告发布之日起5个工作日。</w:t>
      </w:r>
    </w:p>
    <w:p>
      <w:pPr>
        <w:spacing w:line="360" w:lineRule="auto"/>
        <w:ind w:firstLine="482"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六、其他补充事宜</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6.1</w:t>
      </w:r>
      <w:r>
        <w:rPr>
          <w:rFonts w:ascii="Times New Roman" w:hAnsi="Times New Roman" w:cs="Times New Roman"/>
          <w:color w:val="auto"/>
          <w:sz w:val="24"/>
          <w:szCs w:val="24"/>
          <w:highlight w:val="none"/>
        </w:rPr>
        <w:t>有关本次招标的事项若存在变动或修改，敬请及时关注</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中国政府采购网</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发布的信息更正公告。</w:t>
      </w:r>
    </w:p>
    <w:p>
      <w:pPr>
        <w:spacing w:line="36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6.2</w:t>
      </w:r>
      <w:r>
        <w:rPr>
          <w:rFonts w:hint="eastAsia" w:ascii="Times New Roman" w:hAnsi="Times New Roman" w:cs="Times New Roman"/>
          <w:color w:val="auto"/>
          <w:sz w:val="24"/>
          <w:szCs w:val="24"/>
          <w:highlight w:val="none"/>
        </w:rPr>
        <w:t>报名成功的投标人在领取招标文件后，对招标文件有疑问的：</w:t>
      </w:r>
    </w:p>
    <w:p>
      <w:pPr>
        <w:spacing w:line="36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rPr>
        <w:t>询问：投标人认为招标文件有疑问的，可使用书面、电话等形式向采购代理机构提出询问。代理机构在收到询问后应在三个工作日内予以解答。</w:t>
      </w:r>
    </w:p>
    <w:p>
      <w:pPr>
        <w:spacing w:line="36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质疑：投标人认为招标文件、采购过程和成交结果使自己的权益受到损害的，可以在知道或者应知其权益受到损害之日起七个工作日内，以书面形式向代理机构提出质疑。代理机构应当在收到投标人的书面质疑后七个工作日内就委托授权范围内的事项作出答复，并以书面形式通知质疑投标人和与质疑事项有关的投标人，但答复的内容不得涉及商业秘密。</w:t>
      </w:r>
    </w:p>
    <w:p>
      <w:pPr>
        <w:spacing w:line="36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）投标人在法定质疑期内对同一采购程序环节存在质疑的，须一次性提出质疑事项。</w:t>
      </w:r>
    </w:p>
    <w:p>
      <w:pPr>
        <w:spacing w:line="36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rPr>
        <w:t>）其他未尽事项，请投标人参照《政府采购质疑和投诉办法》或其他相关法律法规。</w:t>
      </w:r>
    </w:p>
    <w:p>
      <w:pPr>
        <w:spacing w:line="36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）质疑函内容须以中文书写，按法定途径送达。</w:t>
      </w:r>
    </w:p>
    <w:p>
      <w:pPr>
        <w:spacing w:line="360" w:lineRule="auto"/>
        <w:ind w:firstLine="482"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七、对本次招标提出询问，请按以下方式联系。</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7.1.采购人信息</w:t>
      </w:r>
    </w:p>
    <w:p>
      <w:pPr>
        <w:spacing w:line="360" w:lineRule="auto"/>
        <w:ind w:firstLine="480" w:firstLineChars="20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color w:val="auto"/>
          <w:sz w:val="24"/>
          <w:szCs w:val="24"/>
          <w:highlight w:val="none"/>
        </w:rPr>
        <w:t>名 称：</w:t>
      </w:r>
      <w:r>
        <w:rPr>
          <w:rFonts w:hint="eastAsia" w:ascii="Times New Roman" w:hAnsi="Times New Roman" w:cs="Times New Roman"/>
          <w:color w:val="auto"/>
          <w:sz w:val="24"/>
          <w:szCs w:val="24"/>
          <w:highlight w:val="none"/>
          <w:lang w:eastAsia="zh-CN"/>
        </w:rPr>
        <w:t>上海铁路公安局南京公安处</w:t>
      </w:r>
    </w:p>
    <w:p>
      <w:pPr>
        <w:spacing w:line="360" w:lineRule="auto"/>
        <w:ind w:firstLine="480" w:firstLineChars="20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color w:val="auto"/>
          <w:sz w:val="24"/>
          <w:szCs w:val="24"/>
          <w:highlight w:val="none"/>
        </w:rPr>
        <w:t>地址：</w:t>
      </w:r>
      <w:r>
        <w:rPr>
          <w:rFonts w:hint="eastAsia" w:ascii="Times New Roman" w:hAnsi="Times New Roman" w:cs="Times New Roman"/>
          <w:color w:val="auto"/>
          <w:sz w:val="24"/>
          <w:szCs w:val="24"/>
          <w:highlight w:val="none"/>
          <w:lang w:eastAsia="zh-CN"/>
        </w:rPr>
        <w:t>南京市玄武区龙蟠路 141 号</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7.2.采购代理机构信息</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名 称：</w:t>
      </w:r>
      <w:r>
        <w:rPr>
          <w:rFonts w:ascii="Times New Roman" w:hAnsi="Times New Roman" w:cs="Times New Roman"/>
          <w:color w:val="auto"/>
          <w:sz w:val="24"/>
          <w:szCs w:val="24"/>
          <w:highlight w:val="none"/>
        </w:rPr>
        <w:t>中通服咨询设计研究院有限公司</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地　址：</w:t>
      </w:r>
      <w:r>
        <w:rPr>
          <w:rFonts w:ascii="Times New Roman" w:hAnsi="Times New Roman" w:cs="Times New Roman"/>
          <w:color w:val="auto"/>
          <w:sz w:val="24"/>
          <w:szCs w:val="24"/>
          <w:highlight w:val="none"/>
        </w:rPr>
        <w:t>南京市建邺区楠溪江东街58号</w:t>
      </w:r>
    </w:p>
    <w:p>
      <w:pPr>
        <w:spacing w:line="360" w:lineRule="auto"/>
        <w:ind w:left="1679" w:leftChars="228" w:hanging="1200" w:hangingChars="5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联系人：朱晓琦、陈沭</w:t>
      </w:r>
    </w:p>
    <w:p>
      <w:pPr>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联系电话：18021521325</w:t>
      </w:r>
    </w:p>
    <w:p>
      <w:pPr>
        <w:snapToGrid w:val="0"/>
        <w:spacing w:line="360" w:lineRule="auto"/>
        <w:jc w:val="right"/>
        <w:rPr>
          <w:rFonts w:ascii="Times New Roman" w:hAnsi="Times New Roman" w:cs="Times New Roman"/>
          <w:color w:val="auto"/>
          <w:highlight w:val="none"/>
        </w:rPr>
      </w:pPr>
    </w:p>
    <w:p>
      <w:pPr>
        <w:rPr>
          <w:rFonts w:ascii="黑体" w:hAnsi="黑体" w:eastAsia="黑体" w:cs="黑体"/>
          <w:color w:val="auto"/>
          <w:kern w:val="44"/>
          <w:sz w:val="36"/>
          <w:szCs w:val="36"/>
          <w:highlight w:val="none"/>
          <w:u w:color="000000"/>
          <w:lang w:val="zh-TW" w:eastAsia="zh-TW"/>
        </w:rPr>
      </w:pPr>
      <w:bookmarkStart w:id="8" w:name="_Toc10216"/>
      <w:r>
        <w:rPr>
          <w:rFonts w:ascii="黑体" w:hAnsi="黑体" w:eastAsia="黑体" w:cs="黑体"/>
          <w:color w:val="auto"/>
          <w:kern w:val="44"/>
          <w:sz w:val="36"/>
          <w:szCs w:val="36"/>
          <w:highlight w:val="none"/>
          <w:u w:color="000000"/>
          <w:lang w:val="zh-TW" w:eastAsia="zh-TW"/>
        </w:rPr>
        <w:br w:type="page"/>
      </w:r>
    </w:p>
    <w:p>
      <w:pPr>
        <w:widowControl/>
        <w:spacing w:line="360" w:lineRule="auto"/>
        <w:ind w:right="720"/>
        <w:jc w:val="center"/>
        <w:rPr>
          <w:rFonts w:ascii="黑体" w:hAnsi="黑体" w:eastAsia="黑体" w:cs="黑体"/>
          <w:color w:val="auto"/>
          <w:kern w:val="44"/>
          <w:sz w:val="36"/>
          <w:szCs w:val="36"/>
          <w:highlight w:val="none"/>
          <w:u w:color="000000"/>
          <w:lang w:val="zh-TW" w:eastAsia="zh-TW"/>
        </w:rPr>
      </w:pPr>
      <w:r>
        <w:rPr>
          <w:rFonts w:ascii="黑体" w:hAnsi="黑体" w:eastAsia="黑体" w:cs="黑体"/>
          <w:color w:val="auto"/>
          <w:kern w:val="44"/>
          <w:sz w:val="36"/>
          <w:szCs w:val="36"/>
          <w:highlight w:val="none"/>
          <w:u w:color="000000"/>
          <w:lang w:val="zh-TW" w:eastAsia="zh-TW"/>
        </w:rPr>
        <w:t xml:space="preserve">第二章  </w:t>
      </w:r>
      <w:r>
        <w:rPr>
          <w:rFonts w:hint="eastAsia" w:ascii="黑体" w:hAnsi="黑体" w:eastAsia="黑体" w:cs="黑体"/>
          <w:color w:val="auto"/>
          <w:kern w:val="44"/>
          <w:sz w:val="36"/>
          <w:szCs w:val="36"/>
          <w:highlight w:val="none"/>
          <w:u w:color="000000"/>
          <w:lang w:val="zh-TW"/>
        </w:rPr>
        <w:t>投标人</w:t>
      </w:r>
      <w:r>
        <w:rPr>
          <w:rFonts w:ascii="黑体" w:hAnsi="黑体" w:eastAsia="黑体" w:cs="黑体"/>
          <w:color w:val="auto"/>
          <w:kern w:val="44"/>
          <w:sz w:val="36"/>
          <w:szCs w:val="36"/>
          <w:highlight w:val="none"/>
          <w:u w:color="000000"/>
          <w:lang w:val="zh-TW" w:eastAsia="zh-TW"/>
        </w:rPr>
        <w:t>须知</w:t>
      </w:r>
      <w:bookmarkEnd w:id="5"/>
      <w:bookmarkEnd w:id="6"/>
      <w:bookmarkEnd w:id="7"/>
      <w:bookmarkEnd w:id="8"/>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一、总则</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l、采购方式</w:t>
      </w:r>
    </w:p>
    <w:p>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1.1本次采购采用公开招标方式，本招标文件仅适用于招标公告中所述项目。</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2、合格的投标人</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2.1满足招标公告中投标人资质要求的规定。</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 满足本文件实质性条款的规定。</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3、适用法律</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3.1本次采购及由本次采购产生的合同受中华人民共和国有关法律法规制约和保护。</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3.2 政策功能</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3.2.1 促进中小企业发展。在政府采购活动中，供应商提供的货物、项目或者服务符合下列情形的，享受中小企业扶持政策：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（1）在货物采购项目中，货物由中小企业制造，即货物由中小企业生产且使用该中小企业商号或者注册商标；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（2）在项目采购项目中，项目由中小企业承建，即项目施工单位为中小企业；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中小企业供应商参加政府采购活动，应当出具《中小企业声明函》，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3.2.2 支持监狱和戒毒企业。监狱和戒毒企业提供的产品和服务，在评标时将按照财库〔2014〕68号获得优势，参加投标的监狱和戒毒企业，应当提供由省级以上监狱管理局、戒毒管理局（含新疆生产建设兵团）出具的属于监狱企业的证明文件。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3.2.3 促进残疾人就业。残疾人福利性单位提供的产品和服务，在评标时将按照财库〔2017〕141号获得优势，参加投标的残疾人福利性单位，应当提供《残疾人福利性单位声明函》（格式见附件）。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3.2.4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3.2.5 采购的产品属于信息安全产品的，供应商应当选择经国家认证的信息安全产品投标，并提供由中国信息安全认证中心按国家标准认证颁发的有效认证证书。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 xml:space="preserve">3.2.6 采购的产品属于政府强制采购节能产品的，供应商应当选择依据国家标准中二级能效（水效）指标认证的节能产品投标，并提供有效的节能产品认证证书。 </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3.2.7采购的产品属于环境标志产品的,供应商应当选择依据相关标准的最新版本认证的环境标志产品投标,并提供有效的环境标志产品认证证书。</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4、投标费用</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4.1投标人应自行承担所有参与投标有关费用，无论投标过程中的做法和结果如何，采购人在任何情况下均无义务和责任承担这些费用。</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4.2</w:t>
      </w:r>
      <w:r>
        <w:rPr>
          <w:rFonts w:hint="eastAsia" w:ascii="Times New Roman" w:hAnsi="Times New Roman" w:cs="Times New Roman"/>
          <w:color w:val="auto"/>
          <w:sz w:val="24"/>
          <w:szCs w:val="24"/>
          <w:highlight w:val="none"/>
        </w:rPr>
        <w:t>本项目收取投标人标书费见公告，招标代理服务费、本项目招标文件专家论证费由中标人支付，</w:t>
      </w:r>
      <w:r>
        <w:rPr>
          <w:rFonts w:hint="eastAsia" w:ascii="Times New Roman" w:hAnsi="Times New Roman" w:cs="Times New Roman"/>
          <w:color w:val="auto"/>
          <w:sz w:val="24"/>
          <w:szCs w:val="24"/>
          <w:highlight w:val="none"/>
          <w:lang w:val="en-US" w:eastAsia="zh-CN"/>
        </w:rPr>
        <w:t>按照</w:t>
      </w:r>
      <w:r>
        <w:rPr>
          <w:rFonts w:hint="eastAsia" w:ascii="Times New Roman" w:hAnsi="Times New Roman" w:cs="Times New Roman"/>
          <w:color w:val="auto"/>
          <w:sz w:val="24"/>
          <w:szCs w:val="24"/>
          <w:highlight w:val="none"/>
        </w:rPr>
        <w:t>《江苏省招标代理费服务收费的指导意见》苏招协【2022】002号文件文件基准收费标准的80 %计算计取。本项费用无需在《报价一览表》中单列。</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5、招标文件的约束力</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5.1投标人一旦</w:t>
      </w:r>
      <w:r>
        <w:rPr>
          <w:rFonts w:hint="eastAsia" w:ascii="Times New Roman" w:hAnsi="Times New Roman" w:cs="Times New Roman"/>
          <w:color w:val="auto"/>
          <w:sz w:val="24"/>
          <w:szCs w:val="24"/>
          <w:highlight w:val="none"/>
        </w:rPr>
        <w:t>购买</w:t>
      </w:r>
      <w:r>
        <w:rPr>
          <w:rFonts w:ascii="Times New Roman" w:hAnsi="Times New Roman" w:cs="Times New Roman"/>
          <w:color w:val="auto"/>
          <w:sz w:val="24"/>
          <w:szCs w:val="24"/>
          <w:highlight w:val="none"/>
        </w:rPr>
        <w:t>了本招标文件并参与投标，即被认为接受了本招标文件中的所有条件和规定。</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二、招标文件</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6、招标文件的构成</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6.1招标文件由以下部分组成：</w:t>
      </w:r>
    </w:p>
    <w:p>
      <w:pPr>
        <w:snapToGrid w:val="0"/>
        <w:spacing w:line="360" w:lineRule="auto"/>
        <w:ind w:firstLine="360" w:firstLineChars="15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招标</w:t>
      </w:r>
      <w:r>
        <w:rPr>
          <w:rFonts w:ascii="Times New Roman" w:hAnsi="Times New Roman" w:cs="Times New Roman"/>
          <w:color w:val="auto"/>
          <w:sz w:val="24"/>
          <w:szCs w:val="24"/>
          <w:highlight w:val="none"/>
        </w:rPr>
        <w:t>公告</w:t>
      </w:r>
    </w:p>
    <w:p>
      <w:pPr>
        <w:snapToGrid w:val="0"/>
        <w:spacing w:line="360" w:lineRule="auto"/>
        <w:ind w:firstLine="360" w:firstLineChars="15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（2）投标人须知</w:t>
      </w:r>
    </w:p>
    <w:p>
      <w:pPr>
        <w:snapToGrid w:val="0"/>
        <w:spacing w:line="360" w:lineRule="auto"/>
        <w:ind w:firstLine="360" w:firstLineChars="15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（3）合同条款及格式</w:t>
      </w:r>
    </w:p>
    <w:p>
      <w:pPr>
        <w:snapToGrid w:val="0"/>
        <w:spacing w:line="360" w:lineRule="auto"/>
        <w:ind w:firstLine="360" w:firstLineChars="15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（4）项目需求</w:t>
      </w:r>
    </w:p>
    <w:p>
      <w:pPr>
        <w:snapToGrid w:val="0"/>
        <w:spacing w:line="360" w:lineRule="auto"/>
        <w:ind w:firstLine="360" w:firstLineChars="15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（5）评标方法与评标标准</w:t>
      </w:r>
    </w:p>
    <w:p>
      <w:pPr>
        <w:snapToGrid w:val="0"/>
        <w:spacing w:line="360" w:lineRule="auto"/>
        <w:ind w:firstLine="360" w:firstLineChars="15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（6）投标文件格式</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请仔细检查招标文件是否齐全，如有缺漏请立即与</w:t>
      </w:r>
      <w:r>
        <w:rPr>
          <w:rFonts w:hint="eastAsia" w:ascii="Times New Roman" w:hAnsi="Times New Roman" w:cs="Times New Roman"/>
          <w:color w:val="auto"/>
          <w:sz w:val="24"/>
          <w:szCs w:val="24"/>
          <w:highlight w:val="none"/>
        </w:rPr>
        <w:t>招标</w:t>
      </w:r>
      <w:r>
        <w:rPr>
          <w:rFonts w:ascii="Times New Roman" w:hAnsi="Times New Roman" w:cs="Times New Roman"/>
          <w:color w:val="auto"/>
          <w:sz w:val="24"/>
          <w:szCs w:val="24"/>
          <w:highlight w:val="none"/>
        </w:rPr>
        <w:t>代理机构联系解决。</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7、招标文件的澄清</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任何要求对招标文件进行澄清的投标人，均应在投标截止期前十日前以书面形式通知采购人。</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8、招标文件的修改</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8.l在投标截止日期前，无论何种原因，采购人均可主动或在解答投标人提出的澄清问题时对招标文件进行修改。</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8.2招标文件的修改将在“</w:t>
      </w:r>
      <w:r>
        <w:rPr>
          <w:rFonts w:hint="eastAsia" w:ascii="Times New Roman" w:hAnsi="Times New Roman" w:cs="Times New Roman"/>
          <w:color w:val="auto"/>
          <w:sz w:val="24"/>
          <w:szCs w:val="24"/>
          <w:highlight w:val="none"/>
          <w:lang w:eastAsia="zh-CN"/>
        </w:rPr>
        <w:t>中国政府采购网</w:t>
      </w:r>
      <w:r>
        <w:rPr>
          <w:rFonts w:ascii="Times New Roman" w:hAnsi="Times New Roman" w:cs="Times New Roman"/>
          <w:color w:val="auto"/>
          <w:sz w:val="24"/>
          <w:szCs w:val="24"/>
          <w:highlight w:val="none"/>
        </w:rPr>
        <w:t>”网站上公布，并对所有投标人具有约束力。</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8.3为使投标人编写标书有充分时间对标书文件的修改部分进行分析、研究，采购人有权推迟投标截止日期和开标日期，并将此变更书面通知所有</w:t>
      </w:r>
      <w:r>
        <w:rPr>
          <w:rFonts w:hint="eastAsia" w:ascii="Times New Roman" w:hAnsi="Times New Roman" w:cs="Times New Roman"/>
          <w:color w:val="auto"/>
          <w:sz w:val="24"/>
          <w:szCs w:val="24"/>
          <w:highlight w:val="none"/>
        </w:rPr>
        <w:t>购买</w:t>
      </w:r>
      <w:r>
        <w:rPr>
          <w:rFonts w:ascii="Times New Roman" w:hAnsi="Times New Roman" w:cs="Times New Roman"/>
          <w:color w:val="auto"/>
          <w:sz w:val="24"/>
          <w:szCs w:val="24"/>
          <w:highlight w:val="none"/>
        </w:rPr>
        <w:t>招标文件的投标人。</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三、投标文件的编制</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9、投标语言及度量衡单位</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9.1投标人提供的投标文件以及投标人与采购人就有关投标的所有来往通知、函件和文件均使用</w:t>
      </w:r>
      <w:r>
        <w:rPr>
          <w:rFonts w:ascii="Times New Roman" w:hAnsi="Times New Roman" w:cs="Times New Roman"/>
          <w:b/>
          <w:color w:val="auto"/>
          <w:sz w:val="24"/>
          <w:szCs w:val="24"/>
          <w:highlight w:val="none"/>
        </w:rPr>
        <w:t>简体中文</w:t>
      </w:r>
      <w:r>
        <w:rPr>
          <w:rFonts w:ascii="Times New Roman" w:hAnsi="Times New Roman" w:cs="Times New Roman"/>
          <w:color w:val="auto"/>
          <w:sz w:val="24"/>
          <w:szCs w:val="24"/>
          <w:highlight w:val="none"/>
        </w:rPr>
        <w:t>。</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9.2除技术性能另有规定外，投标文件所使用的度量衡单位，均采用国家法定计量单位。</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10、投标文件的构成</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投标人编写的投标文件应包括下列部分：</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10.1投标文件目录；</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10.2投标函：须含投标人的开户名称、开户银行、账号、电话、传真、E-mail等联系方式；</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10.3投标人资格证明材料；</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（1）法人或者其他组织的营业执照等证明文件（复印件）；</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（2）相关资质证明材料（复印件）；</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（3）法人授权委托书（复印件）；</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（4）法定代表人的身份证复印件；</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（5）授权代表的身份证复印件（开标现场查验原件）；</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（6）具有</w:t>
      </w:r>
      <w:r>
        <w:rPr>
          <w:rFonts w:hint="eastAsia" w:ascii="Times New Roman" w:hAnsi="Times New Roman" w:cs="Times New Roman"/>
          <w:color w:val="auto"/>
          <w:sz w:val="24"/>
          <w:szCs w:val="24"/>
          <w:highlight w:val="none"/>
        </w:rPr>
        <w:t>项目必需的</w:t>
      </w:r>
      <w:r>
        <w:rPr>
          <w:rFonts w:ascii="Times New Roman" w:hAnsi="Times New Roman" w:cs="Times New Roman"/>
          <w:color w:val="auto"/>
          <w:sz w:val="24"/>
          <w:szCs w:val="24"/>
          <w:highlight w:val="none"/>
        </w:rPr>
        <w:t>技术条件或经营能力的书面声明；</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（7）无违法违规记录声明；</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（8）招标文件中的其他资格性要求（详见招标公告第</w:t>
      </w:r>
      <w:r>
        <w:rPr>
          <w:rFonts w:hint="eastAsia" w:ascii="Times New Roman" w:hAnsi="Times New Roman" w:cs="Times New Roman"/>
          <w:color w:val="auto"/>
          <w:sz w:val="24"/>
          <w:szCs w:val="24"/>
          <w:highlight w:val="none"/>
        </w:rPr>
        <w:t>二</w:t>
      </w:r>
      <w:r>
        <w:rPr>
          <w:rFonts w:ascii="Times New Roman" w:hAnsi="Times New Roman" w:cs="Times New Roman"/>
          <w:color w:val="auto"/>
          <w:sz w:val="24"/>
          <w:szCs w:val="24"/>
          <w:highlight w:val="none"/>
        </w:rPr>
        <w:t>条投标人资格要求）。</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上述文件均应加盖公章。</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10.4开标一览表：</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（1）投标人应按照招标文件中提供的格式完整、正确地填写开标一览表。</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投标人应采用分项报价最终汇总的方式进行，按照招标文件要求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（3）报价采取总承包方式，包括所投产品、安装调试、服务、运输、税金及其它有关的为完成本项目发生的所有费用，招标文件中另有规定的除外。国产设备以人民币报价。</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开标一览表中的价格应与投标文件中的报价表中价格一致，如不一致，评标时一律按开标一览表中价格为准。开标一览表必须盖章，加盖公章后的“开标一览表”除应装订在投标文件中，还必须单独（此份不放在投标文件内）装在小信封内于投标截止时间前与投标文件一起递交。</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（5）报价必须充分考虑所有可能影响到报价的价格因素，一旦投标结束最终成交，总价将包定，合同期内不予调整。如发生漏、缺、少项，都将被认为是中标人的报价让利行为。</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10.5投标人参照投标文件中技术条款对本项目所投产品的技术指标响应进行准确描述，并附《</w:t>
      </w:r>
      <w:r>
        <w:rPr>
          <w:rFonts w:hint="eastAsia" w:ascii="Times New Roman" w:hAnsi="Times New Roman" w:cs="Times New Roman"/>
          <w:color w:val="auto"/>
          <w:sz w:val="24"/>
          <w:szCs w:val="24"/>
          <w:highlight w:val="none"/>
          <w:lang w:eastAsia="zh-CN"/>
        </w:rPr>
        <w:t>技术要求响应及偏离表</w:t>
      </w:r>
      <w:r>
        <w:rPr>
          <w:rFonts w:ascii="Times New Roman" w:hAnsi="Times New Roman" w:cs="Times New Roman"/>
          <w:color w:val="auto"/>
          <w:sz w:val="24"/>
          <w:szCs w:val="24"/>
          <w:highlight w:val="none"/>
        </w:rPr>
        <w:t>》；定型产品须提供所投产品带有技术参数的产品说明书；加工定制及配套装置须提供所投产品的性能指标、实施方案，其中主要部件为定型产品的，则须提供与投标文件相一致的带有技术参数的产品说明书；</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10.6投标人按照投标文件中商务条款提供交货安装、工期保证等方案以及产品售后服务和质量承诺，并附《商务条款响应及偏离表》；</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10.7投标人的业绩情况；</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10.8投标人认为有必要提供的文件材料；</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10.9投标人应将投标文件按上述顺序分别装订成册。</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11、其它费用处理</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招标文件未列明，而投标单位认为必需的费用也需列入报价。</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12、投标保证金</w:t>
      </w:r>
    </w:p>
    <w:p>
      <w:pPr>
        <w:snapToGrid w:val="0"/>
        <w:spacing w:line="360" w:lineRule="auto"/>
        <w:ind w:firstLine="482" w:firstLineChars="200"/>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本次招标不收取投标保证金</w:t>
      </w:r>
      <w:r>
        <w:rPr>
          <w:rFonts w:hint="eastAsia" w:ascii="Times New Roman" w:hAnsi="Times New Roman" w:cs="Times New Roman"/>
          <w:b/>
          <w:color w:val="auto"/>
          <w:sz w:val="24"/>
          <w:szCs w:val="24"/>
          <w:highlight w:val="none"/>
        </w:rPr>
        <w:t>。</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13、投标有效期</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投标有效期为采购人规定的开标之日后九十</w:t>
      </w:r>
      <w:r>
        <w:rPr>
          <w:rFonts w:hint="eastAsia"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t>天内有效。如果采购人在有效期之内，可向投标人提出延长投标有效期的要求。要求与答复均应采用书面形式。</w:t>
      </w:r>
      <w:r>
        <w:rPr>
          <w:rFonts w:ascii="Times New Roman" w:hAnsi="Times New Roman" w:cs="Times New Roman"/>
          <w:bCs/>
          <w:snapToGrid w:val="0"/>
          <w:color w:val="auto"/>
          <w:kern w:val="21"/>
          <w:sz w:val="24"/>
          <w:szCs w:val="24"/>
          <w:highlight w:val="none"/>
        </w:rPr>
        <w:t>投标人可以拒绝采购人的这一要求而放弃投标，</w:t>
      </w:r>
      <w:r>
        <w:rPr>
          <w:rFonts w:ascii="Times New Roman" w:hAnsi="Times New Roman" w:cs="Times New Roman"/>
          <w:snapToGrid w:val="0"/>
          <w:color w:val="auto"/>
          <w:kern w:val="21"/>
          <w:sz w:val="24"/>
          <w:szCs w:val="24"/>
          <w:highlight w:val="none"/>
        </w:rPr>
        <w:t>采购人在接到投标人书面答复后，将在原投标有效期满后五日内</w:t>
      </w:r>
      <w:r>
        <w:rPr>
          <w:rFonts w:ascii="Times New Roman" w:hAnsi="Times New Roman" w:cs="Times New Roman"/>
          <w:bCs/>
          <w:snapToGrid w:val="0"/>
          <w:color w:val="auto"/>
          <w:kern w:val="21"/>
          <w:sz w:val="24"/>
          <w:szCs w:val="24"/>
          <w:highlight w:val="none"/>
        </w:rPr>
        <w:t>无息退还其投标保证金</w:t>
      </w:r>
      <w:r>
        <w:rPr>
          <w:rFonts w:ascii="Times New Roman" w:hAnsi="Times New Roman" w:cs="Times New Roman"/>
          <w:snapToGrid w:val="0"/>
          <w:color w:val="auto"/>
          <w:kern w:val="21"/>
          <w:sz w:val="24"/>
          <w:szCs w:val="24"/>
          <w:highlight w:val="none"/>
        </w:rPr>
        <w:t>。</w:t>
      </w:r>
      <w:r>
        <w:rPr>
          <w:rFonts w:ascii="Times New Roman" w:hAnsi="Times New Roman" w:cs="Times New Roman"/>
          <w:bCs/>
          <w:snapToGrid w:val="0"/>
          <w:color w:val="auto"/>
          <w:kern w:val="21"/>
          <w:sz w:val="24"/>
          <w:szCs w:val="24"/>
          <w:highlight w:val="none"/>
        </w:rPr>
        <w:t>同意延</w:t>
      </w:r>
      <w:r>
        <w:rPr>
          <w:rFonts w:ascii="Times New Roman" w:hAnsi="Times New Roman" w:cs="Times New Roman"/>
          <w:color w:val="auto"/>
          <w:sz w:val="24"/>
          <w:szCs w:val="24"/>
          <w:highlight w:val="none"/>
        </w:rPr>
        <w:t>长投标有效期的投标人既不能要求也不允许修改其投标文件。第12条有关投标保证金的没收和退还的规定在延长期内继续有效，同时受投标有效期约束的所有权利与义务均延长至新的有效期。</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14、投标文件份数和签署</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14.l投标文件一式</w:t>
      </w:r>
      <w:r>
        <w:rPr>
          <w:rFonts w:hint="eastAsia" w:ascii="Times New Roman" w:hAnsi="Times New Roman" w:cs="Times New Roman"/>
          <w:color w:val="auto"/>
          <w:sz w:val="24"/>
          <w:szCs w:val="24"/>
          <w:highlight w:val="none"/>
        </w:rPr>
        <w:t>五</w:t>
      </w:r>
      <w:r>
        <w:rPr>
          <w:rFonts w:ascii="Times New Roman" w:hAnsi="Times New Roman" w:cs="Times New Roman"/>
          <w:color w:val="auto"/>
          <w:sz w:val="24"/>
          <w:szCs w:val="24"/>
          <w:highlight w:val="none"/>
        </w:rPr>
        <w:t>份(正本一份，副本</w:t>
      </w:r>
      <w:r>
        <w:rPr>
          <w:rFonts w:hint="eastAsia" w:ascii="Times New Roman" w:hAnsi="Times New Roman" w:cs="Times New Roman"/>
          <w:color w:val="auto"/>
          <w:sz w:val="24"/>
          <w:szCs w:val="24"/>
          <w:highlight w:val="none"/>
        </w:rPr>
        <w:t>四</w:t>
      </w:r>
      <w:r>
        <w:rPr>
          <w:rFonts w:ascii="Times New Roman" w:hAnsi="Times New Roman" w:cs="Times New Roman"/>
          <w:color w:val="auto"/>
          <w:sz w:val="24"/>
          <w:szCs w:val="24"/>
          <w:highlight w:val="none"/>
        </w:rPr>
        <w:t>份)。一旦正本和副本不符，以正本为准。另外提供投标文件电子版一份（PDF格式，可将完成盖章和签字的纸质版投标文件进行彩色扫描，拷贝到U盘中，跟投标文件一起密封提交）。</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14.2投标文件中法定代表人或其授权代表签字。授权代表须将法人代表人以书面形式出具法人代表授权书</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原件</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附在投标文件中。</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14.3除投标人对错处做必要修改时，投标文件不得行间插字、涂改或增删。如有修改错漏处，必须由投标文件签署人签字并加盖公章。</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四、投标文件的递交</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15、投标文件的密封和标记</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15.1</w:t>
      </w:r>
      <w:r>
        <w:rPr>
          <w:rFonts w:ascii="Times New Roman" w:hAnsi="Times New Roman" w:cs="Times New Roman"/>
          <w:b/>
          <w:i/>
          <w:color w:val="auto"/>
          <w:sz w:val="24"/>
          <w:szCs w:val="24"/>
          <w:highlight w:val="none"/>
        </w:rPr>
        <w:t>投标人应将投标文件密封，封口处要贴封签并加盖投标单位公章。</w:t>
      </w:r>
      <w:r>
        <w:rPr>
          <w:rFonts w:ascii="Times New Roman" w:hAnsi="Times New Roman" w:cs="Times New Roman"/>
          <w:color w:val="auto"/>
          <w:sz w:val="24"/>
          <w:szCs w:val="24"/>
          <w:highlight w:val="none"/>
        </w:rPr>
        <w:t>不论投标人中标与否，投标文件均不退回。</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15.2文件袋上应注明投标项目名称、正、副本、投标单位、授权代表姓名及联系方式。如因标注不清而产生的后果由投标人自负。</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15.3</w:t>
      </w:r>
      <w:r>
        <w:rPr>
          <w:rFonts w:ascii="Times New Roman" w:hAnsi="Times New Roman" w:cs="Times New Roman"/>
          <w:bCs/>
          <w:color w:val="auto"/>
          <w:sz w:val="24"/>
          <w:szCs w:val="24"/>
          <w:highlight w:val="none"/>
        </w:rPr>
        <w:t>未按要求密封和加写标记，采购人对误投或过早启封概不负责。对由此造成提前开封的投标文件，采购人将予以拒绝，作无效投标处理。</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16、投标截止日期</w:t>
      </w:r>
    </w:p>
    <w:p>
      <w:pPr>
        <w:snapToGrid w:val="0"/>
        <w:spacing w:line="360" w:lineRule="auto"/>
        <w:ind w:firstLine="480" w:firstLineChars="200"/>
        <w:rPr>
          <w:rFonts w:ascii="Times New Roman" w:hAnsi="Times New Roman" w:cs="Times New Roman"/>
          <w:bCs/>
          <w:color w:val="auto"/>
          <w:sz w:val="24"/>
          <w:szCs w:val="24"/>
          <w:highlight w:val="none"/>
        </w:rPr>
      </w:pPr>
      <w:r>
        <w:rPr>
          <w:rFonts w:ascii="Times New Roman" w:hAnsi="Times New Roman" w:cs="Times New Roman"/>
          <w:color w:val="auto"/>
          <w:sz w:val="24"/>
          <w:szCs w:val="24"/>
          <w:highlight w:val="none"/>
        </w:rPr>
        <w:t>16.1</w:t>
      </w:r>
      <w:r>
        <w:rPr>
          <w:rFonts w:ascii="Times New Roman" w:hAnsi="Times New Roman" w:cs="Times New Roman"/>
          <w:bCs/>
          <w:color w:val="auto"/>
          <w:sz w:val="24"/>
          <w:szCs w:val="24"/>
          <w:highlight w:val="none"/>
        </w:rPr>
        <w:t xml:space="preserve"> 采购人收到投标文件的时间不得迟于招标公告中规定的截止时间。</w:t>
      </w:r>
    </w:p>
    <w:p>
      <w:pPr>
        <w:snapToGrid w:val="0"/>
        <w:spacing w:line="360" w:lineRule="auto"/>
        <w:ind w:firstLine="480" w:firstLineChars="200"/>
        <w:rPr>
          <w:rFonts w:ascii="Times New Roman" w:hAnsi="Times New Roman" w:cs="Times New Roman"/>
          <w:bCs/>
          <w:color w:val="auto"/>
          <w:sz w:val="24"/>
          <w:szCs w:val="24"/>
          <w:highlight w:val="none"/>
        </w:rPr>
      </w:pPr>
      <w:r>
        <w:rPr>
          <w:rFonts w:ascii="Times New Roman" w:hAnsi="Times New Roman" w:cs="Times New Roman"/>
          <w:color w:val="auto"/>
          <w:sz w:val="24"/>
          <w:szCs w:val="24"/>
          <w:highlight w:val="none"/>
        </w:rPr>
        <w:t>16.2</w:t>
      </w:r>
      <w:r>
        <w:rPr>
          <w:rFonts w:ascii="Times New Roman" w:hAnsi="Times New Roman" w:cs="Times New Roman"/>
          <w:bCs/>
          <w:color w:val="auto"/>
          <w:sz w:val="24"/>
          <w:szCs w:val="24"/>
          <w:highlight w:val="none"/>
        </w:rPr>
        <w:t xml:space="preserve"> 采购人可以按照规定，通过修改招标文件有权酌情延长投标截止日期，在此情况下，投标人的所有权利和义务以及投标人受制的截止日期均应以延长后新的截止日期为准。</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17、迟交的投标文件</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迟交的投标文件将被拒收并原封退回。</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18、投标文件的修改和撤回</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18.1投标人在递交投标书后，在规定的投标截止日期前可以修改或撤回其投标文件。修改文件必须在投标截止时间前送达。</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18.2投标截止日期后不可对其投标文件作任何修改或撤回，否则其投标保证金将被没收。</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五、开标与评标</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19、开标</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19.l采购人将在招标文件中规定的时间和地址组织公开开标。投标人法人代表或授权代表须携本人身份证原件参加，如有必要可以让投标人有一定时间的陈述，或</w:t>
      </w:r>
      <w:r>
        <w:rPr>
          <w:rFonts w:hint="eastAsia" w:ascii="Times New Roman" w:hAnsi="Times New Roman" w:cs="Times New Roman"/>
          <w:color w:val="auto"/>
          <w:sz w:val="24"/>
          <w:szCs w:val="24"/>
          <w:highlight w:val="none"/>
        </w:rPr>
        <w:t>接受</w:t>
      </w:r>
      <w:r>
        <w:rPr>
          <w:rFonts w:ascii="Times New Roman" w:hAnsi="Times New Roman" w:cs="Times New Roman"/>
          <w:color w:val="auto"/>
          <w:sz w:val="24"/>
          <w:szCs w:val="24"/>
          <w:highlight w:val="none"/>
        </w:rPr>
        <w:t>评标工作组成员的提问后退场。</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19.2开标时请投标人授权代表查验投标文件密封情况，确认无误后，采购人当众拆封宣读每份投标文件中“开标一览表”的各项内容，未列入开标一览表的内容一律不在开标时宣读。开标时未宣读的投标报价信息，不得在评标时采用。采购人将指定专人负责开标记录并存档备查，各投标人需仔细核对开标记录相关内容并签字确认。</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20、评标过程的保密与公正</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20.l公开开标后，直至通知投标人中标为止，凡是与审查、澄清、评价和比较投标的有关资料，均不得向投标人或与评标无关的人员透露。</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20.2投标人试图影响评标或授予合同方面的任何尝试，可能导致该投标人的标被废弃。</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21、投标的澄清</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21.1评标期间，为</w:t>
      </w:r>
      <w:r>
        <w:rPr>
          <w:rFonts w:hint="eastAsia" w:ascii="Times New Roman" w:hAnsi="Times New Roman" w:cs="Times New Roman"/>
          <w:color w:val="auto"/>
          <w:sz w:val="24"/>
          <w:szCs w:val="24"/>
          <w:highlight w:val="none"/>
        </w:rPr>
        <w:t>有助于</w:t>
      </w:r>
      <w:r>
        <w:rPr>
          <w:rFonts w:ascii="Times New Roman" w:hAnsi="Times New Roman" w:cs="Times New Roman"/>
          <w:color w:val="auto"/>
          <w:sz w:val="24"/>
          <w:szCs w:val="24"/>
          <w:highlight w:val="none"/>
        </w:rPr>
        <w:t>投标文件的审查、评价和比较，评标工作组有权要求投标人对其投标文件进行澄清，但并非对每个投标人都作澄清要求。</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21.2接到澄清要求的投标人应派人按要求做出澄清，书面澄清的内容须由投标人法定代表人或授权代表签署，并作为投标文件的补充部分，但投标的价格和实质性的内容不得做任何更改。</w:t>
      </w:r>
    </w:p>
    <w:p>
      <w:pPr>
        <w:snapToGrid w:val="0"/>
        <w:spacing w:line="36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21.3接到澄清要求的投标人如未按规定做出澄清，其风险由投标人自行承担。</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22、对投标文件的初审</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22.1投标文件初审分为资格性检查和符合性检查。</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资格性检查：依据法律法规和招标文件的规定，由采购人对投标文件中的资格证明文件进行审查。资格审查的结论，采购人以书面形式向评标工作组进行反馈。</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符合性检查：依据招标文件的规定，由评标工作组从投标文件的有效性、完整性和对招标文件的响应程度进行审查，以确定是否对招标文件的实质性要求作出响应。</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22.2在详细评标之前，评标工作组将首先审查每份投标文件是否实质性响应了招标文件的要求。实质性响应的投标应该是与招标文件要求的全部条款、条件和规格相符，没有重大偏离或保留的投标。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所谓重大偏离或保留是指与招标文件规定的实质性要求存在负偏离，或者在实质上与招标文件不一致，而且限制了合同中甲方和见证方的权利或投标人的义务，纠正这些偏离或保留将会对其他实质性响应要求的投标人的竞争地位产生不公正的影响。重大偏离的认定需经过评标工作组三分</w:t>
      </w:r>
      <w:r>
        <w:rPr>
          <w:rFonts w:hint="eastAsia" w:ascii="Times New Roman" w:hAnsi="Times New Roman" w:cs="Times New Roman"/>
          <w:color w:val="auto"/>
          <w:sz w:val="24"/>
          <w:szCs w:val="24"/>
          <w:highlight w:val="none"/>
        </w:rPr>
        <w:t>之</w:t>
      </w:r>
      <w:r>
        <w:rPr>
          <w:rFonts w:ascii="Times New Roman" w:hAnsi="Times New Roman" w:cs="Times New Roman"/>
          <w:color w:val="auto"/>
          <w:sz w:val="24"/>
          <w:szCs w:val="24"/>
          <w:highlight w:val="none"/>
        </w:rPr>
        <w:t>二及以上成员的认定。评委决定投标文件的响应性只根据投标文件本身的内容，而不寻求外部的证据。</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22.3如果投标文件实质上没有响应招标文件的要求，评标工作组将予以拒绝，投标人不得通过修改或撤销不合要求的偏离或保留而使其投标成为实质性响应的投标。</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22.4评标工作组将对确定为实质性响应的投标进行进一步审核，看其是否有计算上或累加上的算术错误，修正错误的原则如下：</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w:t>
      </w:r>
      <w:r>
        <w:rPr>
          <w:rFonts w:ascii="Times New Roman" w:hAnsi="Times New Roman" w:cs="Times New Roman"/>
          <w:color w:val="auto"/>
          <w:sz w:val="24"/>
          <w:szCs w:val="24"/>
          <w:highlight w:val="none"/>
        </w:rPr>
        <w:t>如果用数字表示的金额和用文字表示的金额不一致时，应以文字表示的金额为准进行修正；</w:t>
      </w:r>
    </w:p>
    <w:p>
      <w:pPr>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w:t>
      </w:r>
      <w:r>
        <w:rPr>
          <w:rFonts w:ascii="Times New Roman" w:hAnsi="Times New Roman" w:cs="Times New Roman"/>
          <w:color w:val="auto"/>
          <w:sz w:val="24"/>
          <w:szCs w:val="24"/>
          <w:highlight w:val="none"/>
        </w:rPr>
        <w:t>当单价与数量的乘积和总价不一致时，以单价为准进行修正。只有在评标工作组认为单价有明显的小数点错误时，才能以标出的总价为准，并修改单价。</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22.5评标工作组将按上述修正错误的方法调整投标文件中的投标报价，调整后的价格应对投标人具有约束力。如果投标人不接受修正后的价格，则其投标将被拒绝，其投标保证金不予退还。</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22.6评标工作组将允许修正投标文件中不构成重大偏离的、微小的、非正规的、不一致的或不规则的地方，但这些修改不能影响任何投标人相应的名次排列。</w:t>
      </w:r>
    </w:p>
    <w:p>
      <w:pPr>
        <w:shd w:val="clear" w:color="auto" w:fill="FFFFFF"/>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23、无效投标条款和废标条款</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23.1无效投标条款：</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（1）未按要求</w:t>
      </w:r>
      <w:r>
        <w:rPr>
          <w:rFonts w:hint="eastAsia" w:ascii="Times New Roman" w:hAnsi="Times New Roman" w:cs="Times New Roman"/>
          <w:color w:val="auto"/>
          <w:sz w:val="24"/>
          <w:szCs w:val="24"/>
          <w:highlight w:val="none"/>
        </w:rPr>
        <w:t>缴纳</w:t>
      </w:r>
      <w:r>
        <w:rPr>
          <w:rFonts w:ascii="Times New Roman" w:hAnsi="Times New Roman" w:cs="Times New Roman"/>
          <w:color w:val="auto"/>
          <w:sz w:val="24"/>
          <w:szCs w:val="24"/>
          <w:highlight w:val="none"/>
        </w:rPr>
        <w:t>投标保证金的；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（2）未按照招标文件规定要求密封、签署、盖章的；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（3）投标人在报价时采用选择性报价的；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（4）投标人不具备招标文件中规</w:t>
      </w:r>
      <w:r>
        <w:rPr>
          <w:rFonts w:hint="eastAsia" w:ascii="Times New Roman" w:hAnsi="Times New Roman" w:cs="Times New Roman"/>
          <w:color w:val="auto"/>
          <w:sz w:val="24"/>
          <w:szCs w:val="24"/>
          <w:highlight w:val="none"/>
        </w:rPr>
        <w:t>定的</w:t>
      </w:r>
      <w:r>
        <w:rPr>
          <w:rFonts w:ascii="Times New Roman" w:hAnsi="Times New Roman" w:cs="Times New Roman"/>
          <w:color w:val="auto"/>
          <w:sz w:val="24"/>
          <w:szCs w:val="24"/>
          <w:highlight w:val="none"/>
        </w:rPr>
        <w:t>资格要求的；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（5）投标人的报价超过了采购预算或最高限价的；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（6）未通过符合性检查的；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（7）不符合招标文件中规定的其他实质性要求和条件的；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（8）投标文件含有采购人不能接受的附加条件的；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（9）评标工作组认为投标人的报价明显低于其他通过符合性审</w:t>
      </w:r>
      <w:r>
        <w:rPr>
          <w:rFonts w:hint="eastAsia" w:ascii="Times New Roman" w:hAnsi="Times New Roman" w:cs="Times New Roman"/>
          <w:color w:val="auto"/>
          <w:sz w:val="24"/>
          <w:szCs w:val="24"/>
          <w:highlight w:val="none"/>
        </w:rPr>
        <w:t>查的</w:t>
      </w:r>
      <w:r>
        <w:rPr>
          <w:rFonts w:ascii="Times New Roman" w:hAnsi="Times New Roman" w:cs="Times New Roman"/>
          <w:color w:val="auto"/>
          <w:sz w:val="24"/>
          <w:szCs w:val="24"/>
          <w:highlight w:val="none"/>
        </w:rPr>
        <w:t>投标人的报价，有可能影响产品质量或者不能诚信履约的，应当要求其在评标现场合理的时间内提供书面说明，必要时提交相关证明材料；投标人不能证明其报价合理性的，评标工作组应当将其作为无效投标处理。</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w:t>
      </w:r>
      <w:r>
        <w:rPr>
          <w:rFonts w:ascii="Times New Roman" w:hAnsi="Times New Roman" w:cs="Times New Roman"/>
          <w:bCs/>
          <w:color w:val="auto"/>
          <w:sz w:val="24"/>
          <w:szCs w:val="24"/>
          <w:highlight w:val="none"/>
        </w:rPr>
        <w:t>其他法律、法规及本招标文件规定的属</w:t>
      </w:r>
      <w:r>
        <w:rPr>
          <w:rFonts w:hint="eastAsia" w:ascii="Times New Roman" w:hAnsi="Times New Roman" w:cs="Times New Roman"/>
          <w:bCs/>
          <w:color w:val="auto"/>
          <w:sz w:val="24"/>
          <w:szCs w:val="24"/>
          <w:highlight w:val="none"/>
        </w:rPr>
        <w:t>于</w:t>
      </w:r>
      <w:r>
        <w:rPr>
          <w:rFonts w:ascii="Times New Roman" w:hAnsi="Times New Roman" w:cs="Times New Roman"/>
          <w:bCs/>
          <w:color w:val="auto"/>
          <w:sz w:val="24"/>
          <w:szCs w:val="24"/>
          <w:highlight w:val="none"/>
        </w:rPr>
        <w:t>无效投标的情形。</w:t>
      </w:r>
    </w:p>
    <w:p>
      <w:pPr>
        <w:snapToGrid w:val="0"/>
        <w:spacing w:line="360" w:lineRule="auto"/>
        <w:ind w:left="479" w:leftChars="228"/>
        <w:rPr>
          <w:rFonts w:ascii="Times New Roman" w:hAnsi="Times New Roman" w:cs="Times New Roman"/>
          <w:bCs/>
          <w:color w:val="auto"/>
          <w:sz w:val="24"/>
          <w:szCs w:val="24"/>
          <w:highlight w:val="none"/>
        </w:rPr>
      </w:pPr>
      <w:r>
        <w:rPr>
          <w:rFonts w:ascii="Times New Roman" w:hAnsi="Times New Roman" w:cs="Times New Roman"/>
          <w:color w:val="auto"/>
          <w:sz w:val="24"/>
          <w:szCs w:val="24"/>
          <w:highlight w:val="none"/>
        </w:rPr>
        <w:t>23.2</w:t>
      </w:r>
      <w:r>
        <w:rPr>
          <w:rFonts w:ascii="Times New Roman" w:hAnsi="Times New Roman" w:cs="Times New Roman"/>
          <w:bCs/>
          <w:color w:val="auto"/>
          <w:sz w:val="24"/>
          <w:szCs w:val="24"/>
          <w:highlight w:val="none"/>
        </w:rPr>
        <w:t>废标条款：</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（1）符合专业条件的供应商或者对招标文件作实质响应的投标人不足三家的；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（2）出现影响采购公正的违法、违规行为的；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（3）因重大变故，采购任务取消的；</w:t>
      </w:r>
    </w:p>
    <w:p>
      <w:pPr>
        <w:snapToGrid w:val="0"/>
        <w:spacing w:line="360" w:lineRule="auto"/>
        <w:ind w:left="479" w:leftChars="228"/>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（4）</w:t>
      </w:r>
      <w:r>
        <w:rPr>
          <w:rFonts w:ascii="Times New Roman" w:hAnsi="Times New Roman" w:cs="Times New Roman"/>
          <w:color w:val="auto"/>
          <w:sz w:val="24"/>
          <w:szCs w:val="24"/>
          <w:highlight w:val="none"/>
        </w:rPr>
        <w:t>评标</w:t>
      </w:r>
      <w:r>
        <w:rPr>
          <w:rFonts w:hint="eastAsia" w:ascii="Times New Roman" w:hAnsi="Times New Roman" w:cs="Times New Roman"/>
          <w:bCs/>
          <w:color w:val="auto"/>
          <w:sz w:val="24"/>
          <w:szCs w:val="24"/>
          <w:highlight w:val="none"/>
        </w:rPr>
        <w:t>工作组</w:t>
      </w:r>
      <w:r>
        <w:rPr>
          <w:rFonts w:ascii="Times New Roman" w:hAnsi="Times New Roman" w:cs="Times New Roman"/>
          <w:bCs/>
          <w:color w:val="auto"/>
          <w:sz w:val="24"/>
          <w:szCs w:val="24"/>
          <w:highlight w:val="none"/>
        </w:rPr>
        <w:t>认定招标文件存在歧义、重大缺陷导致评审工作无法进行。</w:t>
      </w:r>
    </w:p>
    <w:p>
      <w:pPr>
        <w:pStyle w:val="2"/>
        <w:ind w:firstLine="480" w:firstLineChars="200"/>
        <w:rPr>
          <w:color w:val="auto"/>
          <w:highlight w:val="none"/>
        </w:rPr>
      </w:pPr>
      <w:r>
        <w:rPr>
          <w:rFonts w:hint="eastAsia" w:ascii="Times New Roman" w:hAnsi="Times New Roman" w:cs="Times New Roman"/>
          <w:bCs/>
          <w:color w:val="auto"/>
          <w:sz w:val="24"/>
          <w:szCs w:val="24"/>
          <w:highlight w:val="none"/>
        </w:rPr>
        <w:t>（5）评标工作组认定投标文件未实质性响应招标文件要求的。</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六、定标</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24、确定中标单位</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24.1评标工作组首先对所有合格投标人按评标办法进行打分，根据综合得分，由高到低排列，向采购人推荐中标候选人。</w:t>
      </w:r>
      <w:r>
        <w:rPr>
          <w:rFonts w:ascii="Times New Roman" w:hAnsi="Times New Roman" w:cs="Times New Roman"/>
          <w:bCs/>
          <w:snapToGrid w:val="0"/>
          <w:color w:val="auto"/>
          <w:kern w:val="21"/>
          <w:sz w:val="24"/>
          <w:szCs w:val="24"/>
          <w:highlight w:val="none"/>
        </w:rPr>
        <w:t>采购人应根据</w:t>
      </w:r>
      <w:r>
        <w:rPr>
          <w:rFonts w:ascii="Times New Roman" w:hAnsi="Times New Roman" w:cs="Times New Roman"/>
          <w:color w:val="auto"/>
          <w:sz w:val="24"/>
          <w:szCs w:val="24"/>
          <w:highlight w:val="none"/>
        </w:rPr>
        <w:t>评标工作组</w:t>
      </w:r>
      <w:r>
        <w:rPr>
          <w:rFonts w:ascii="Times New Roman" w:hAnsi="Times New Roman" w:cs="Times New Roman"/>
          <w:bCs/>
          <w:snapToGrid w:val="0"/>
          <w:color w:val="auto"/>
          <w:kern w:val="21"/>
          <w:sz w:val="24"/>
          <w:szCs w:val="24"/>
          <w:highlight w:val="none"/>
        </w:rPr>
        <w:t>推荐的中标候选人确定中标人</w:t>
      </w:r>
      <w:r>
        <w:rPr>
          <w:rFonts w:ascii="Times New Roman" w:hAnsi="Times New Roman" w:cs="Times New Roman"/>
          <w:color w:val="auto"/>
          <w:sz w:val="24"/>
          <w:szCs w:val="24"/>
          <w:highlight w:val="none"/>
        </w:rPr>
        <w:t>。</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24.2中标人名单将在“</w:t>
      </w:r>
      <w:r>
        <w:rPr>
          <w:rFonts w:hint="eastAsia" w:ascii="Times New Roman" w:hAnsi="Times New Roman" w:cs="Times New Roman"/>
          <w:color w:val="auto"/>
          <w:sz w:val="24"/>
          <w:szCs w:val="24"/>
          <w:highlight w:val="none"/>
          <w:lang w:eastAsia="zh-CN"/>
        </w:rPr>
        <w:t>中国政府采购网</w:t>
      </w:r>
      <w:r>
        <w:rPr>
          <w:rFonts w:ascii="Times New Roman" w:hAnsi="Times New Roman" w:cs="Times New Roman"/>
          <w:color w:val="auto"/>
          <w:sz w:val="24"/>
          <w:szCs w:val="24"/>
          <w:highlight w:val="none"/>
        </w:rPr>
        <w:t>”上进行公示。</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24.3若有充分证据证明，中标人出现下列情况之一的，一经查实，将被取消中标资格：</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（1）提供虚假材料谋取中标的；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（2）与评审专家、采购人或者其他供应商恶意串通的；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（3）向评审专家、采购人行贿或者提供其它不正当利益的；</w:t>
      </w:r>
    </w:p>
    <w:p>
      <w:pPr>
        <w:snapToGrid w:val="0"/>
        <w:spacing w:line="360" w:lineRule="auto"/>
        <w:ind w:left="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（4）恶意竞争，投标总报价明显低于其自身合理成本且又无法提供证明的；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（5）不满足本招标文件规定的实质性要求，但在评标过程中又未被评标工作组发现的；</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（6）不符合法律、法规的规定的其它情形。</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24.4有下列情形之一的，视为投标人串通投标，投标无效：</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（1）不同投标人的投标文件由同一单位或者个人编制。</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（2）不同投标人委托同一单位或者个人办理投标事宜。</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（3）不同投标人的投标文件载明的项目管理成员或者联系人员为同一人。</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（4）不同投标人的投标文件异常一致或者投标报价呈规律性差异。</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（5）不同投标人的投标文件相互混装。</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（6）不同投标人的投标保证金从同一单位或者个人的账户转出。</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25、质疑处理</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25.1参加投标供应商认为招标文件、采购过程和采购结果使自己的权益受到损害的，可以在知道或应知其权益受到损害之日起7个工作日内，以书面形式向采购人提出质疑。</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（1）对可以质疑的招标文件提出质疑的，为收到招标文件之日或者招标文件公告期限届满之日；</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（2）对采购过程提出质疑的，为各采购程序环节结束之日；</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（3）对中标或者成交结果提出质疑的，为中标或者成交结果公告期限届满之日。</w:t>
      </w:r>
    </w:p>
    <w:p>
      <w:pPr>
        <w:snapToGrid w:val="0"/>
        <w:spacing w:line="360" w:lineRule="auto"/>
        <w:ind w:firstLine="472" w:firstLineChars="197"/>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25.2质疑必须以参加投标供应商法人代表或授权代表（投标文件中所确定的）送达的方式提交，未按上述要求提交的质疑函（含传真、电子邮件等）采购人有权不予受理。</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25.3未参加投标的供应商或在投标活动中本身权益未受到损害或从投标活动中受益的供应商所提出的质疑也不予受理。</w:t>
      </w:r>
    </w:p>
    <w:p>
      <w:pPr>
        <w:snapToGrid w:val="0"/>
        <w:spacing w:line="360" w:lineRule="auto"/>
        <w:ind w:firstLine="468" w:firstLineChars="19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25.4投标人提出书面质疑必须有理、有据，不得恶意质疑或提交虚假质疑。否则，采购人将不予受理。</w:t>
      </w:r>
    </w:p>
    <w:p>
      <w:pPr>
        <w:snapToGrid w:val="0"/>
        <w:spacing w:line="360" w:lineRule="auto"/>
        <w:ind w:firstLine="468" w:firstLineChars="19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25.5采购人将在收到投标供应商的书面质疑后在规定时间内作出答复，但答复的内容不得涉及商业秘密。</w:t>
      </w:r>
    </w:p>
    <w:p>
      <w:pPr>
        <w:snapToGrid w:val="0"/>
        <w:spacing w:line="360" w:lineRule="auto"/>
        <w:ind w:firstLine="470" w:firstLineChars="195"/>
        <w:rPr>
          <w:rFonts w:ascii="Times New Roman" w:hAnsi="Times New Roman" w:cs="Times New Roman"/>
          <w:color w:val="auto"/>
          <w:sz w:val="24"/>
          <w:szCs w:val="24"/>
          <w:highlight w:val="none"/>
        </w:rPr>
      </w:pPr>
      <w:r>
        <w:rPr>
          <w:rFonts w:ascii="Times New Roman" w:hAnsi="Times New Roman" w:cs="Times New Roman"/>
          <w:b/>
          <w:color w:val="auto"/>
          <w:sz w:val="24"/>
          <w:szCs w:val="24"/>
          <w:highlight w:val="none"/>
        </w:rPr>
        <w:t>26、中标通知书</w:t>
      </w:r>
    </w:p>
    <w:p>
      <w:pPr>
        <w:snapToGrid w:val="0"/>
        <w:spacing w:line="360" w:lineRule="auto"/>
        <w:ind w:firstLine="468" w:firstLineChars="19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26.l中标结果质疑期满后，采购人将向中标供应商发出中标通知书。</w:t>
      </w:r>
    </w:p>
    <w:p>
      <w:pPr>
        <w:snapToGrid w:val="0"/>
        <w:spacing w:line="360" w:lineRule="auto"/>
        <w:ind w:firstLine="468" w:firstLineChars="19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26.2中标人收到中标通知书后，须立即以书面形式回复采购人，确认中标通知书已收到。若无书面回复，则公告后视同中标人已经知悉并同意接受。</w:t>
      </w:r>
    </w:p>
    <w:p>
      <w:pPr>
        <w:snapToGrid w:val="0"/>
        <w:spacing w:line="360" w:lineRule="auto"/>
        <w:ind w:firstLine="468" w:firstLineChars="19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26.3中标通知书将是合同的一个组成部分。对采购人和中标供应商均具有法律效力。中标通知书发出后，采购人改变中标结果的，或者中标供应商放弃中标项目的，应当依法承担法律责任。</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七、授予合同</w:t>
      </w:r>
    </w:p>
    <w:p>
      <w:pPr>
        <w:snapToGrid w:val="0"/>
        <w:spacing w:line="360" w:lineRule="auto"/>
        <w:ind w:firstLine="482" w:firstLineChars="200"/>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27、签订合同</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27.1中标人在</w:t>
      </w:r>
      <w:r>
        <w:rPr>
          <w:rFonts w:ascii="Times New Roman" w:hAnsi="Times New Roman" w:cs="Times New Roman"/>
          <w:snapToGrid w:val="0"/>
          <w:color w:val="auto"/>
          <w:kern w:val="21"/>
          <w:sz w:val="24"/>
          <w:szCs w:val="24"/>
          <w:highlight w:val="none"/>
        </w:rPr>
        <w:t>中标通知书发出之日</w:t>
      </w:r>
      <w:r>
        <w:rPr>
          <w:rFonts w:ascii="Times New Roman" w:hAnsi="Times New Roman" w:cs="Times New Roman"/>
          <w:color w:val="auto"/>
          <w:sz w:val="24"/>
          <w:szCs w:val="24"/>
          <w:highlight w:val="none"/>
        </w:rPr>
        <w:t>起30日内派代表前来与采购人具体商谈签订合同，若因中标人延误签订合同并由此给采购人造成损失的，中标人应承担赔偿责任。</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27.2招标文件、中标人的投标文件及澄清文件等，均为签订合同的依据。</w:t>
      </w:r>
    </w:p>
    <w:p>
      <w:pPr>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27.3签订合同后，中标人不得将相关服务进行全部或部分转包。未经采购人同意，中标人也不得采用分包的形式履行合同，否则采购人有权终止合同，中标人的履约保证金将不予退还。转包或分包造成采购人损失的，中标人应承担相应赔偿责任。</w:t>
      </w:r>
    </w:p>
    <w:p>
      <w:pPr>
        <w:pStyle w:val="2"/>
        <w:ind w:firstLine="241" w:firstLineChars="1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八、其他</w:t>
      </w:r>
    </w:p>
    <w:p>
      <w:pPr>
        <w:snapToGrid w:val="0"/>
        <w:spacing w:line="360" w:lineRule="auto"/>
        <w:ind w:firstLine="482" w:firstLineChars="200"/>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28、踏勘现场</w:t>
      </w:r>
    </w:p>
    <w:p>
      <w:pPr>
        <w:widowControl/>
        <w:spacing w:line="360" w:lineRule="auto"/>
        <w:ind w:firstLine="480" w:firstLineChars="200"/>
        <w:jc w:val="left"/>
        <w:rPr>
          <w:rFonts w:ascii="Times New Roman" w:hAnsi="Times New Roman" w:eastAsia="宋体" w:cs="Times New Roman"/>
          <w:color w:val="auto"/>
          <w:sz w:val="24"/>
          <w:szCs w:val="28"/>
          <w:highlight w:val="none"/>
        </w:rPr>
      </w:pPr>
      <w:r>
        <w:rPr>
          <w:rFonts w:hint="eastAsia" w:ascii="Times New Roman" w:hAnsi="Times New Roman" w:eastAsia="宋体" w:cs="Times New Roman"/>
          <w:color w:val="auto"/>
          <w:sz w:val="24"/>
          <w:szCs w:val="28"/>
          <w:highlight w:val="none"/>
        </w:rPr>
        <w:t>28.1招标人不组织投标人踏勘现场。</w:t>
      </w:r>
    </w:p>
    <w:p>
      <w:pPr>
        <w:widowControl/>
        <w:spacing w:line="360" w:lineRule="auto"/>
        <w:ind w:firstLine="420" w:firstLineChars="200"/>
        <w:jc w:val="left"/>
        <w:rPr>
          <w:rFonts w:ascii="Times New Roman" w:hAnsi="Times New Roman" w:eastAsia="宋体" w:cs="Times New Roman"/>
          <w:color w:val="auto"/>
          <w:highlight w:val="none"/>
        </w:rPr>
      </w:pPr>
    </w:p>
    <w:p>
      <w:pPr>
        <w:widowControl/>
        <w:spacing w:line="360" w:lineRule="auto"/>
        <w:jc w:val="left"/>
        <w:rPr>
          <w:rFonts w:ascii="Times New Roman" w:hAnsi="Times New Roman" w:eastAsia="宋体" w:cs="Times New Roman"/>
          <w:color w:val="auto"/>
          <w:highlight w:val="none"/>
        </w:rPr>
      </w:pPr>
    </w:p>
    <w:p>
      <w:pPr>
        <w:widowControl/>
        <w:jc w:val="left"/>
        <w:rPr>
          <w:rFonts w:ascii="黑体" w:hAnsi="黑体" w:eastAsia="黑体" w:cs="黑体"/>
          <w:color w:val="auto"/>
          <w:kern w:val="44"/>
          <w:sz w:val="36"/>
          <w:szCs w:val="36"/>
          <w:highlight w:val="none"/>
          <w:u w:color="000000"/>
          <w:lang w:val="zh-TW" w:eastAsia="zh-TW"/>
        </w:rPr>
      </w:pPr>
      <w:r>
        <w:rPr>
          <w:rFonts w:ascii="黑体" w:hAnsi="黑体" w:eastAsia="黑体" w:cs="黑体"/>
          <w:color w:val="auto"/>
          <w:kern w:val="44"/>
          <w:sz w:val="36"/>
          <w:szCs w:val="36"/>
          <w:highlight w:val="none"/>
          <w:u w:color="000000"/>
          <w:lang w:val="zh-TW" w:eastAsia="zh-TW"/>
        </w:rPr>
        <w:br w:type="page"/>
      </w:r>
    </w:p>
    <w:p>
      <w:pPr>
        <w:keepNext/>
        <w:keepLines/>
        <w:spacing w:before="312" w:beforeLines="100" w:after="312" w:afterLines="100" w:line="360" w:lineRule="auto"/>
        <w:jc w:val="center"/>
        <w:outlineLvl w:val="0"/>
        <w:rPr>
          <w:rFonts w:ascii="黑体" w:hAnsi="黑体" w:eastAsia="黑体" w:cs="黑体"/>
          <w:color w:val="auto"/>
          <w:kern w:val="44"/>
          <w:sz w:val="36"/>
          <w:szCs w:val="36"/>
          <w:highlight w:val="none"/>
          <w:u w:color="000000"/>
        </w:rPr>
      </w:pPr>
      <w:bookmarkStart w:id="9" w:name="_Toc28020"/>
      <w:r>
        <w:rPr>
          <w:rFonts w:ascii="黑体" w:hAnsi="黑体" w:eastAsia="黑体" w:cs="黑体"/>
          <w:color w:val="auto"/>
          <w:kern w:val="44"/>
          <w:sz w:val="36"/>
          <w:szCs w:val="36"/>
          <w:highlight w:val="none"/>
          <w:u w:color="000000"/>
          <w:lang w:val="zh-TW" w:eastAsia="zh-TW"/>
        </w:rPr>
        <w:t>第</w:t>
      </w:r>
      <w:r>
        <w:rPr>
          <w:rFonts w:hint="eastAsia" w:ascii="黑体" w:hAnsi="黑体" w:eastAsia="黑体" w:cs="黑体"/>
          <w:color w:val="auto"/>
          <w:kern w:val="44"/>
          <w:sz w:val="36"/>
          <w:szCs w:val="36"/>
          <w:highlight w:val="none"/>
          <w:u w:color="000000"/>
          <w:lang w:val="zh-TW"/>
        </w:rPr>
        <w:t>三</w:t>
      </w:r>
      <w:r>
        <w:rPr>
          <w:rFonts w:ascii="黑体" w:hAnsi="黑体" w:eastAsia="黑体" w:cs="黑体"/>
          <w:color w:val="auto"/>
          <w:kern w:val="44"/>
          <w:sz w:val="36"/>
          <w:szCs w:val="36"/>
          <w:highlight w:val="none"/>
          <w:u w:color="000000"/>
          <w:lang w:val="zh-TW" w:eastAsia="zh-TW"/>
        </w:rPr>
        <w:t xml:space="preserve">章  </w:t>
      </w:r>
      <w:r>
        <w:rPr>
          <w:rFonts w:hint="eastAsia" w:ascii="黑体" w:hAnsi="黑体" w:eastAsia="黑体" w:cs="黑体"/>
          <w:color w:val="auto"/>
          <w:kern w:val="44"/>
          <w:sz w:val="36"/>
          <w:szCs w:val="36"/>
          <w:highlight w:val="none"/>
          <w:u w:color="000000"/>
          <w:lang w:val="zh-TW" w:eastAsia="zh-TW"/>
        </w:rPr>
        <w:t>合同条款及格式</w:t>
      </w:r>
      <w:bookmarkEnd w:id="9"/>
    </w:p>
    <w:p>
      <w:pPr>
        <w:ind w:firstLine="420" w:firstLineChars="200"/>
        <w:rPr>
          <w:rFonts w:hint="eastAsia"/>
          <w:color w:val="auto"/>
          <w:highlight w:val="none"/>
        </w:rPr>
      </w:pPr>
      <w:bookmarkStart w:id="10" w:name="_Toc513029243"/>
      <w:bookmarkStart w:id="11" w:name="_Toc20823315"/>
      <w:bookmarkStart w:id="12" w:name="_Toc16938559"/>
      <w:r>
        <w:rPr>
          <w:rFonts w:hint="eastAsia"/>
          <w:color w:val="auto"/>
          <w:highlight w:val="none"/>
        </w:rPr>
        <w:t>以下为中标后签订本项目合同的通用条款，中标人不得提出实质性的修改，关于专用条款将由项目使用单位与中标人结合本项目具体情况协商后签订。</w:t>
      </w:r>
      <w:bookmarkEnd w:id="10"/>
      <w:bookmarkEnd w:id="11"/>
      <w:bookmarkEnd w:id="12"/>
    </w:p>
    <w:p>
      <w:pPr>
        <w:ind w:firstLine="562" w:firstLineChars="200"/>
        <w:rPr>
          <w:rFonts w:hint="eastAsia" w:ascii="宋体" w:hAnsi="宋体" w:eastAsia="宋体" w:cs="Times New Roman"/>
          <w:b/>
          <w:bCs/>
          <w:color w:val="auto"/>
          <w:sz w:val="28"/>
          <w:szCs w:val="28"/>
          <w:highlight w:val="none"/>
        </w:rPr>
      </w:pPr>
    </w:p>
    <w:p>
      <w:pPr>
        <w:ind w:firstLine="1124" w:firstLineChars="400"/>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lang w:eastAsia="zh-CN"/>
        </w:rPr>
        <w:t>南京铁路公安处一键点调系统</w:t>
      </w:r>
      <w:r>
        <w:rPr>
          <w:rFonts w:hint="eastAsia" w:ascii="宋体" w:hAnsi="宋体" w:eastAsia="宋体" w:cs="Times New Roman"/>
          <w:b/>
          <w:bCs/>
          <w:color w:val="auto"/>
          <w:sz w:val="28"/>
          <w:szCs w:val="28"/>
          <w:highlight w:val="none"/>
        </w:rPr>
        <w:t>项目采购合同</w:t>
      </w:r>
    </w:p>
    <w:p>
      <w:pPr>
        <w:rPr>
          <w:rFonts w:ascii="宋体" w:hAnsi="宋体" w:eastAsia="宋体" w:cs="Times New Roman"/>
          <w:color w:val="auto"/>
          <w:szCs w:val="22"/>
          <w:highlight w:val="none"/>
        </w:rPr>
      </w:pPr>
    </w:p>
    <w:p>
      <w:pPr>
        <w:rPr>
          <w:rFonts w:hint="eastAsia" w:ascii="宋体" w:hAnsi="宋体" w:eastAsia="宋体" w:cs="Times New Roman"/>
          <w:color w:val="auto"/>
          <w:szCs w:val="22"/>
          <w:highlight w:val="none"/>
        </w:rPr>
      </w:pPr>
    </w:p>
    <w:p>
      <w:pPr>
        <w:spacing w:line="360" w:lineRule="auto"/>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rPr>
        <w:t>甲方：</w:t>
      </w:r>
      <w:r>
        <w:rPr>
          <w:rFonts w:hint="eastAsia" w:ascii="宋体" w:hAnsi="宋体" w:eastAsia="宋体" w:cs="Times New Roman"/>
          <w:color w:val="auto"/>
          <w:szCs w:val="22"/>
          <w:highlight w:val="none"/>
          <w:lang w:eastAsia="zh-CN"/>
        </w:rPr>
        <w:t>上海铁路公安局南京公安处</w:t>
      </w:r>
    </w:p>
    <w:p>
      <w:pPr>
        <w:spacing w:line="360" w:lineRule="auto"/>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rPr>
        <w:t>地址：</w:t>
      </w:r>
      <w:r>
        <w:rPr>
          <w:rFonts w:hint="eastAsia" w:ascii="宋体" w:hAnsi="宋体" w:eastAsia="宋体" w:cs="Times New Roman"/>
          <w:color w:val="auto"/>
          <w:szCs w:val="22"/>
          <w:highlight w:val="none"/>
          <w:lang w:eastAsia="zh-CN"/>
        </w:rPr>
        <w:t>南京市玄武区龙蟠路 141 号</w:t>
      </w:r>
    </w:p>
    <w:p>
      <w:pPr>
        <w:spacing w:line="360" w:lineRule="auto"/>
        <w:rPr>
          <w:rFonts w:ascii="宋体" w:hAnsi="宋体" w:eastAsia="宋体" w:cs="Times New Roman"/>
          <w:color w:val="auto"/>
          <w:szCs w:val="22"/>
          <w:highlight w:val="none"/>
        </w:rPr>
      </w:pPr>
    </w:p>
    <w:p>
      <w:pPr>
        <w:spacing w:line="360" w:lineRule="auto"/>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乙方：</w:t>
      </w:r>
      <w:r>
        <w:rPr>
          <w:rFonts w:ascii="宋体" w:hAnsi="宋体" w:eastAsia="宋体" w:cs="Times New Roman"/>
          <w:color w:val="auto"/>
          <w:szCs w:val="22"/>
          <w:highlight w:val="none"/>
        </w:rPr>
        <w:t xml:space="preserve"> </w:t>
      </w:r>
    </w:p>
    <w:p>
      <w:pPr>
        <w:spacing w:line="360" w:lineRule="auto"/>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地址：</w:t>
      </w:r>
      <w:r>
        <w:rPr>
          <w:rFonts w:ascii="宋体" w:hAnsi="宋体" w:eastAsia="宋体" w:cs="Times New Roman"/>
          <w:color w:val="auto"/>
          <w:szCs w:val="22"/>
          <w:highlight w:val="none"/>
        </w:rPr>
        <w:t xml:space="preserve"> </w:t>
      </w:r>
    </w:p>
    <w:p>
      <w:pPr>
        <w:spacing w:line="360" w:lineRule="auto"/>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法定代表人：</w:t>
      </w:r>
      <w:r>
        <w:rPr>
          <w:rFonts w:ascii="宋体" w:hAnsi="宋体" w:eastAsia="宋体" w:cs="Times New Roman"/>
          <w:color w:val="auto"/>
          <w:szCs w:val="22"/>
          <w:highlight w:val="none"/>
        </w:rPr>
        <w:t xml:space="preserve"> </w:t>
      </w:r>
    </w:p>
    <w:p>
      <w:pPr>
        <w:rPr>
          <w:rFonts w:hint="eastAsia" w:ascii="宋体" w:hAnsi="宋体" w:eastAsia="宋体" w:cs="Times New Roman"/>
          <w:color w:val="auto"/>
          <w:szCs w:val="22"/>
          <w:highlight w:val="none"/>
        </w:rPr>
      </w:pPr>
    </w:p>
    <w:p>
      <w:pPr>
        <w:spacing w:line="360" w:lineRule="auto"/>
        <w:ind w:firstLine="420" w:firstLineChars="200"/>
        <w:rPr>
          <w:rFonts w:ascii="宋体" w:hAnsi="宋体" w:eastAsia="宋体" w:cs="Times New Roman"/>
          <w:color w:val="auto"/>
          <w:szCs w:val="22"/>
          <w:highlight w:val="none"/>
        </w:rPr>
      </w:pPr>
      <w:r>
        <w:rPr>
          <w:rFonts w:ascii="宋体" w:hAnsi="宋体" w:eastAsia="宋体" w:cs="Times New Roman"/>
          <w:color w:val="auto"/>
          <w:szCs w:val="22"/>
          <w:highlight w:val="none"/>
        </w:rPr>
        <w:t>甲、乙双方根据</w:t>
      </w:r>
      <w:r>
        <w:rPr>
          <w:rFonts w:hint="eastAsia" w:ascii="宋体" w:hAnsi="宋体" w:eastAsia="宋体" w:cs="Times New Roman"/>
          <w:color w:val="auto"/>
          <w:szCs w:val="22"/>
          <w:highlight w:val="none"/>
          <w:lang w:eastAsia="zh-CN"/>
        </w:rPr>
        <w:t>上海铁路公安局南京公安处</w:t>
      </w:r>
      <w:r>
        <w:rPr>
          <w:rFonts w:hint="eastAsia" w:ascii="宋体" w:hAnsi="宋体" w:eastAsia="宋体" w:cs="Times New Roman"/>
          <w:color w:val="auto"/>
          <w:szCs w:val="22"/>
          <w:highlight w:val="none"/>
          <w:u w:val="single"/>
        </w:rPr>
        <w:t>一键点调系统</w:t>
      </w:r>
      <w:r>
        <w:rPr>
          <w:rFonts w:hint="eastAsia" w:ascii="宋体" w:hAnsi="宋体" w:eastAsia="宋体" w:cs="Times New Roman"/>
          <w:color w:val="auto"/>
          <w:szCs w:val="22"/>
          <w:highlight w:val="none"/>
        </w:rPr>
        <w:t>项目的</w:t>
      </w:r>
      <w:r>
        <w:rPr>
          <w:rFonts w:hint="eastAsia" w:ascii="宋体" w:hAnsi="宋体" w:eastAsia="宋体" w:cs="Times New Roman"/>
          <w:color w:val="auto"/>
          <w:szCs w:val="22"/>
          <w:highlight w:val="none"/>
          <w:u w:val="single"/>
        </w:rPr>
        <w:t>公开招标</w:t>
      </w:r>
      <w:r>
        <w:rPr>
          <w:rFonts w:ascii="宋体" w:hAnsi="宋体" w:eastAsia="宋体" w:cs="Times New Roman"/>
          <w:color w:val="auto"/>
          <w:szCs w:val="22"/>
          <w:highlight w:val="none"/>
        </w:rPr>
        <w:t>结果，签署本合同。</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以下为成交后签定本项目合同的通用条款，乙方不得提出实质性的修改，关于专用条款将由甲乙双方结合本项目具体情况协商后签订。</w:t>
      </w:r>
    </w:p>
    <w:p>
      <w:pPr>
        <w:rPr>
          <w:rFonts w:ascii="宋体" w:hAnsi="宋体" w:eastAsia="宋体" w:cs="Times New Roman"/>
          <w:color w:val="auto"/>
          <w:szCs w:val="22"/>
          <w:highlight w:val="none"/>
        </w:rPr>
      </w:pPr>
    </w:p>
    <w:p>
      <w:pPr>
        <w:jc w:val="center"/>
        <w:rPr>
          <w:rFonts w:ascii="宋体" w:hAnsi="宋体" w:eastAsia="宋体" w:cs="Times New Roman"/>
          <w:b/>
          <w:bCs/>
          <w:color w:val="auto"/>
          <w:szCs w:val="22"/>
          <w:highlight w:val="none"/>
        </w:rPr>
      </w:pPr>
      <w:r>
        <w:rPr>
          <w:rFonts w:hint="eastAsia" w:ascii="宋体" w:hAnsi="宋体" w:eastAsia="宋体" w:cs="Times New Roman"/>
          <w:b/>
          <w:bCs/>
          <w:color w:val="auto"/>
          <w:szCs w:val="22"/>
          <w:highlight w:val="none"/>
        </w:rPr>
        <w:t>第一部分 合同的通用条款</w:t>
      </w:r>
    </w:p>
    <w:p>
      <w:pPr>
        <w:jc w:val="center"/>
        <w:rPr>
          <w:rFonts w:hint="eastAsia" w:ascii="等线" w:hAnsi="等线" w:eastAsia="等线" w:cs="Times New Roman"/>
          <w:b/>
          <w:bCs/>
          <w:color w:val="auto"/>
          <w:szCs w:val="22"/>
          <w:highlight w:val="none"/>
        </w:rPr>
      </w:pPr>
    </w:p>
    <w:p>
      <w:pPr>
        <w:spacing w:line="360" w:lineRule="auto"/>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一、合同文件</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1、合同文件适用法律</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1.1 适用于合同文件的法律是中华人民共和国现行法律、法规及甲方所在地的地方性法规。</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2、合同文件组成和解释顺序</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2.1 合同文件的组成和解释顺序如下：</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2.1.1 合同的专用条款</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2.1.2 合同的通用条款</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2.1.3 洽商、变更等明确双方权利义务的纪要、协议</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2.1.4 中标通知书、投标书和招标文件</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2.1.5 有关图纸</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2.1.6 标准、规范和其他有关技术资料、技术要求</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2.2 合同的专用条款的效率优于合同的通用条款的效力</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3、合同文件、使用文字</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3.1 合同文件使用中文书写、解释和说明</w:t>
      </w:r>
    </w:p>
    <w:p>
      <w:pPr>
        <w:spacing w:line="360" w:lineRule="auto"/>
        <w:ind w:firstLine="420" w:firstLineChars="20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3.2 合同文件使用专用条款约定的国家标准和规范；国家没有相应标准、规范时，可使用专用条款约定的行业或甲方所在地地方的标准、规范。</w:t>
      </w:r>
    </w:p>
    <w:p>
      <w:pPr>
        <w:spacing w:line="360" w:lineRule="auto"/>
        <w:rPr>
          <w:rFonts w:ascii="宋体" w:hAnsi="宋体" w:eastAsia="宋体" w:cs="Times New Roman"/>
          <w:b/>
          <w:color w:val="auto"/>
          <w:szCs w:val="22"/>
          <w:highlight w:val="none"/>
        </w:rPr>
      </w:pPr>
      <w:bookmarkStart w:id="13" w:name="_Toc245033597"/>
      <w:r>
        <w:rPr>
          <w:rFonts w:hint="eastAsia" w:ascii="宋体" w:hAnsi="宋体" w:eastAsia="宋体" w:cs="Times New Roman"/>
          <w:b/>
          <w:color w:val="auto"/>
          <w:szCs w:val="22"/>
          <w:highlight w:val="none"/>
        </w:rPr>
        <w:t>二、标的物的一般条款</w:t>
      </w:r>
      <w:bookmarkEnd w:id="13"/>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4、完整物权</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对于出卖的标的物，乙方应当拥有完整物权，并且其中没有任何权利负担，乙方负有保证第三人不得向甲方主张任何权利（包括知识产权）的义务。</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5、质量保证</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5.1 乙方应保证所供标的物是全新的，未使用过的，并且是非长期积压的库存商品，完全符合合同规定的质量、规格和性能的要求，乙方应保证其提供的标的物在正确安装，正确使用和保养条件下，在其标称的使用寿命期内应具有满意的性能。在乙方承诺的质量保证期限内，乙方应对由于设计、工艺或材料的缺陷及伴随服务而造成的任何不足或故障负责。</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5.2 根据甲方按检验标准自己检验的结果或当地技监部门的检验结果，或者在质量保证期内，如果标的物的数量、质量或规格与合同不符或证实标的物是具有缺陷的，包括潜在缺陷或使用不符合要求的材料等，甲方应尽快以书面形式通知乙方并提出索赔。</w:t>
      </w:r>
    </w:p>
    <w:p>
      <w:pPr>
        <w:spacing w:line="360" w:lineRule="auto"/>
        <w:ind w:firstLine="420" w:firstLineChars="200"/>
        <w:rPr>
          <w:rFonts w:ascii="宋体" w:hAnsi="宋体" w:eastAsia="宋体" w:cs="Times New Roman"/>
          <w:b/>
          <w:color w:val="auto"/>
          <w:szCs w:val="22"/>
          <w:highlight w:val="none"/>
        </w:rPr>
      </w:pPr>
      <w:r>
        <w:rPr>
          <w:rFonts w:hint="eastAsia" w:ascii="宋体" w:hAnsi="宋体" w:eastAsia="宋体" w:cs="Times New Roman"/>
          <w:color w:val="auto"/>
          <w:szCs w:val="22"/>
          <w:highlight w:val="none"/>
        </w:rPr>
        <w:t>5.3 除合同专用条款规定外，合同条款中标的物的质量保证期均自标的物通过</w:t>
      </w:r>
      <w:r>
        <w:rPr>
          <w:rFonts w:hint="eastAsia" w:ascii="宋体" w:hAnsi="宋体" w:eastAsia="宋体" w:cs="Times New Roman"/>
          <w:b/>
          <w:bCs/>
          <w:color w:val="auto"/>
          <w:szCs w:val="22"/>
          <w:highlight w:val="none"/>
        </w:rPr>
        <w:t>最终验收之日起计算</w:t>
      </w:r>
      <w:r>
        <w:rPr>
          <w:rFonts w:hint="eastAsia" w:ascii="宋体" w:hAnsi="宋体" w:eastAsia="宋体" w:cs="Times New Roman"/>
          <w:color w:val="auto"/>
          <w:szCs w:val="22"/>
          <w:highlight w:val="none"/>
        </w:rPr>
        <w:t>，</w:t>
      </w:r>
      <w:r>
        <w:rPr>
          <w:rFonts w:hint="eastAsia" w:ascii="宋体" w:hAnsi="宋体" w:eastAsia="宋体" w:cs="Times New Roman"/>
          <w:b/>
          <w:color w:val="auto"/>
          <w:szCs w:val="22"/>
          <w:highlight w:val="none"/>
        </w:rPr>
        <w:t>且质保期需满足招标文件要求。</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6、包装</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7、伴随服务</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7.1 乙方除应履行按期按量交付合格标的物的义务之外，还应提供下列服务：</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7.1.1 标的物的现场拆封、安装、启动、调试、监督（如果必须安装、调试的话）；</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7.1.2 提供标的物的组装和一般维修所必需的工具；</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7.1.3 在合同规定的期限内对所提供标的物实行运行监督和维修服务，但该两项伴随服务并不能免除乙方在质量保证期内所承担的义务；</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7.1.4  对甲方技术人员的技术指导或培训。根据系统运行和日常维护工作情况，结合甲方对今后系统发展规划和需求，乙方有针对性的提供有关培训和咨询服务，并派遣资深技术工程师到用户工作现场，对各种技术问题和软件的安装及配置方法，进行现场指导和培训。</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7.1.5  在产品质量保证期内，</w:t>
      </w:r>
      <w:r>
        <w:rPr>
          <w:rFonts w:hint="eastAsia" w:ascii="宋体" w:hAnsi="宋体" w:eastAsia="宋体" w:cs="Times New Roman"/>
          <w:b/>
          <w:bCs/>
          <w:color w:val="auto"/>
          <w:szCs w:val="22"/>
          <w:highlight w:val="none"/>
        </w:rPr>
        <w:t>乙方向甲方提供免费软件升级，不收取额外费用，乙方每半年一次对所有在网设备进行软件版本普查，免费对系统进行现场升级。</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7.2 除合同另有规定之外，伴随服务的费用均已含在合同价款中，甲方不再另行进行支付。</w:t>
      </w:r>
    </w:p>
    <w:p>
      <w:pPr>
        <w:spacing w:line="360" w:lineRule="auto"/>
        <w:rPr>
          <w:rFonts w:ascii="宋体" w:hAnsi="宋体" w:eastAsia="宋体" w:cs="Times New Roman"/>
          <w:b/>
          <w:color w:val="auto"/>
          <w:szCs w:val="22"/>
          <w:highlight w:val="none"/>
        </w:rPr>
      </w:pPr>
      <w:bookmarkStart w:id="14" w:name="_Toc245033598"/>
      <w:r>
        <w:rPr>
          <w:rFonts w:hint="eastAsia" w:ascii="宋体" w:hAnsi="宋体" w:eastAsia="宋体" w:cs="Times New Roman"/>
          <w:b/>
          <w:color w:val="auto"/>
          <w:szCs w:val="22"/>
          <w:highlight w:val="none"/>
        </w:rPr>
        <w:t>三、标的物的交付、检验和验收</w:t>
      </w:r>
      <w:bookmarkEnd w:id="14"/>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8、标的物的交付</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8.1 标的物的所有权和毁损、灭失风险自标的物安装调试合格后转移。</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8.2 乙方应当按照约定的期限和约定的地点交付标的物。</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8.3 乙方应当照约定或者交易习惯向甲方交付提取标的物的单证以外的有关单证和资料。</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9、检验和验收</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9.1 在交货前，乙方应对标的物的质量、规格、性能、数量等进行详细而全面的检验，并出具一份合格检验证明，合格检验证明作为甲方验收的依据，但不能作为有关标的物质量、规格、数量或性能的最终检验结果。</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9.2 甲方根据合同规定的内容和验收标准进行验收，同时比较乙方出具的检验证明,经检验无误后出具验收合格证明，该证明作为最终付款所需文件的组成部分。</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9.3 验收期限自标的物交付之日起30个工作日内。特殊情况需延长的，双方应在合同的专用条款中约定。</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9.4 如双方对验收结果有分歧，则以甲方委托的第三方检验结果为准，检验费用由有过失的一方支付。</w:t>
      </w:r>
    </w:p>
    <w:p>
      <w:pPr>
        <w:spacing w:line="360" w:lineRule="auto"/>
        <w:rPr>
          <w:rFonts w:ascii="宋体" w:hAnsi="宋体" w:eastAsia="宋体" w:cs="Times New Roman"/>
          <w:b/>
          <w:color w:val="auto"/>
          <w:szCs w:val="22"/>
          <w:highlight w:val="none"/>
        </w:rPr>
      </w:pPr>
      <w:bookmarkStart w:id="15" w:name="_Toc245033599"/>
      <w:r>
        <w:rPr>
          <w:rFonts w:hint="eastAsia" w:ascii="宋体" w:hAnsi="宋体" w:eastAsia="宋体" w:cs="Times New Roman"/>
          <w:b/>
          <w:color w:val="auto"/>
          <w:szCs w:val="22"/>
          <w:highlight w:val="none"/>
        </w:rPr>
        <w:t>四、对标的物提出异议的时间和办法</w:t>
      </w:r>
      <w:bookmarkEnd w:id="15"/>
    </w:p>
    <w:p>
      <w:pPr>
        <w:spacing w:line="360" w:lineRule="auto"/>
        <w:ind w:firstLine="422" w:firstLineChars="200"/>
        <w:rPr>
          <w:rFonts w:ascii="宋体" w:hAnsi="宋体" w:eastAsia="宋体" w:cs="Times New Roman"/>
          <w:b/>
          <w:bCs/>
          <w:color w:val="auto"/>
          <w:szCs w:val="22"/>
          <w:highlight w:val="none"/>
        </w:rPr>
      </w:pPr>
      <w:r>
        <w:rPr>
          <w:rFonts w:hint="eastAsia" w:ascii="宋体" w:hAnsi="宋体" w:eastAsia="宋体" w:cs="Times New Roman"/>
          <w:b/>
          <w:bCs/>
          <w:color w:val="auto"/>
          <w:szCs w:val="22"/>
          <w:highlight w:val="none"/>
        </w:rPr>
        <w:t>10、对标的物提出异议的时间和办法</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10.1 甲方在验收过程中，应当于双方约定的验收期间内将标的物的数量或质量不符合规定的情形及处理方式以书面形式通知乙方。</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10.2 如甲方在验收期满后既不出具验收合格证明又未提出书面异议的，视为乙方所交标的物符合合同规定。</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10.3 乙方应在收到甲方书面异议后七天内负责处理问题，否则将视为默认甲方提出的异议和处理意见。</w:t>
      </w:r>
    </w:p>
    <w:p>
      <w:pPr>
        <w:spacing w:line="360" w:lineRule="auto"/>
        <w:rPr>
          <w:rFonts w:ascii="宋体" w:hAnsi="宋体" w:eastAsia="宋体" w:cs="Times New Roman"/>
          <w:b/>
          <w:color w:val="auto"/>
          <w:szCs w:val="22"/>
          <w:highlight w:val="none"/>
        </w:rPr>
      </w:pPr>
      <w:bookmarkStart w:id="16" w:name="_Toc245033600"/>
      <w:r>
        <w:rPr>
          <w:rFonts w:hint="eastAsia" w:ascii="宋体" w:hAnsi="宋体" w:eastAsia="宋体" w:cs="Times New Roman"/>
          <w:b/>
          <w:color w:val="auto"/>
          <w:szCs w:val="22"/>
          <w:highlight w:val="none"/>
        </w:rPr>
        <w:t>五、合同价款和支付</w:t>
      </w:r>
      <w:bookmarkEnd w:id="16"/>
    </w:p>
    <w:p>
      <w:pPr>
        <w:spacing w:line="360" w:lineRule="auto"/>
        <w:ind w:firstLine="422" w:firstLineChars="200"/>
        <w:rPr>
          <w:rFonts w:hint="eastAsia" w:ascii="宋体" w:hAnsi="宋体" w:eastAsia="宋体" w:cs="Times New Roman"/>
          <w:b/>
          <w:color w:val="auto"/>
          <w:szCs w:val="22"/>
          <w:highlight w:val="none"/>
        </w:rPr>
      </w:pPr>
      <w:r>
        <w:rPr>
          <w:rFonts w:hint="eastAsia" w:ascii="宋体" w:hAnsi="宋体" w:eastAsia="宋体" w:cs="Times New Roman"/>
          <w:b/>
          <w:color w:val="auto"/>
          <w:szCs w:val="22"/>
          <w:highlight w:val="none"/>
        </w:rPr>
        <w:t>1</w:t>
      </w:r>
      <w:r>
        <w:rPr>
          <w:rFonts w:ascii="宋体" w:hAnsi="宋体" w:eastAsia="宋体" w:cs="Times New Roman"/>
          <w:b/>
          <w:color w:val="auto"/>
          <w:szCs w:val="22"/>
          <w:highlight w:val="none"/>
        </w:rPr>
        <w:t>1</w:t>
      </w:r>
      <w:r>
        <w:rPr>
          <w:rFonts w:hint="eastAsia" w:ascii="宋体" w:hAnsi="宋体" w:eastAsia="宋体" w:cs="Times New Roman"/>
          <w:b/>
          <w:color w:val="auto"/>
          <w:szCs w:val="22"/>
          <w:highlight w:val="none"/>
        </w:rPr>
        <w:t>、合同价款和支付</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11.1 本合同的结算货币为人民币，单位元。</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11.2 乙方应按照双方签订的合同规定交货并在合同专用条款规定的期限内持下列单据结算货款，否则甲方有权顺延付款时间。</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11.2.1 合格的增值税发票</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11.2.2 甲方盖章签收后的送货回单和验收合格证明。</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11.3 甲方应按合同专用条款规定的期限和方式付款。</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11.4根据现行税法对乙方征收的与本合同有关的一切税费均由乙方承担。</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 xml:space="preserve">11.5乙方全部履行合同，甲方在收到乙方的付款通知并审定无误后七日内按期付款。 </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11.6乙方提前交货的，甲方接货后，仍可按合同规定的付款时间付款。</w:t>
      </w:r>
    </w:p>
    <w:p>
      <w:pPr>
        <w:spacing w:line="360" w:lineRule="auto"/>
        <w:rPr>
          <w:rFonts w:ascii="宋体" w:hAnsi="宋体" w:eastAsia="宋体" w:cs="Times New Roman"/>
          <w:b/>
          <w:color w:val="auto"/>
          <w:szCs w:val="22"/>
          <w:highlight w:val="none"/>
        </w:rPr>
      </w:pPr>
      <w:bookmarkStart w:id="17" w:name="_Toc245033601"/>
      <w:r>
        <w:rPr>
          <w:rFonts w:hint="eastAsia" w:ascii="宋体" w:hAnsi="宋体" w:eastAsia="宋体" w:cs="Times New Roman"/>
          <w:b/>
          <w:color w:val="auto"/>
          <w:szCs w:val="22"/>
          <w:highlight w:val="none"/>
        </w:rPr>
        <w:t>六、违约责任</w:t>
      </w:r>
      <w:bookmarkEnd w:id="17"/>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12、违约责任</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合同乙方不履行合同义务或者履行合同义务不符合规定的，应当承担继续履行、采取补救措施或者赔偿损失等违约责任。</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13、甲方违约责任</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13.1 在合同生效后，甲方无正当理由要求退货的，应向乙方偿付合同总价款的</w:t>
      </w:r>
      <w:r>
        <w:rPr>
          <w:rFonts w:hint="eastAsia" w:ascii="宋体" w:hAnsi="宋体" w:eastAsia="宋体" w:cs="Times New Roman"/>
          <w:b/>
          <w:bCs/>
          <w:color w:val="auto"/>
          <w:szCs w:val="22"/>
          <w:highlight w:val="none"/>
        </w:rPr>
        <w:t>5%</w:t>
      </w:r>
      <w:r>
        <w:rPr>
          <w:rFonts w:hint="eastAsia" w:ascii="宋体" w:hAnsi="宋体" w:eastAsia="宋体" w:cs="Times New Roman"/>
          <w:color w:val="auto"/>
          <w:szCs w:val="22"/>
          <w:highlight w:val="none"/>
        </w:rPr>
        <w:t>作为违约金，违约金不足以补偿损失的，乙方有权要求甲方补足。</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13.2 甲方逾期付款的应按照逾期付款金额的</w:t>
      </w:r>
      <w:r>
        <w:rPr>
          <w:rFonts w:hint="eastAsia" w:ascii="宋体" w:hAnsi="宋体" w:eastAsia="宋体" w:cs="Times New Roman"/>
          <w:b/>
          <w:bCs/>
          <w:color w:val="auto"/>
          <w:szCs w:val="22"/>
          <w:highlight w:val="none"/>
        </w:rPr>
        <w:t>每日千分之五</w:t>
      </w:r>
      <w:r>
        <w:rPr>
          <w:rFonts w:hint="eastAsia" w:ascii="宋体" w:hAnsi="宋体" w:eastAsia="宋体" w:cs="Times New Roman"/>
          <w:color w:val="auto"/>
          <w:szCs w:val="22"/>
          <w:highlight w:val="none"/>
        </w:rPr>
        <w:t>支付逾期付款违约金。</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13.3 甲方违反合同规定，拒绝接受乙方交付的合格标的物，应当赔偿乙方由此造成的损失。</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14、乙方违约责任</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14.1乙方不能交货（逾期超过十五天视为不能交货），或交货不合格的，甲方有权利选择：</w:t>
      </w:r>
    </w:p>
    <w:p>
      <w:pPr>
        <w:spacing w:line="360" w:lineRule="auto"/>
        <w:ind w:firstLine="420" w:firstLineChars="200"/>
        <w:rPr>
          <w:rFonts w:ascii="宋体" w:hAnsi="宋体" w:eastAsia="宋体" w:cs="Times New Roman"/>
          <w:color w:val="auto"/>
          <w:szCs w:val="22"/>
          <w:highlight w:val="none"/>
        </w:rPr>
      </w:pPr>
      <w:r>
        <w:rPr>
          <w:rFonts w:ascii="宋体" w:hAnsi="宋体" w:eastAsia="宋体" w:cs="Times New Roman"/>
          <w:color w:val="auto"/>
          <w:szCs w:val="22"/>
          <w:highlight w:val="none"/>
        </w:rPr>
        <w:t>14.1.1</w:t>
      </w:r>
      <w:r>
        <w:rPr>
          <w:rFonts w:hint="eastAsia" w:ascii="宋体" w:hAnsi="宋体" w:eastAsia="宋体" w:cs="Times New Roman"/>
          <w:color w:val="auto"/>
          <w:szCs w:val="22"/>
          <w:highlight w:val="none"/>
        </w:rPr>
        <w:t>继续等待或要求乙方换货，因继续等待或换货导致交付迟延的，乙方应按</w:t>
      </w:r>
      <w:r>
        <w:rPr>
          <w:rFonts w:hint="eastAsia" w:ascii="宋体" w:hAnsi="宋体" w:eastAsia="宋体" w:cs="Times New Roman"/>
          <w:b/>
          <w:bCs/>
          <w:color w:val="auto"/>
          <w:szCs w:val="22"/>
          <w:highlight w:val="none"/>
        </w:rPr>
        <w:t>合同总价的每日千分之五</w:t>
      </w:r>
      <w:r>
        <w:rPr>
          <w:rFonts w:hint="eastAsia" w:ascii="宋体" w:hAnsi="宋体" w:eastAsia="宋体" w:cs="Times New Roman"/>
          <w:color w:val="auto"/>
          <w:szCs w:val="22"/>
          <w:highlight w:val="none"/>
        </w:rPr>
        <w:t>向甲方支付违约金；</w:t>
      </w:r>
    </w:p>
    <w:p>
      <w:pPr>
        <w:spacing w:line="360" w:lineRule="auto"/>
        <w:ind w:firstLine="420" w:firstLineChars="200"/>
        <w:rPr>
          <w:rFonts w:ascii="宋体" w:hAnsi="宋体" w:eastAsia="宋体" w:cs="Times New Roman"/>
          <w:color w:val="auto"/>
          <w:szCs w:val="22"/>
          <w:highlight w:val="none"/>
        </w:rPr>
      </w:pPr>
      <w:r>
        <w:rPr>
          <w:rFonts w:ascii="宋体" w:hAnsi="宋体" w:eastAsia="宋体" w:cs="Times New Roman"/>
          <w:color w:val="auto"/>
          <w:szCs w:val="22"/>
          <w:highlight w:val="none"/>
        </w:rPr>
        <w:t>14.1.2</w:t>
      </w:r>
      <w:r>
        <w:rPr>
          <w:rFonts w:hint="eastAsia" w:ascii="宋体" w:hAnsi="宋体" w:eastAsia="宋体" w:cs="Times New Roman"/>
          <w:color w:val="auto"/>
          <w:szCs w:val="22"/>
          <w:highlight w:val="none"/>
        </w:rPr>
        <w:t>解除本合同，乙方除应退还已经收取的全部货款外，还应按合同总价的</w:t>
      </w:r>
      <w:r>
        <w:rPr>
          <w:rFonts w:hint="eastAsia" w:ascii="宋体" w:hAnsi="宋体" w:eastAsia="宋体" w:cs="Times New Roman"/>
          <w:b/>
          <w:bCs/>
          <w:color w:val="auto"/>
          <w:szCs w:val="22"/>
          <w:highlight w:val="none"/>
        </w:rPr>
        <w:t>5%</w:t>
      </w:r>
      <w:r>
        <w:rPr>
          <w:rFonts w:hint="eastAsia" w:ascii="宋体" w:hAnsi="宋体" w:eastAsia="宋体" w:cs="Times New Roman"/>
          <w:color w:val="auto"/>
          <w:szCs w:val="22"/>
          <w:highlight w:val="none"/>
        </w:rPr>
        <w:t>向甲方支付违约金，违约金不足以补偿甲方损失的，还应补足甲方的损失。</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14.2 乙方逾期交货的，应在发货前与甲方协商，甲方仍要求继续履行合同的，乙方应立即发货并应按照逾期交货部分货款的</w:t>
      </w:r>
      <w:r>
        <w:rPr>
          <w:rFonts w:hint="eastAsia" w:ascii="宋体" w:hAnsi="宋体" w:eastAsia="宋体" w:cs="Times New Roman"/>
          <w:b/>
          <w:bCs/>
          <w:color w:val="auto"/>
          <w:szCs w:val="22"/>
          <w:highlight w:val="none"/>
        </w:rPr>
        <w:t>每日万分之五</w:t>
      </w:r>
      <w:r>
        <w:rPr>
          <w:rFonts w:hint="eastAsia" w:ascii="宋体" w:hAnsi="宋体" w:eastAsia="宋体" w:cs="Times New Roman"/>
          <w:color w:val="auto"/>
          <w:szCs w:val="22"/>
          <w:highlight w:val="none"/>
        </w:rPr>
        <w:t>支付逾期交货违约金，同时承担甲方因此遭致的损失费用。</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15、不可抗力</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15.1 因不可抗力不能履行合同的，根据不可抗力的影响，部分或者全部免除责任。但合同一方延迟履行后发生不可抗力的，不能免除责任。</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15.2 合同一方因不可抗力不能履行合同的，应当及时通知对方，以减轻可能给对方造成的损失，并应当在合理期限内提供证明。</w:t>
      </w:r>
    </w:p>
    <w:p>
      <w:pPr>
        <w:spacing w:line="360" w:lineRule="auto"/>
        <w:rPr>
          <w:rFonts w:ascii="宋体" w:hAnsi="宋体" w:eastAsia="宋体" w:cs="Times New Roman"/>
          <w:b/>
          <w:color w:val="auto"/>
          <w:szCs w:val="22"/>
          <w:highlight w:val="none"/>
        </w:rPr>
      </w:pPr>
      <w:bookmarkStart w:id="18" w:name="_Toc245033602"/>
      <w:r>
        <w:rPr>
          <w:rFonts w:hint="eastAsia" w:ascii="宋体" w:hAnsi="宋体" w:eastAsia="宋体" w:cs="Times New Roman"/>
          <w:b/>
          <w:color w:val="auto"/>
          <w:szCs w:val="22"/>
          <w:highlight w:val="none"/>
        </w:rPr>
        <w:t>七、索赔</w:t>
      </w:r>
      <w:bookmarkEnd w:id="18"/>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16、索赔</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设备交货后，在安装、使用过程中，甲方发现设备的品质与合同内容有不符及根据甲方按国家标准或行业标准自己检验的结果或当地技监部门的检验结果，或者在质量保证期限内，如果货物的数量，质量或规格与合同不符或证实货物是有缺陷的，包括潜在缺陷或使用不符合要求的材料等时，有权向乙方提出赔偿，乙方在收到甲方通知后2—5天内应免费维修或更换有缺陷的货物或部件。如果乙方在收到通知后7天内没有弥补缺陷，甲方可采取必要的补救措施，但风险和费用将由乙方承担，同时甲方对乙方行使的其它权利不受影响。索赔方式除上述规定之外，甲方还有权利选择以下方式进行索赔：</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16.1 退货，乙方除应退还已经收取的全部货款外，还应按合同总价的</w:t>
      </w:r>
      <w:r>
        <w:rPr>
          <w:rFonts w:hint="eastAsia" w:ascii="宋体" w:hAnsi="宋体" w:eastAsia="宋体" w:cs="Times New Roman"/>
          <w:b/>
          <w:bCs/>
          <w:color w:val="auto"/>
          <w:szCs w:val="22"/>
          <w:highlight w:val="none"/>
        </w:rPr>
        <w:t>5%</w:t>
      </w:r>
      <w:r>
        <w:rPr>
          <w:rFonts w:hint="eastAsia" w:ascii="宋体" w:hAnsi="宋体" w:eastAsia="宋体" w:cs="Times New Roman"/>
          <w:color w:val="auto"/>
          <w:szCs w:val="22"/>
          <w:highlight w:val="none"/>
        </w:rPr>
        <w:t>向甲方支付违约金，违约金不足以补偿甲方损失和因此花费的费用的，还应补足甲方的损失和费用（包括但不限于利息，银行手续费，运费，保险费，仓储费，装卸费以及为保护退回货物所需的其它必要费用等）。</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16.2根据货物的低劣程度，损坏程度以及甲方遭受损失的数额，经甲乙双方商定降低货物的价格。</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16.3用符合规定，质量和性能要求的新零件，部件或货物来更换有缺陷的部分或修补缺陷部分，乙方应承担一切费用和风险并负担甲方所发生的一切直接费用。同时，乙方应按合同规定，相应延长修补或被更换部件或货物的质量保证期。</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16.4从尚未支付的合同价款或履约保证金中扣除乙方应承担的违约金，赔偿金以及甲方因急需更换有关部件或紧急维修而支付的各种费用以及因索赔而发生的合理费用，包括律师费用。尚未支付的合同价款和履约保证金不足以支付的，乙方应全额补足。</w:t>
      </w:r>
    </w:p>
    <w:p>
      <w:pPr>
        <w:spacing w:line="360" w:lineRule="auto"/>
        <w:rPr>
          <w:rFonts w:ascii="宋体" w:hAnsi="宋体" w:eastAsia="宋体" w:cs="Times New Roman"/>
          <w:b/>
          <w:color w:val="auto"/>
          <w:szCs w:val="22"/>
          <w:highlight w:val="none"/>
        </w:rPr>
      </w:pPr>
      <w:bookmarkStart w:id="19" w:name="_Toc245033604"/>
      <w:r>
        <w:rPr>
          <w:rFonts w:hint="eastAsia" w:ascii="宋体" w:hAnsi="宋体" w:eastAsia="宋体" w:cs="Times New Roman"/>
          <w:b/>
          <w:color w:val="auto"/>
          <w:szCs w:val="22"/>
          <w:highlight w:val="none"/>
        </w:rPr>
        <w:t>八、合同的解除和转让</w:t>
      </w:r>
      <w:bookmarkEnd w:id="19"/>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17、合同的解除</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17.1 甲方和乙方协商一致，可以解除合同。</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17.2 有些列情形之一，合同一方可以解除合同：</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17.2.1 因不可抗力致使不能实现合同目的，未受不可抗力影响的一方有权解除合同；</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17.2.2 因合同一方违约导致合同不能履行，另一方有权解除合同。</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17.2.3 发生本合同约定的其他解除情形的。</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17.3 有权解除合同的一方，应当在违约事实或不可抗力发生之后三十天内书面通知对方以主张解除合同，合同在书面通知到达对方时解除。</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18、合同的转让</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合同的部分和全部都不得转让。</w:t>
      </w:r>
    </w:p>
    <w:p>
      <w:pPr>
        <w:spacing w:line="360" w:lineRule="auto"/>
        <w:rPr>
          <w:rFonts w:ascii="宋体" w:hAnsi="宋体" w:eastAsia="宋体" w:cs="Times New Roman"/>
          <w:b/>
          <w:color w:val="auto"/>
          <w:szCs w:val="22"/>
          <w:highlight w:val="none"/>
        </w:rPr>
      </w:pPr>
      <w:bookmarkStart w:id="20" w:name="_Toc245033605"/>
      <w:r>
        <w:rPr>
          <w:rFonts w:hint="eastAsia" w:ascii="宋体" w:hAnsi="宋体" w:eastAsia="宋体" w:cs="Times New Roman"/>
          <w:b/>
          <w:color w:val="auto"/>
          <w:szCs w:val="22"/>
          <w:highlight w:val="none"/>
        </w:rPr>
        <w:t>九、合同的生效</w:t>
      </w:r>
      <w:bookmarkEnd w:id="20"/>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19、合同的生效</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本合同在甲乙双方签字盖章后生效。</w:t>
      </w:r>
    </w:p>
    <w:p>
      <w:pPr>
        <w:spacing w:line="360" w:lineRule="auto"/>
        <w:rPr>
          <w:rFonts w:ascii="宋体" w:hAnsi="宋体" w:eastAsia="宋体" w:cs="Times New Roman"/>
          <w:b/>
          <w:color w:val="auto"/>
          <w:szCs w:val="22"/>
          <w:highlight w:val="none"/>
        </w:rPr>
      </w:pPr>
      <w:bookmarkStart w:id="21" w:name="_Toc245033606"/>
      <w:r>
        <w:rPr>
          <w:rFonts w:hint="eastAsia" w:ascii="宋体" w:hAnsi="宋体" w:eastAsia="宋体" w:cs="Times New Roman"/>
          <w:b/>
          <w:color w:val="auto"/>
          <w:szCs w:val="22"/>
          <w:highlight w:val="none"/>
        </w:rPr>
        <w:t>十、争议解决</w:t>
      </w:r>
      <w:bookmarkEnd w:id="21"/>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20、争议解决</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甲乙双方因合同发生争议，先行调解，协调不成，任何一方可以向甲方所在地人民法院起诉。</w:t>
      </w:r>
    </w:p>
    <w:p>
      <w:pPr>
        <w:spacing w:line="360" w:lineRule="auto"/>
        <w:rPr>
          <w:rFonts w:ascii="宋体" w:hAnsi="宋体" w:eastAsia="宋体" w:cs="Times New Roman"/>
          <w:b/>
          <w:color w:val="auto"/>
          <w:szCs w:val="22"/>
          <w:highlight w:val="none"/>
        </w:rPr>
      </w:pPr>
      <w:bookmarkStart w:id="22" w:name="_Toc245033607"/>
      <w:r>
        <w:rPr>
          <w:rFonts w:hint="eastAsia" w:ascii="宋体" w:hAnsi="宋体" w:eastAsia="宋体" w:cs="Times New Roman"/>
          <w:b/>
          <w:color w:val="auto"/>
          <w:szCs w:val="22"/>
          <w:highlight w:val="none"/>
        </w:rPr>
        <w:t>十一、附则</w:t>
      </w:r>
      <w:bookmarkEnd w:id="22"/>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21、合同份数</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本协议书一式伍份，具有同等法律效力。甲方执叁份、乙方执贰份。</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22、未尽事宜</w:t>
      </w: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本合同未经事宜应按《中华人民共和国民法典》、《中华人民共和国产品质量法》、《中华人民共和国政府采购法》之规定解释。</w:t>
      </w:r>
    </w:p>
    <w:p>
      <w:pPr>
        <w:rPr>
          <w:rFonts w:ascii="等线" w:hAnsi="等线" w:eastAsia="等线" w:cs="Times New Roman"/>
          <w:color w:val="auto"/>
          <w:szCs w:val="22"/>
          <w:highlight w:val="none"/>
        </w:rPr>
      </w:pPr>
    </w:p>
    <w:p>
      <w:pPr>
        <w:rPr>
          <w:rFonts w:ascii="等线" w:hAnsi="等线" w:eastAsia="等线" w:cs="Times New Roman"/>
          <w:bCs/>
          <w:color w:val="auto"/>
          <w:szCs w:val="22"/>
          <w:highlight w:val="none"/>
        </w:rPr>
      </w:pPr>
    </w:p>
    <w:p>
      <w:pPr>
        <w:spacing w:line="360" w:lineRule="auto"/>
        <w:rPr>
          <w:rFonts w:ascii="宋体" w:hAnsi="宋体" w:eastAsia="宋体" w:cs="Times New Roman"/>
          <w:bCs/>
          <w:color w:val="auto"/>
          <w:szCs w:val="22"/>
          <w:highlight w:val="none"/>
          <w:u w:val="single"/>
        </w:rPr>
      </w:pPr>
      <w:r>
        <w:rPr>
          <w:rFonts w:hint="eastAsia" w:ascii="宋体" w:hAnsi="宋体" w:eastAsia="宋体" w:cs="Times New Roman"/>
          <w:bCs/>
          <w:color w:val="auto"/>
          <w:szCs w:val="22"/>
          <w:highlight w:val="none"/>
        </w:rPr>
        <w:t xml:space="preserve">甲方：（盖章）                   </w:t>
      </w:r>
      <w:r>
        <w:rPr>
          <w:rFonts w:ascii="宋体" w:hAnsi="宋体" w:eastAsia="宋体" w:cs="Times New Roman"/>
          <w:bCs/>
          <w:color w:val="auto"/>
          <w:szCs w:val="22"/>
          <w:highlight w:val="none"/>
        </w:rPr>
        <w:t xml:space="preserve">         </w:t>
      </w:r>
      <w:r>
        <w:rPr>
          <w:rFonts w:hint="eastAsia" w:ascii="宋体" w:hAnsi="宋体" w:eastAsia="宋体" w:cs="Times New Roman"/>
          <w:bCs/>
          <w:color w:val="auto"/>
          <w:szCs w:val="22"/>
          <w:highlight w:val="none"/>
        </w:rPr>
        <w:t xml:space="preserve">  乙方：（盖章）</w:t>
      </w:r>
    </w:p>
    <w:p>
      <w:pPr>
        <w:spacing w:line="360" w:lineRule="auto"/>
        <w:rPr>
          <w:rFonts w:ascii="宋体" w:hAnsi="宋体" w:eastAsia="宋体" w:cs="Times New Roman"/>
          <w:bCs/>
          <w:color w:val="auto"/>
          <w:szCs w:val="22"/>
          <w:highlight w:val="none"/>
          <w:u w:val="single"/>
        </w:rPr>
      </w:pPr>
      <w:r>
        <w:rPr>
          <w:rFonts w:hint="eastAsia" w:ascii="宋体" w:hAnsi="宋体" w:eastAsia="宋体" w:cs="Times New Roman"/>
          <w:bCs/>
          <w:color w:val="auto"/>
          <w:szCs w:val="22"/>
          <w:highlight w:val="none"/>
        </w:rPr>
        <w:t>地址：                                     地址：</w:t>
      </w:r>
    </w:p>
    <w:p>
      <w:pPr>
        <w:spacing w:line="360" w:lineRule="auto"/>
        <w:rPr>
          <w:rFonts w:ascii="宋体" w:hAnsi="宋体" w:eastAsia="宋体" w:cs="Times New Roman"/>
          <w:bCs/>
          <w:color w:val="auto"/>
          <w:szCs w:val="22"/>
          <w:highlight w:val="none"/>
          <w:u w:val="single"/>
        </w:rPr>
      </w:pPr>
      <w:r>
        <w:rPr>
          <w:rFonts w:hint="eastAsia" w:ascii="宋体" w:hAnsi="宋体" w:eastAsia="宋体" w:cs="Times New Roman"/>
          <w:bCs/>
          <w:color w:val="auto"/>
          <w:szCs w:val="22"/>
          <w:highlight w:val="none"/>
        </w:rPr>
        <w:t>法定（授权）代表人：                       法定（授权）代表人：</w:t>
      </w:r>
    </w:p>
    <w:p>
      <w:pPr>
        <w:spacing w:line="360" w:lineRule="auto"/>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年    月     日                            年      月       日</w:t>
      </w:r>
    </w:p>
    <w:p>
      <w:pPr>
        <w:rPr>
          <w:rFonts w:ascii="等线" w:hAnsi="等线" w:eastAsia="等线" w:cs="Times New Roman"/>
          <w:bCs/>
          <w:color w:val="auto"/>
          <w:szCs w:val="22"/>
          <w:highlight w:val="none"/>
        </w:rPr>
      </w:pPr>
    </w:p>
    <w:p>
      <w:pPr>
        <w:widowControl/>
        <w:jc w:val="left"/>
        <w:rPr>
          <w:rFonts w:ascii="等线" w:hAnsi="等线" w:eastAsia="等线" w:cs="Times New Roman"/>
          <w:bCs/>
          <w:color w:val="auto"/>
          <w:szCs w:val="22"/>
          <w:highlight w:val="none"/>
        </w:rPr>
      </w:pPr>
      <w:r>
        <w:rPr>
          <w:rFonts w:ascii="等线" w:hAnsi="等线" w:eastAsia="等线" w:cs="Times New Roman"/>
          <w:bCs/>
          <w:color w:val="auto"/>
          <w:szCs w:val="22"/>
          <w:highlight w:val="none"/>
        </w:rPr>
        <w:br w:type="page"/>
      </w:r>
    </w:p>
    <w:p>
      <w:pPr>
        <w:rPr>
          <w:rFonts w:hint="eastAsia" w:ascii="等线" w:hAnsi="等线" w:eastAsia="等线" w:cs="Times New Roman"/>
          <w:bCs/>
          <w:color w:val="auto"/>
          <w:szCs w:val="22"/>
          <w:highlight w:val="none"/>
        </w:rPr>
      </w:pPr>
    </w:p>
    <w:p>
      <w:pPr>
        <w:jc w:val="center"/>
        <w:rPr>
          <w:rFonts w:ascii="宋体" w:hAnsi="宋体" w:eastAsia="宋体" w:cs="Times New Roman"/>
          <w:b/>
          <w:bCs/>
          <w:color w:val="auto"/>
          <w:szCs w:val="22"/>
          <w:highlight w:val="none"/>
        </w:rPr>
      </w:pPr>
      <w:r>
        <w:rPr>
          <w:rFonts w:hint="eastAsia" w:ascii="宋体" w:hAnsi="宋体" w:eastAsia="宋体" w:cs="Times New Roman"/>
          <w:b/>
          <w:bCs/>
          <w:color w:val="auto"/>
          <w:szCs w:val="22"/>
          <w:highlight w:val="none"/>
        </w:rPr>
        <w:t>第二部分 合同的专用条款</w:t>
      </w:r>
    </w:p>
    <w:p>
      <w:pPr>
        <w:jc w:val="center"/>
        <w:rPr>
          <w:rFonts w:hint="eastAsia" w:ascii="等线" w:hAnsi="等线" w:eastAsia="等线" w:cs="Times New Roman"/>
          <w:b/>
          <w:bCs/>
          <w:color w:val="auto"/>
          <w:szCs w:val="22"/>
          <w:highlight w:val="none"/>
        </w:rPr>
      </w:pPr>
    </w:p>
    <w:p>
      <w:pPr>
        <w:spacing w:line="360" w:lineRule="auto"/>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rPr>
        <w:t>甲方：</w:t>
      </w:r>
      <w:r>
        <w:rPr>
          <w:rFonts w:hint="eastAsia" w:ascii="宋体" w:hAnsi="宋体" w:eastAsia="宋体" w:cs="Times New Roman"/>
          <w:color w:val="auto"/>
          <w:szCs w:val="22"/>
          <w:highlight w:val="none"/>
          <w:lang w:eastAsia="zh-CN"/>
        </w:rPr>
        <w:t>上海铁路公安局南京公安处</w:t>
      </w:r>
    </w:p>
    <w:p>
      <w:pPr>
        <w:spacing w:line="360" w:lineRule="auto"/>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乙方：</w:t>
      </w:r>
    </w:p>
    <w:p>
      <w:pPr>
        <w:spacing w:line="360" w:lineRule="auto"/>
        <w:rPr>
          <w:rFonts w:ascii="等线" w:hAnsi="等线" w:eastAsia="等线" w:cs="Times New Roman"/>
          <w:color w:val="auto"/>
          <w:szCs w:val="22"/>
          <w:highlight w:val="none"/>
        </w:rPr>
      </w:pPr>
    </w:p>
    <w:p>
      <w:pPr>
        <w:spacing w:line="360"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甲乙双方根据</w:t>
      </w:r>
      <w:r>
        <w:rPr>
          <w:rFonts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u w:val="single"/>
        </w:rPr>
        <w:t>年</w:t>
      </w:r>
      <w:r>
        <w:rPr>
          <w:rFonts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u w:val="single"/>
        </w:rPr>
        <w:t>月</w:t>
      </w:r>
      <w:r>
        <w:rPr>
          <w:rFonts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rPr>
        <w:t>日</w:t>
      </w:r>
      <w:r>
        <w:rPr>
          <w:rFonts w:hint="eastAsia" w:ascii="宋体" w:hAnsi="宋体" w:eastAsia="宋体" w:cs="Times New Roman"/>
          <w:color w:val="auto"/>
          <w:szCs w:val="22"/>
          <w:highlight w:val="none"/>
          <w:u w:val="single"/>
        </w:rPr>
        <w:t>一键点调系统项目</w:t>
      </w:r>
      <w:r>
        <w:rPr>
          <w:rFonts w:hint="eastAsia" w:ascii="宋体" w:hAnsi="宋体" w:eastAsia="宋体" w:cs="Times New Roman"/>
          <w:color w:val="auto"/>
          <w:szCs w:val="22"/>
          <w:highlight w:val="none"/>
        </w:rPr>
        <w:t>公开招标结果及采购文件的要求,经协商一致，签署本合同。</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一、货物内容</w:t>
      </w:r>
    </w:p>
    <w:p>
      <w:pPr>
        <w:spacing w:line="360" w:lineRule="auto"/>
        <w:ind w:firstLine="420" w:firstLineChars="200"/>
        <w:rPr>
          <w:rFonts w:ascii="宋体" w:hAnsi="宋体" w:eastAsia="宋体" w:cs="Times New Roman"/>
          <w:bCs/>
          <w:color w:val="auto"/>
          <w:szCs w:val="22"/>
          <w:highlight w:val="none"/>
          <w:u w:val="single"/>
        </w:rPr>
      </w:pPr>
      <w:r>
        <w:rPr>
          <w:rFonts w:hint="eastAsia" w:ascii="宋体" w:hAnsi="宋体" w:eastAsia="宋体" w:cs="Times New Roman"/>
          <w:bCs/>
          <w:color w:val="auto"/>
          <w:szCs w:val="22"/>
          <w:highlight w:val="none"/>
        </w:rPr>
        <w:t>1.1 货物名称：</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1.2 型号规格：</w:t>
      </w:r>
      <w:r>
        <w:rPr>
          <w:rFonts w:hint="eastAsia" w:ascii="宋体" w:hAnsi="宋体" w:eastAsia="宋体" w:cs="Times New Roman"/>
          <w:bCs/>
          <w:color w:val="auto"/>
          <w:szCs w:val="22"/>
          <w:highlight w:val="none"/>
          <w:u w:val="single"/>
        </w:rPr>
        <w:t>见附件</w:t>
      </w:r>
      <w:r>
        <w:rPr>
          <w:rFonts w:hint="eastAsia" w:ascii="宋体" w:hAnsi="宋体" w:eastAsia="宋体" w:cs="Times New Roman"/>
          <w:bCs/>
          <w:color w:val="auto"/>
          <w:szCs w:val="22"/>
          <w:highlight w:val="none"/>
        </w:rPr>
        <w:t>。（附件内容为招标文件的服务要求内容）</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1.3 数量（单位）：见附件。</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二、合同金额</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2.1 本合同金额为人民币（大写）：</w:t>
      </w:r>
      <w:r>
        <w:rPr>
          <w:rFonts w:hint="eastAsia" w:ascii="宋体" w:hAnsi="宋体" w:eastAsia="宋体" w:cs="Times New Roman"/>
          <w:color w:val="auto"/>
          <w:szCs w:val="22"/>
          <w:highlight w:val="none"/>
          <w:u w:val="single"/>
        </w:rPr>
        <w:t xml:space="preserve"> </w:t>
      </w:r>
      <w:r>
        <w:rPr>
          <w:rFonts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rPr>
        <w:t>元整</w:t>
      </w:r>
      <w:r>
        <w:rPr>
          <w:rFonts w:hint="eastAsia" w:ascii="宋体" w:hAnsi="宋体" w:eastAsia="宋体" w:cs="Times New Roman"/>
          <w:bCs/>
          <w:color w:val="auto"/>
          <w:szCs w:val="22"/>
          <w:highlight w:val="none"/>
        </w:rPr>
        <w:t>（</w:t>
      </w:r>
      <w:r>
        <w:rPr>
          <w:rFonts w:hint="eastAsia" w:ascii="宋体" w:hAnsi="宋体" w:eastAsia="宋体" w:cs="Times New Roman"/>
          <w:b/>
          <w:color w:val="auto"/>
          <w:szCs w:val="22"/>
          <w:highlight w:val="none"/>
        </w:rPr>
        <w:t>¥</w:t>
      </w:r>
      <w:r>
        <w:rPr>
          <w:rFonts w:ascii="宋体" w:hAnsi="宋体" w:eastAsia="宋体" w:cs="Times New Roman"/>
          <w:b/>
          <w:color w:val="auto"/>
          <w:szCs w:val="22"/>
          <w:highlight w:val="none"/>
          <w:u w:val="single"/>
        </w:rPr>
        <w:t xml:space="preserve">            </w:t>
      </w:r>
      <w:r>
        <w:rPr>
          <w:rFonts w:hint="eastAsia" w:ascii="宋体" w:hAnsi="宋体" w:eastAsia="宋体" w:cs="Times New Roman"/>
          <w:bCs/>
          <w:color w:val="auto"/>
          <w:szCs w:val="22"/>
          <w:highlight w:val="none"/>
        </w:rPr>
        <w:t>）。</w:t>
      </w:r>
    </w:p>
    <w:p>
      <w:pPr>
        <w:spacing w:line="360" w:lineRule="auto"/>
        <w:ind w:firstLine="420" w:firstLineChars="200"/>
        <w:rPr>
          <w:rFonts w:hint="eastAsia" w:ascii="宋体" w:hAnsi="宋体" w:eastAsia="宋体" w:cs="Times New Roman"/>
          <w:bCs/>
          <w:color w:val="auto"/>
          <w:szCs w:val="22"/>
          <w:highlight w:val="none"/>
          <w:lang w:eastAsia="zh-CN"/>
        </w:rPr>
      </w:pPr>
      <w:r>
        <w:rPr>
          <w:rFonts w:ascii="宋体" w:hAnsi="宋体" w:eastAsia="宋体" w:cs="Times New Roman"/>
          <w:bCs/>
          <w:color w:val="auto"/>
          <w:szCs w:val="22"/>
          <w:highlight w:val="none"/>
        </w:rPr>
        <w:t xml:space="preserve">2.2 </w:t>
      </w:r>
      <w:r>
        <w:rPr>
          <w:rFonts w:hint="eastAsia" w:ascii="宋体" w:hAnsi="宋体" w:eastAsia="宋体" w:cs="Times New Roman"/>
          <w:color w:val="auto"/>
          <w:szCs w:val="22"/>
          <w:highlight w:val="none"/>
        </w:rPr>
        <w:t>合同签订前乙方须向甲方提交合同价款10%的履约担保（银行保函），项目质保期满且无质量问题后无息退回</w:t>
      </w:r>
      <w:r>
        <w:rPr>
          <w:rFonts w:hint="eastAsia" w:ascii="宋体" w:hAnsi="宋体" w:eastAsia="宋体" w:cs="Times New Roman"/>
          <w:color w:val="auto"/>
          <w:szCs w:val="22"/>
          <w:highlight w:val="none"/>
          <w:lang w:eastAsia="zh-CN"/>
        </w:rPr>
        <w:t>。</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三、技术资料</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3.1乙方应按招标文件规定的时间向甲方提供招标文件中包含的运维服务内容。</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四、知识产权</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4.1乙方应保证甲方在使用、接受本合同货物和服务或其任何一部分时不会侵犯任何第三方的专利权、版权、商标权和工业设计权等知识产权。一旦出现侵权，由乙方负全部责任，给甲方造成损失的，乙方应予赔偿。</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五、产权担保</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5.1 乙方保证所交付的货物的所有权完全属于乙方且无任何抵押、查封等他项权利或产权瑕疵。</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六、转包或分包</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6.1本合同范围的货物，应由乙方直接供应，不得转让他人供应；</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6.2 除非得到甲方的书面同意，乙方不得部分分包给他人供应。</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6.3乙方如有转让和未经甲方同意的分包行为，甲方有权给予终止合同。</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七、交付方式</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7.1 交付时间</w:t>
      </w:r>
      <w:r>
        <w:rPr>
          <w:rFonts w:hint="eastAsia" w:ascii="宋体" w:hAnsi="宋体" w:eastAsia="宋体" w:cs="Times New Roman"/>
          <w:bCs/>
          <w:color w:val="auto"/>
          <w:szCs w:val="22"/>
          <w:highlight w:val="none"/>
          <w:lang w:val="en-US" w:eastAsia="zh-CN"/>
        </w:rPr>
        <w:t>及方式</w:t>
      </w:r>
      <w:r>
        <w:rPr>
          <w:rFonts w:hint="eastAsia" w:ascii="宋体" w:hAnsi="宋体" w:eastAsia="宋体" w:cs="Times New Roman"/>
          <w:bCs/>
          <w:color w:val="auto"/>
          <w:szCs w:val="22"/>
          <w:highlight w:val="none"/>
        </w:rPr>
        <w:t>：合同签订后15个日历日内接收设备到场。</w:t>
      </w:r>
      <w:r>
        <w:rPr>
          <w:rFonts w:hint="eastAsia" w:ascii="宋体" w:hAnsi="宋体" w:eastAsia="宋体" w:cs="Times New Roman"/>
          <w:bCs/>
          <w:color w:val="auto"/>
          <w:szCs w:val="22"/>
          <w:highlight w:val="none"/>
          <w:lang w:val="en-US" w:eastAsia="zh-CN"/>
        </w:rPr>
        <w:t>乙方</w:t>
      </w:r>
      <w:r>
        <w:rPr>
          <w:rFonts w:hint="eastAsia" w:ascii="宋体" w:hAnsi="宋体" w:eastAsia="宋体" w:cs="Times New Roman"/>
          <w:bCs/>
          <w:color w:val="auto"/>
          <w:szCs w:val="22"/>
          <w:highlight w:val="none"/>
        </w:rPr>
        <w:t>负责所有产品到施工地点的全部运输,包括装卸及现场搬运、安装等。在合同签定后</w:t>
      </w:r>
      <w:r>
        <w:rPr>
          <w:rFonts w:hint="eastAsia" w:ascii="宋体" w:hAnsi="宋体" w:eastAsia="宋体" w:cs="Times New Roman"/>
          <w:bCs/>
          <w:color w:val="auto"/>
          <w:szCs w:val="22"/>
          <w:highlight w:val="none"/>
          <w:lang w:val="en-US" w:eastAsia="zh-CN"/>
        </w:rPr>
        <w:t>45</w:t>
      </w:r>
      <w:r>
        <w:rPr>
          <w:rFonts w:hint="eastAsia" w:ascii="宋体" w:hAnsi="宋体" w:eastAsia="宋体" w:cs="Times New Roman"/>
          <w:bCs/>
          <w:color w:val="auto"/>
          <w:szCs w:val="22"/>
          <w:highlight w:val="none"/>
        </w:rPr>
        <w:t>个日历日内完成设备的供货、安装、调试工作进入试运行期。</w:t>
      </w:r>
    </w:p>
    <w:p>
      <w:pPr>
        <w:spacing w:line="360" w:lineRule="auto"/>
        <w:ind w:firstLine="420" w:firstLineChars="200"/>
        <w:rPr>
          <w:rFonts w:hint="eastAsia" w:ascii="宋体" w:hAnsi="宋体" w:eastAsia="宋体" w:cs="Times New Roman"/>
          <w:bCs/>
          <w:color w:val="auto"/>
          <w:szCs w:val="22"/>
          <w:highlight w:val="none"/>
          <w:lang w:eastAsia="zh-CN"/>
        </w:rPr>
      </w:pPr>
      <w:r>
        <w:rPr>
          <w:rFonts w:ascii="宋体" w:hAnsi="宋体" w:eastAsia="宋体" w:cs="Times New Roman"/>
          <w:bCs/>
          <w:color w:val="auto"/>
          <w:szCs w:val="22"/>
          <w:highlight w:val="none"/>
        </w:rPr>
        <w:t>7.2</w:t>
      </w:r>
      <w:r>
        <w:rPr>
          <w:rFonts w:hint="eastAsia" w:ascii="宋体" w:hAnsi="宋体" w:eastAsia="宋体" w:cs="Times New Roman"/>
          <w:bCs/>
          <w:color w:val="auto"/>
          <w:szCs w:val="22"/>
          <w:highlight w:val="none"/>
        </w:rPr>
        <w:t>交付地点：</w:t>
      </w:r>
      <w:r>
        <w:rPr>
          <w:rFonts w:hint="eastAsia" w:ascii="宋体" w:hAnsi="宋体" w:eastAsia="宋体" w:cs="Times New Roman"/>
          <w:bCs/>
          <w:color w:val="auto"/>
          <w:szCs w:val="22"/>
          <w:highlight w:val="none"/>
          <w:lang w:val="en-US" w:eastAsia="zh-CN"/>
        </w:rPr>
        <w:t>甲方</w:t>
      </w:r>
      <w:r>
        <w:rPr>
          <w:rFonts w:hint="eastAsia" w:ascii="宋体" w:hAnsi="宋体" w:eastAsia="宋体" w:cs="Times New Roman"/>
          <w:bCs/>
          <w:color w:val="auto"/>
          <w:szCs w:val="22"/>
          <w:highlight w:val="none"/>
        </w:rPr>
        <w:t>指定地点</w:t>
      </w:r>
      <w:r>
        <w:rPr>
          <w:rFonts w:hint="eastAsia" w:ascii="宋体" w:hAnsi="宋体" w:eastAsia="宋体" w:cs="Times New Roman"/>
          <w:bCs/>
          <w:color w:val="auto"/>
          <w:szCs w:val="22"/>
          <w:highlight w:val="none"/>
          <w:lang w:eastAsia="zh-CN"/>
        </w:rPr>
        <w:t>。</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八、货款支付</w:t>
      </w:r>
    </w:p>
    <w:p>
      <w:pPr>
        <w:spacing w:line="360" w:lineRule="auto"/>
        <w:ind w:firstLine="420" w:firstLineChars="200"/>
        <w:rPr>
          <w:rFonts w:hint="eastAsia" w:ascii="宋体" w:hAnsi="宋体" w:eastAsia="宋体" w:cs="Times New Roman"/>
          <w:bCs/>
          <w:color w:val="auto"/>
          <w:szCs w:val="22"/>
          <w:highlight w:val="none"/>
          <w:lang w:val="en-US" w:eastAsia="zh-CN"/>
        </w:rPr>
      </w:pPr>
      <w:r>
        <w:rPr>
          <w:rFonts w:hint="eastAsia" w:ascii="宋体" w:hAnsi="宋体" w:eastAsia="宋体" w:cs="Times New Roman"/>
          <w:bCs/>
          <w:color w:val="auto"/>
          <w:szCs w:val="22"/>
          <w:highlight w:val="none"/>
          <w:lang w:val="en-US" w:eastAsia="zh-CN"/>
        </w:rPr>
        <w:t>8.1 签订合同后，甲方在收到乙方发票后支付合同总价款的30%，作为预付款；</w:t>
      </w:r>
    </w:p>
    <w:p>
      <w:pPr>
        <w:spacing w:line="360" w:lineRule="auto"/>
        <w:ind w:firstLine="420" w:firstLineChars="200"/>
        <w:rPr>
          <w:rFonts w:hint="default" w:ascii="宋体" w:hAnsi="宋体" w:eastAsia="宋体" w:cs="Times New Roman"/>
          <w:bCs/>
          <w:color w:val="auto"/>
          <w:szCs w:val="22"/>
          <w:highlight w:val="none"/>
          <w:lang w:val="en-US" w:eastAsia="zh-CN"/>
        </w:rPr>
      </w:pPr>
      <w:r>
        <w:rPr>
          <w:rFonts w:hint="eastAsia" w:ascii="宋体" w:hAnsi="宋体" w:eastAsia="宋体" w:cs="Times New Roman"/>
          <w:bCs/>
          <w:color w:val="auto"/>
          <w:szCs w:val="22"/>
          <w:highlight w:val="none"/>
          <w:lang w:val="en-US" w:eastAsia="zh-CN"/>
        </w:rPr>
        <w:t>8.2 验收付款：正式验收结束后，乙方向甲方支付合同价3%的质保金，在收到发票后甲方支付至合同总价款的 100%，质保金在所有质保期满后无息退还。</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九、售后服务</w:t>
      </w:r>
    </w:p>
    <w:p>
      <w:pPr>
        <w:spacing w:line="360" w:lineRule="auto"/>
        <w:ind w:firstLine="420" w:firstLineChars="200"/>
        <w:rPr>
          <w:rFonts w:ascii="宋体" w:hAnsi="宋体" w:eastAsia="宋体" w:cs="Times New Roman"/>
          <w:bCs/>
          <w:color w:val="auto"/>
          <w:szCs w:val="22"/>
          <w:highlight w:val="none"/>
          <w:u w:val="single"/>
        </w:rPr>
      </w:pPr>
      <w:r>
        <w:rPr>
          <w:rFonts w:hint="eastAsia" w:ascii="宋体" w:hAnsi="宋体" w:eastAsia="宋体" w:cs="Times New Roman"/>
          <w:bCs/>
          <w:color w:val="auto"/>
          <w:szCs w:val="22"/>
          <w:highlight w:val="none"/>
        </w:rPr>
        <w:t>9</w:t>
      </w:r>
      <w:r>
        <w:rPr>
          <w:rFonts w:ascii="宋体" w:hAnsi="宋体" w:eastAsia="宋体" w:cs="Times New Roman"/>
          <w:bCs/>
          <w:color w:val="auto"/>
          <w:szCs w:val="22"/>
          <w:highlight w:val="none"/>
        </w:rPr>
        <w:t>.1</w:t>
      </w:r>
      <w:r>
        <w:rPr>
          <w:rFonts w:hint="eastAsia" w:ascii="宋体" w:hAnsi="宋体" w:eastAsia="宋体" w:cs="Times New Roman"/>
          <w:bCs/>
          <w:color w:val="auto"/>
          <w:szCs w:val="22"/>
          <w:highlight w:val="none"/>
        </w:rPr>
        <w:t>质保期：自验收合格之日起</w:t>
      </w:r>
      <w:r>
        <w:rPr>
          <w:rFonts w:hint="eastAsia" w:ascii="宋体" w:hAnsi="宋体" w:eastAsia="宋体" w:cs="Times New Roman"/>
          <w:bCs/>
          <w:color w:val="auto"/>
          <w:szCs w:val="22"/>
          <w:highlight w:val="none"/>
          <w:u w:val="single"/>
          <w:lang w:val="en-US" w:eastAsia="zh-CN"/>
        </w:rPr>
        <w:t>2年</w:t>
      </w:r>
      <w:r>
        <w:rPr>
          <w:rFonts w:hint="eastAsia" w:ascii="宋体" w:hAnsi="宋体" w:eastAsia="宋体" w:cs="Times New Roman"/>
          <w:bCs/>
          <w:color w:val="auto"/>
          <w:szCs w:val="22"/>
          <w:highlight w:val="none"/>
          <w:u w:val="single"/>
        </w:rPr>
        <w:t>。</w:t>
      </w:r>
    </w:p>
    <w:p>
      <w:pPr>
        <w:spacing w:line="360" w:lineRule="auto"/>
        <w:ind w:firstLine="420" w:firstLineChars="200"/>
        <w:rPr>
          <w:rFonts w:ascii="宋体" w:hAnsi="宋体" w:eastAsia="宋体" w:cs="Times New Roman"/>
          <w:bCs/>
          <w:color w:val="auto"/>
          <w:szCs w:val="22"/>
          <w:highlight w:val="none"/>
        </w:rPr>
      </w:pPr>
      <w:r>
        <w:rPr>
          <w:rFonts w:ascii="宋体" w:hAnsi="宋体" w:eastAsia="宋体" w:cs="Times New Roman"/>
          <w:bCs/>
          <w:color w:val="auto"/>
          <w:szCs w:val="22"/>
          <w:highlight w:val="none"/>
        </w:rPr>
        <w:t>9.2</w:t>
      </w:r>
      <w:r>
        <w:rPr>
          <w:rFonts w:hint="eastAsia" w:ascii="宋体" w:hAnsi="宋体" w:eastAsia="宋体" w:cs="Times New Roman"/>
          <w:bCs/>
          <w:color w:val="auto"/>
          <w:szCs w:val="22"/>
          <w:highlight w:val="none"/>
        </w:rPr>
        <w:t>在质量保证期内，若发生因货物设计、生产制造等非人为原因而造成的货物质量问题，乙方承担一切责任，给予免费更换。</w:t>
      </w:r>
    </w:p>
    <w:p>
      <w:pPr>
        <w:spacing w:line="360" w:lineRule="auto"/>
        <w:ind w:firstLine="420" w:firstLineChars="200"/>
        <w:rPr>
          <w:rFonts w:ascii="宋体" w:hAnsi="宋体" w:eastAsia="宋体" w:cs="Times New Roman"/>
          <w:bCs/>
          <w:color w:val="auto"/>
          <w:szCs w:val="22"/>
          <w:highlight w:val="none"/>
        </w:rPr>
      </w:pPr>
      <w:r>
        <w:rPr>
          <w:rFonts w:ascii="宋体" w:hAnsi="宋体" w:eastAsia="宋体" w:cs="Times New Roman"/>
          <w:bCs/>
          <w:color w:val="auto"/>
          <w:szCs w:val="22"/>
          <w:highlight w:val="none"/>
        </w:rPr>
        <w:t>9.3</w:t>
      </w:r>
      <w:r>
        <w:rPr>
          <w:rFonts w:hint="eastAsia" w:ascii="宋体" w:hAnsi="宋体" w:eastAsia="宋体" w:cs="Times New Roman"/>
          <w:bCs/>
          <w:color w:val="auto"/>
          <w:szCs w:val="22"/>
          <w:highlight w:val="none"/>
        </w:rPr>
        <w:t>乙方负责本项目的维护工作，确保系统安全、稳定、正常地运行，提供_____小时售后服务和技术支持。质保期内出现质量问题，乙方在接到甲方通知后</w:t>
      </w:r>
      <w:r>
        <w:rPr>
          <w:rFonts w:hint="eastAsia" w:ascii="宋体" w:hAnsi="宋体" w:eastAsia="宋体" w:cs="Times New Roman"/>
          <w:bCs/>
          <w:color w:val="auto"/>
          <w:szCs w:val="22"/>
          <w:highlight w:val="none"/>
          <w:u w:val="single"/>
        </w:rPr>
        <w:t xml:space="preserve"> </w:t>
      </w:r>
      <w:r>
        <w:rPr>
          <w:rFonts w:ascii="宋体" w:hAnsi="宋体" w:eastAsia="宋体" w:cs="Times New Roman"/>
          <w:bCs/>
          <w:color w:val="auto"/>
          <w:szCs w:val="22"/>
          <w:highlight w:val="none"/>
          <w:u w:val="single"/>
        </w:rPr>
        <w:t xml:space="preserve">      </w:t>
      </w:r>
      <w:r>
        <w:rPr>
          <w:rFonts w:hint="eastAsia" w:ascii="宋体" w:hAnsi="宋体" w:eastAsia="宋体" w:cs="Times New Roman"/>
          <w:bCs/>
          <w:color w:val="auto"/>
          <w:szCs w:val="22"/>
          <w:highlight w:val="none"/>
        </w:rPr>
        <w:t>小时内响应到场，</w:t>
      </w:r>
      <w:r>
        <w:rPr>
          <w:rFonts w:hint="eastAsia" w:ascii="宋体" w:hAnsi="宋体" w:eastAsia="宋体" w:cs="Times New Roman"/>
          <w:bCs/>
          <w:color w:val="auto"/>
          <w:szCs w:val="22"/>
          <w:highlight w:val="none"/>
          <w:u w:val="single"/>
        </w:rPr>
        <w:t xml:space="preserve"> </w:t>
      </w:r>
      <w:r>
        <w:rPr>
          <w:rFonts w:ascii="宋体" w:hAnsi="宋体" w:eastAsia="宋体" w:cs="Times New Roman"/>
          <w:bCs/>
          <w:color w:val="auto"/>
          <w:szCs w:val="22"/>
          <w:highlight w:val="none"/>
          <w:u w:val="single"/>
        </w:rPr>
        <w:t xml:space="preserve">      </w:t>
      </w:r>
      <w:r>
        <w:rPr>
          <w:rFonts w:hint="eastAsia" w:ascii="宋体" w:hAnsi="宋体" w:eastAsia="宋体" w:cs="Times New Roman"/>
          <w:bCs/>
          <w:color w:val="auto"/>
          <w:szCs w:val="22"/>
          <w:highlight w:val="none"/>
        </w:rPr>
        <w:t>小时内完成维修或更换，并承担修理和更换的费用。</w:t>
      </w:r>
    </w:p>
    <w:p>
      <w:pPr>
        <w:spacing w:line="360" w:lineRule="auto"/>
        <w:ind w:firstLine="420" w:firstLineChars="200"/>
        <w:rPr>
          <w:rFonts w:ascii="宋体" w:hAnsi="宋体" w:eastAsia="宋体" w:cs="Times New Roman"/>
          <w:bCs/>
          <w:color w:val="auto"/>
          <w:szCs w:val="22"/>
          <w:highlight w:val="none"/>
        </w:rPr>
      </w:pPr>
      <w:r>
        <w:rPr>
          <w:rFonts w:ascii="宋体" w:hAnsi="宋体" w:eastAsia="宋体" w:cs="Times New Roman"/>
          <w:bCs/>
          <w:color w:val="auto"/>
          <w:szCs w:val="22"/>
          <w:highlight w:val="none"/>
        </w:rPr>
        <w:t>9.4</w:t>
      </w:r>
      <w:r>
        <w:rPr>
          <w:rFonts w:hint="eastAsia" w:ascii="宋体" w:hAnsi="宋体" w:eastAsia="宋体" w:cs="Times New Roman"/>
          <w:bCs/>
          <w:color w:val="auto"/>
          <w:szCs w:val="22"/>
          <w:highlight w:val="none"/>
        </w:rPr>
        <w:t>货到现场后，由于甲方保管不当造成的问题，乙方亦应负责维修，但费用由甲方承担。</w:t>
      </w:r>
    </w:p>
    <w:p>
      <w:pPr>
        <w:spacing w:line="360" w:lineRule="auto"/>
        <w:ind w:firstLine="420" w:firstLineChars="200"/>
        <w:rPr>
          <w:rFonts w:ascii="宋体" w:hAnsi="宋体" w:eastAsia="宋体" w:cs="Times New Roman"/>
          <w:bCs/>
          <w:color w:val="auto"/>
          <w:szCs w:val="22"/>
          <w:highlight w:val="none"/>
        </w:rPr>
      </w:pPr>
      <w:r>
        <w:rPr>
          <w:rFonts w:ascii="宋体" w:hAnsi="宋体" w:eastAsia="宋体" w:cs="Times New Roman"/>
          <w:bCs/>
          <w:color w:val="auto"/>
          <w:szCs w:val="22"/>
          <w:highlight w:val="none"/>
        </w:rPr>
        <w:t>9.5</w:t>
      </w:r>
      <w:r>
        <w:rPr>
          <w:rFonts w:hint="eastAsia" w:ascii="宋体" w:hAnsi="宋体" w:eastAsia="宋体" w:cs="Times New Roman"/>
          <w:bCs/>
          <w:color w:val="auto"/>
          <w:szCs w:val="22"/>
          <w:highlight w:val="none"/>
        </w:rPr>
        <w:t>在质量保证期内，乙方免费提供一年</w:t>
      </w:r>
      <w:r>
        <w:rPr>
          <w:rFonts w:hint="eastAsia" w:ascii="宋体" w:hAnsi="宋体" w:eastAsia="宋体" w:cs="Times New Roman"/>
          <w:bCs/>
          <w:color w:val="auto"/>
          <w:szCs w:val="22"/>
          <w:highlight w:val="none"/>
          <w:u w:val="single"/>
        </w:rPr>
        <w:t xml:space="preserve"> </w:t>
      </w:r>
      <w:r>
        <w:rPr>
          <w:rFonts w:ascii="宋体" w:hAnsi="宋体" w:eastAsia="宋体" w:cs="Times New Roman"/>
          <w:bCs/>
          <w:color w:val="auto"/>
          <w:szCs w:val="22"/>
          <w:highlight w:val="none"/>
          <w:u w:val="single"/>
        </w:rPr>
        <w:t xml:space="preserve">    </w:t>
      </w:r>
      <w:r>
        <w:rPr>
          <w:rFonts w:hint="eastAsia" w:ascii="宋体" w:hAnsi="宋体" w:eastAsia="宋体" w:cs="Times New Roman"/>
          <w:bCs/>
          <w:color w:val="auto"/>
          <w:szCs w:val="22"/>
          <w:highlight w:val="none"/>
        </w:rPr>
        <w:t>次的回访服务；质量保证期满后，乙方对所提供的货物实行终身维修服务，对所需更换的材料只收取适当的成本和人工费用。</w:t>
      </w:r>
    </w:p>
    <w:p>
      <w:pPr>
        <w:spacing w:line="360" w:lineRule="auto"/>
        <w:ind w:firstLine="420" w:firstLineChars="200"/>
        <w:rPr>
          <w:rFonts w:hint="eastAsia" w:ascii="宋体" w:hAnsi="宋体" w:eastAsia="宋体" w:cs="Times New Roman"/>
          <w:bCs/>
          <w:color w:val="auto"/>
          <w:szCs w:val="22"/>
          <w:highlight w:val="none"/>
        </w:rPr>
      </w:pPr>
      <w:r>
        <w:rPr>
          <w:rFonts w:ascii="宋体" w:hAnsi="宋体" w:eastAsia="宋体" w:cs="Times New Roman"/>
          <w:bCs/>
          <w:color w:val="auto"/>
          <w:szCs w:val="22"/>
          <w:highlight w:val="none"/>
        </w:rPr>
        <w:t>9.6</w:t>
      </w:r>
      <w:r>
        <w:rPr>
          <w:rFonts w:hint="eastAsia" w:ascii="宋体" w:hAnsi="宋体" w:eastAsia="宋体" w:cs="Times New Roman"/>
          <w:bCs/>
          <w:color w:val="auto"/>
          <w:szCs w:val="22"/>
          <w:highlight w:val="none"/>
        </w:rPr>
        <w:t>乙方技术人员的差旅费及食宿费一律自理，甲方概不负责。</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十、税</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10.1本合同执行中相关的一切税费均由乙方负担。</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十一、违约责任</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11.1 甲方无故逾期验收和办理货款支付手续的,甲方应按逾期付款总额每日万分之五向乙方支付违约金。</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11.2 如乙方无正当理由，多次未能及时响应甲方在合同范围的服务要求，经甲方反复质疑无果，可根据情况扣减尾款，直至解除合同为止。</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11.3 如乙方未能按照合同要求履行服务，或服务不能达到合同的水准，为补救（包括但不限于换货、调试等）而产生的费用，由乙方全部负责。</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十二、不可抗力事件处理</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12.1 在合同有效期内，任何一方因不可抗力事件导致不能履行合同，则合同履行期可延长，其延长期与不可抗力影响期相同。</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12.2 不可抗力事件发生后，应立即通知对方，并寄送有关权威机构出具的证明。</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12.3 不可抗力事件延续120天以上，双方应通过友好协商，确定是否继续履行合同。</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十三、诉讼</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13.1 双方在执行合同中所发生的一切争议，应通过协商解决。如协商不成，可向甲方所在地法院起诉。</w:t>
      </w:r>
    </w:p>
    <w:p>
      <w:pPr>
        <w:spacing w:line="360" w:lineRule="auto"/>
        <w:ind w:firstLine="422" w:firstLineChars="200"/>
        <w:rPr>
          <w:rFonts w:ascii="宋体" w:hAnsi="宋体" w:eastAsia="宋体" w:cs="Times New Roman"/>
          <w:b/>
          <w:color w:val="auto"/>
          <w:szCs w:val="22"/>
          <w:highlight w:val="none"/>
        </w:rPr>
      </w:pPr>
      <w:r>
        <w:rPr>
          <w:rFonts w:hint="eastAsia" w:ascii="宋体" w:hAnsi="宋体" w:eastAsia="宋体" w:cs="Times New Roman"/>
          <w:b/>
          <w:color w:val="auto"/>
          <w:szCs w:val="22"/>
          <w:highlight w:val="none"/>
        </w:rPr>
        <w:t>十四、合同生效及其它</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14.1 合同经双方法定代表人或授权委托代表人签字并加盖单位公章后生效。</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14.2本合同未尽事宜，遵照《中华人民共和国民法典》有关条文执行。</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14.3 本合同正本一式伍份，具有同等法律效力。</w:t>
      </w:r>
      <w:r>
        <w:rPr>
          <w:rFonts w:hint="eastAsia" w:ascii="宋体" w:hAnsi="宋体" w:eastAsia="宋体" w:cs="Times New Roman"/>
          <w:color w:val="auto"/>
          <w:szCs w:val="22"/>
          <w:highlight w:val="none"/>
        </w:rPr>
        <w:t>甲方执叁份、乙方执贰份。</w:t>
      </w:r>
    </w:p>
    <w:p>
      <w:pPr>
        <w:spacing w:line="360" w:lineRule="auto"/>
        <w:ind w:firstLine="420" w:firstLineChars="200"/>
        <w:rPr>
          <w:rFonts w:ascii="宋体" w:hAnsi="宋体" w:eastAsia="宋体" w:cs="Times New Roman"/>
          <w:bCs/>
          <w:color w:val="auto"/>
          <w:szCs w:val="22"/>
          <w:highlight w:val="none"/>
        </w:rPr>
      </w:pP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 xml:space="preserve">甲方：                                   </w:t>
      </w:r>
      <w:r>
        <w:rPr>
          <w:rFonts w:ascii="宋体" w:hAnsi="宋体" w:eastAsia="宋体" w:cs="Times New Roman"/>
          <w:bCs/>
          <w:color w:val="auto"/>
          <w:szCs w:val="22"/>
          <w:highlight w:val="none"/>
        </w:rPr>
        <w:t xml:space="preserve">  </w:t>
      </w:r>
      <w:r>
        <w:rPr>
          <w:rFonts w:hint="eastAsia" w:ascii="宋体" w:hAnsi="宋体" w:eastAsia="宋体" w:cs="Times New Roman"/>
          <w:bCs/>
          <w:color w:val="auto"/>
          <w:szCs w:val="22"/>
          <w:highlight w:val="none"/>
        </w:rPr>
        <w:t xml:space="preserve">乙方： </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 xml:space="preserve">地址：                                   </w:t>
      </w:r>
      <w:r>
        <w:rPr>
          <w:rFonts w:ascii="宋体" w:hAnsi="宋体" w:eastAsia="宋体" w:cs="Times New Roman"/>
          <w:bCs/>
          <w:color w:val="auto"/>
          <w:szCs w:val="22"/>
          <w:highlight w:val="none"/>
        </w:rPr>
        <w:t xml:space="preserve">  </w:t>
      </w:r>
      <w:r>
        <w:rPr>
          <w:rFonts w:hint="eastAsia" w:ascii="宋体" w:hAnsi="宋体" w:eastAsia="宋体" w:cs="Times New Roman"/>
          <w:bCs/>
          <w:color w:val="auto"/>
          <w:szCs w:val="22"/>
          <w:highlight w:val="none"/>
        </w:rPr>
        <w:t xml:space="preserve">地址： </w:t>
      </w:r>
    </w:p>
    <w:p>
      <w:pPr>
        <w:spacing w:line="360" w:lineRule="auto"/>
        <w:ind w:firstLine="420" w:firstLineChars="200"/>
        <w:rPr>
          <w:rFonts w:ascii="宋体" w:hAnsi="宋体" w:eastAsia="宋体" w:cs="Times New Roman"/>
          <w:bCs/>
          <w:color w:val="auto"/>
          <w:szCs w:val="22"/>
          <w:highlight w:val="none"/>
        </w:rPr>
      </w:pPr>
      <w:r>
        <w:rPr>
          <w:rFonts w:hint="eastAsia" w:ascii="宋体" w:hAnsi="宋体" w:eastAsia="宋体" w:cs="Times New Roman"/>
          <w:bCs/>
          <w:color w:val="auto"/>
          <w:szCs w:val="22"/>
          <w:highlight w:val="none"/>
        </w:rPr>
        <w:t xml:space="preserve">法定代表人或授权代表：                </w:t>
      </w:r>
      <w:r>
        <w:rPr>
          <w:rFonts w:ascii="宋体" w:hAnsi="宋体" w:eastAsia="宋体" w:cs="Times New Roman"/>
          <w:bCs/>
          <w:color w:val="auto"/>
          <w:szCs w:val="22"/>
          <w:highlight w:val="none"/>
        </w:rPr>
        <w:t xml:space="preserve">    </w:t>
      </w:r>
      <w:r>
        <w:rPr>
          <w:rFonts w:hint="eastAsia" w:ascii="宋体" w:hAnsi="宋体" w:eastAsia="宋体" w:cs="Times New Roman"/>
          <w:bCs/>
          <w:color w:val="auto"/>
          <w:szCs w:val="22"/>
          <w:highlight w:val="none"/>
        </w:rPr>
        <w:t xml:space="preserve"> 法定代表人或授权代表：</w:t>
      </w:r>
    </w:p>
    <w:p>
      <w:pPr>
        <w:spacing w:line="360" w:lineRule="auto"/>
        <w:ind w:firstLine="420" w:firstLineChars="200"/>
        <w:rPr>
          <w:rFonts w:hint="eastAsia" w:ascii="宋体" w:hAnsi="宋体" w:eastAsia="宋体" w:cs="Times New Roman"/>
          <w:bCs/>
          <w:color w:val="auto"/>
          <w:szCs w:val="22"/>
          <w:highlight w:val="none"/>
        </w:rPr>
      </w:pPr>
      <w:r>
        <w:rPr>
          <w:rFonts w:hint="eastAsia" w:ascii="宋体" w:hAnsi="宋体" w:eastAsia="宋体" w:cs="Times New Roman"/>
          <w:bCs/>
          <w:color w:val="auto"/>
          <w:szCs w:val="22"/>
          <w:highlight w:val="none"/>
        </w:rPr>
        <w:t xml:space="preserve">联系方式： </w:t>
      </w:r>
      <w:r>
        <w:rPr>
          <w:rFonts w:ascii="宋体" w:hAnsi="宋体" w:eastAsia="宋体" w:cs="Times New Roman"/>
          <w:bCs/>
          <w:color w:val="auto"/>
          <w:szCs w:val="22"/>
          <w:highlight w:val="none"/>
        </w:rPr>
        <w:t xml:space="preserve">                                </w:t>
      </w:r>
      <w:r>
        <w:rPr>
          <w:rFonts w:hint="eastAsia" w:ascii="宋体" w:hAnsi="宋体" w:eastAsia="宋体" w:cs="Times New Roman"/>
          <w:bCs/>
          <w:color w:val="auto"/>
          <w:szCs w:val="22"/>
          <w:highlight w:val="none"/>
        </w:rPr>
        <w:t>联系方式：</w:t>
      </w:r>
    </w:p>
    <w:p>
      <w:pPr>
        <w:spacing w:line="360" w:lineRule="auto"/>
        <w:ind w:firstLine="420" w:firstLineChars="200"/>
        <w:rPr>
          <w:rFonts w:hint="eastAsia" w:ascii="宋体" w:hAnsi="宋体" w:eastAsia="宋体" w:cs="Times New Roman"/>
          <w:bCs/>
          <w:color w:val="auto"/>
          <w:szCs w:val="22"/>
          <w:highlight w:val="none"/>
        </w:rPr>
      </w:pPr>
      <w:r>
        <w:rPr>
          <w:rFonts w:hint="eastAsia" w:ascii="宋体" w:hAnsi="宋体" w:eastAsia="宋体" w:cs="Times New Roman"/>
          <w:bCs/>
          <w:color w:val="auto"/>
          <w:szCs w:val="22"/>
          <w:highlight w:val="none"/>
        </w:rPr>
        <w:t>年    月     日                            年      月       日</w:t>
      </w:r>
    </w:p>
    <w:p>
      <w:pPr>
        <w:spacing w:line="360" w:lineRule="auto"/>
        <w:ind w:firstLine="420" w:firstLineChars="200"/>
        <w:rPr>
          <w:rFonts w:hint="eastAsia" w:ascii="宋体" w:hAnsi="宋体" w:eastAsia="宋体" w:cs="Times New Roman"/>
          <w:bCs/>
          <w:color w:val="auto"/>
          <w:szCs w:val="2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widowControl/>
        <w:shd w:val="clear" w:color="auto" w:fill="FFFFFF"/>
        <w:spacing w:line="360" w:lineRule="auto"/>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附件：</w:t>
      </w:r>
    </w:p>
    <w:p>
      <w:pPr>
        <w:spacing w:line="540" w:lineRule="exact"/>
        <w:ind w:right="24"/>
        <w:jc w:val="center"/>
        <w:rPr>
          <w:rFonts w:ascii="仿宋_GB2312" w:hAnsi="Times New Roman" w:eastAsia="宋体" w:cs="Times New Roman"/>
          <w:color w:val="auto"/>
          <w:sz w:val="24"/>
          <w:szCs w:val="24"/>
          <w:highlight w:val="none"/>
        </w:rPr>
      </w:pPr>
      <w:r>
        <w:rPr>
          <w:rFonts w:hint="eastAsia" w:ascii="Times New Roman" w:hAnsi="Times New Roman" w:eastAsia="方正小标宋简体" w:cs="Times New Roman"/>
          <w:color w:val="auto"/>
          <w:sz w:val="24"/>
          <w:szCs w:val="24"/>
          <w:highlight w:val="none"/>
        </w:rPr>
        <w:t>廉政协议书</w:t>
      </w:r>
    </w:p>
    <w:p>
      <w:pPr>
        <w:spacing w:before="240" w:beforeLines="100" w:line="540" w:lineRule="exact"/>
        <w:rPr>
          <w:rFonts w:ascii="仿宋_GB2312" w:hAnsi="Times New Roman" w:eastAsia="宋体" w:cs="Times New Roman"/>
          <w:color w:val="auto"/>
          <w:sz w:val="24"/>
          <w:szCs w:val="24"/>
          <w:highlight w:val="none"/>
        </w:rPr>
      </w:pPr>
      <w:r>
        <w:rPr>
          <w:rFonts w:hint="eastAsia" w:ascii="仿宋_GB2312" w:hAnsi="Times New Roman" w:eastAsia="宋体" w:cs="Times New Roman"/>
          <w:color w:val="auto"/>
          <w:sz w:val="24"/>
          <w:szCs w:val="24"/>
          <w:highlight w:val="none"/>
        </w:rPr>
        <w:t>甲方：上海铁路公安局南京公安处</w:t>
      </w:r>
    </w:p>
    <w:p>
      <w:pPr>
        <w:widowControl w:val="0"/>
        <w:spacing w:line="540" w:lineRule="exact"/>
        <w:ind w:firstLine="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 xml:space="preserve">乙方：        </w:t>
      </w:r>
    </w:p>
    <w:p>
      <w:pPr>
        <w:widowControl w:val="0"/>
        <w:spacing w:line="360" w:lineRule="exact"/>
        <w:ind w:firstLine="640"/>
        <w:jc w:val="both"/>
        <w:rPr>
          <w:rFonts w:hint="eastAsia" w:ascii="Times New Roman" w:hAnsi="Times New Roman" w:eastAsia="宋体" w:cs="Times New Roman"/>
          <w:color w:val="auto"/>
          <w:kern w:val="0"/>
          <w:sz w:val="24"/>
          <w:szCs w:val="24"/>
          <w:highlight w:val="none"/>
          <w:lang w:val="en-US" w:eastAsia="zh-CN" w:bidi="ar-SA"/>
        </w:rPr>
      </w:pP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在采购</w:t>
      </w:r>
      <w:r>
        <w:rPr>
          <w:rFonts w:hint="eastAsia" w:ascii="Times New Roman" w:hAnsi="Times New Roman" w:eastAsia="宋体" w:cs="Times New Roman"/>
          <w:b/>
          <w:color w:val="auto"/>
          <w:kern w:val="0"/>
          <w:sz w:val="24"/>
          <w:szCs w:val="24"/>
          <w:highlight w:val="none"/>
          <w:lang w:val="en-US" w:eastAsia="zh-CN" w:bidi="ar-SA"/>
        </w:rPr>
        <w:t xml:space="preserve">                                   项目</w:t>
      </w:r>
      <w:r>
        <w:rPr>
          <w:rFonts w:hint="eastAsia" w:ascii="Times New Roman" w:hAnsi="Times New Roman" w:eastAsia="宋体" w:cs="Times New Roman"/>
          <w:color w:val="auto"/>
          <w:kern w:val="0"/>
          <w:sz w:val="24"/>
          <w:szCs w:val="24"/>
          <w:highlight w:val="none"/>
          <w:lang w:val="en-US" w:eastAsia="zh-CN" w:bidi="ar-SA"/>
        </w:rPr>
        <w:t>中，为了规范、约束采供双方的行为，防止违法违纪和不廉洁问题的发生，维护双方合法利益，经双方同意在签订采购合同的同时签订本廉政协议。</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一、甲方义务</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1.</w:t>
      </w:r>
      <w:r>
        <w:rPr>
          <w:rFonts w:hint="eastAsia" w:ascii="Times New Roman" w:hAnsi="Times New Roman" w:eastAsia="宋体" w:cs="Times New Roman"/>
          <w:color w:val="auto"/>
          <w:kern w:val="0"/>
          <w:sz w:val="24"/>
          <w:szCs w:val="24"/>
          <w:highlight w:val="none"/>
          <w:lang w:val="en-US" w:eastAsia="zh-CN" w:bidi="ar-SA"/>
        </w:rPr>
        <w:t>不向乙方索取或接受乙方任何形式的现金、有价证券、支付凭证和贵重礼品等。</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、不得以咨询费、劳务费等名义向乙方索要合同以外的各种费用，不在乙方报销应由本单位或个人承担的费用。</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不接受乙方提供的公款旅游和高消费健身、娱乐等活动，不参加乙方组织的有可能影响公正履行合同的宴请等活动。</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不要求乙方为自己亲友的经营活动提供便利条件。</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不准在乙方合同签订、验收、付款等正常按约履行时为索取合同约定以外的费用而推诿扯皮、借故刁难。</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二、乙方义务</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1.</w:t>
      </w:r>
      <w:r>
        <w:rPr>
          <w:rFonts w:hint="eastAsia" w:ascii="Times New Roman" w:hAnsi="Times New Roman" w:eastAsia="宋体" w:cs="Times New Roman"/>
          <w:color w:val="auto"/>
          <w:kern w:val="0"/>
          <w:sz w:val="24"/>
          <w:szCs w:val="24"/>
          <w:highlight w:val="none"/>
          <w:lang w:val="en-US" w:eastAsia="zh-CN" w:bidi="ar-SA"/>
        </w:rPr>
        <w:t>不以任何形式向甲方及其工作人员送礼金、有价证券、支付凭证和贵重礼品等。</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不支付甲方及其工作人员以咨询费、劳务费等名义索要的各种费用，报销应由甲方单位或个人承担的费用。</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不为甲方及其工作人员提供公款旅游和高消费健身、娱乐活动，不利用宴请等活动影响甲方人员公正履行合同。</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不为甲方工作人员亲友的营利活动提供便利条件。</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不得在合同签订、验收、付款等履行环节为获得便利向甲方任何人支付任何合同约定以外的费用。</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三、违约责任</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1.</w:t>
      </w:r>
      <w:r>
        <w:rPr>
          <w:rFonts w:hint="eastAsia" w:ascii="Times New Roman" w:hAnsi="Times New Roman" w:eastAsia="宋体" w:cs="Times New Roman"/>
          <w:color w:val="auto"/>
          <w:kern w:val="0"/>
          <w:sz w:val="24"/>
          <w:szCs w:val="24"/>
          <w:highlight w:val="none"/>
          <w:lang w:val="en-US" w:eastAsia="zh-CN" w:bidi="ar-SA"/>
        </w:rPr>
        <w:t>甲乙双方中有不履行各自第</w:t>
      </w:r>
      <w:r>
        <w:rPr>
          <w:rFonts w:ascii="Times New Roman" w:hAnsi="Times New Roman" w:eastAsia="宋体" w:cs="Times New Roman"/>
          <w:color w:val="auto"/>
          <w:kern w:val="0"/>
          <w:sz w:val="24"/>
          <w:szCs w:val="24"/>
          <w:highlight w:val="none"/>
          <w:lang w:val="en-US" w:eastAsia="zh-CN" w:bidi="ar-SA"/>
        </w:rPr>
        <w:t>1</w:t>
      </w:r>
      <w:r>
        <w:rPr>
          <w:rFonts w:hint="eastAsia" w:ascii="Times New Roman" w:hAnsi="Times New Roman" w:eastAsia="宋体" w:cs="Times New Roman"/>
          <w:color w:val="auto"/>
          <w:kern w:val="0"/>
          <w:sz w:val="24"/>
          <w:szCs w:val="24"/>
          <w:highlight w:val="none"/>
          <w:lang w:val="en-US" w:eastAsia="zh-CN" w:bidi="ar-SA"/>
        </w:rPr>
        <w:t>—</w:t>
      </w:r>
      <w:r>
        <w:rPr>
          <w:rFonts w:ascii="Times New Roman" w:hAnsi="Times New Roman" w:eastAsia="宋体"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项义务，甲方人员有索贿、主动向乙方索要或要求乙方提供的，构成违纪的，要依据党纪政纪严肃处理，并由行为人本人向乙方支付全部违约金；乙方主动提供的，乙方向甲方支付违约金。</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甲乙双方均违反协议约定的各自第</w:t>
      </w:r>
      <w:r>
        <w:rPr>
          <w:rFonts w:ascii="Times New Roman" w:hAnsi="Times New Roman" w:eastAsia="宋体"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w:t>
      </w:r>
      <w:r>
        <w:rPr>
          <w:rFonts w:ascii="Times New Roman" w:hAnsi="Times New Roman" w:eastAsia="宋体"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项义务，经查证属实的，属甲方及其工作人员行为</w:t>
      </w:r>
      <w:r>
        <w:rPr>
          <w:rFonts w:ascii="Times New Roman" w:hAnsi="Times New Roman" w:eastAsia="宋体"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根据情节轻重按有关规定追究其责任。由行为人先行违反义务方向对方支付违约金。</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乙方违反协议约定义务的，除按约定支付相应的违约金外，甲方有权终止采购合同直至取消乙方今后作为甲方采购单位的资格。</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双方不履行上述各自义务，构成违法违纪的，由司法机关和有关执纪部门按管辖权依法依纪处理，所认定的事实和处理结果作为承担约定违约责任的依据。</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四、违约责任追究</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1.</w:t>
      </w:r>
      <w:r>
        <w:rPr>
          <w:rFonts w:hint="eastAsia" w:ascii="Times New Roman" w:hAnsi="Times New Roman" w:eastAsia="宋体" w:cs="Times New Roman"/>
          <w:color w:val="auto"/>
          <w:kern w:val="0"/>
          <w:sz w:val="24"/>
          <w:szCs w:val="24"/>
          <w:highlight w:val="none"/>
          <w:lang w:val="en-US" w:eastAsia="zh-CN" w:bidi="ar-SA"/>
        </w:rPr>
        <w:t>双方应自觉履行本协议书并互相监督，一方不履行协议的，另一方有权利和义务进行举报。乙方举报甲方违规违纪行为，甲方保证乙方不会在正常业务中受不公平待遇。</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由于双方单位或工作人员个人行为造成违约的，双方单位承担上述约定的违约责任。</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双方在履行协议中发生争议，一方有权向对方的上级主管部门和执纪部门反映情况，并要求帮助解决争议。</w:t>
      </w:r>
    </w:p>
    <w:p>
      <w:pPr>
        <w:widowControl w:val="0"/>
        <w:spacing w:line="360" w:lineRule="exact"/>
        <w:ind w:firstLine="640"/>
        <w:jc w:val="both"/>
        <w:rPr>
          <w:rFonts w:ascii="Times New Roman" w:hAnsi="Times New Roman" w:eastAsia="宋体" w:cs="Times New Roman"/>
          <w:color w:val="auto"/>
          <w:kern w:val="0"/>
          <w:sz w:val="24"/>
          <w:szCs w:val="24"/>
          <w:highlight w:val="none"/>
          <w:lang w:val="en-US" w:eastAsia="zh-CN" w:bidi="ar-SA"/>
        </w:rPr>
      </w:pPr>
      <w:r>
        <w:rPr>
          <w:rFonts w:ascii="Times New Roman" w:hAnsi="Times New Roman" w:eastAsia="宋体"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违约方应在有关部门对不履行本协议的行为做出处理或结论后三日内向对方支付违约金。</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五、甲乙双方有其他违反廉政规定的行为，影响正确履行采购合同的，按国家的有关法令、法规和铁路总公司及上海铁路公安局的规章制度，对相关方予以责任追究。</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六、本协议作为采购合同的组成部分，具有与采购合同同等的法律效力。</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七、本协议一式二份，甲乙双方各执一份。</w:t>
      </w:r>
    </w:p>
    <w:p>
      <w:pPr>
        <w:widowControl w:val="0"/>
        <w:spacing w:line="360" w:lineRule="exact"/>
        <w:ind w:firstLine="594"/>
        <w:jc w:val="both"/>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八、本协议有效期限为采购合同签署之日起，至采购合同履行期满止。</w:t>
      </w:r>
    </w:p>
    <w:p>
      <w:pPr>
        <w:widowControl w:val="0"/>
        <w:spacing w:line="360" w:lineRule="exact"/>
        <w:ind w:left="640" w:firstLine="594"/>
        <w:jc w:val="both"/>
        <w:rPr>
          <w:rFonts w:ascii="Times New Roman" w:hAnsi="Times New Roman" w:eastAsia="宋体" w:cs="Times New Roman"/>
          <w:color w:val="auto"/>
          <w:kern w:val="0"/>
          <w:sz w:val="24"/>
          <w:szCs w:val="24"/>
          <w:highlight w:val="none"/>
          <w:lang w:val="en-US" w:eastAsia="zh-CN" w:bidi="ar-SA"/>
        </w:rPr>
      </w:pPr>
    </w:p>
    <w:p>
      <w:pPr>
        <w:spacing w:line="360" w:lineRule="exact"/>
        <w:ind w:firstLine="720" w:firstLineChars="300"/>
        <w:rPr>
          <w:rFonts w:ascii="仿宋_GB2312" w:hAnsi="Times New Roman" w:eastAsia="宋体" w:cs="Times New Roman"/>
          <w:color w:val="auto"/>
          <w:sz w:val="24"/>
          <w:szCs w:val="24"/>
          <w:highlight w:val="none"/>
        </w:rPr>
      </w:pPr>
      <w:r>
        <w:rPr>
          <w:rFonts w:hint="eastAsia" w:ascii="仿宋_GB2312" w:hAnsi="Times New Roman" w:eastAsia="宋体" w:cs="Times New Roman"/>
          <w:color w:val="auto"/>
          <w:sz w:val="24"/>
          <w:szCs w:val="24"/>
          <w:highlight w:val="none"/>
        </w:rPr>
        <w:t>甲方（盖章）：               乙方（盖章）：</w:t>
      </w:r>
    </w:p>
    <w:p>
      <w:pPr>
        <w:spacing w:line="360" w:lineRule="exact"/>
        <w:ind w:firstLine="720" w:firstLineChars="300"/>
        <w:rPr>
          <w:rFonts w:ascii="仿宋_GB2312" w:hAnsi="Times New Roman" w:eastAsia="宋体" w:cs="Times New Roman"/>
          <w:color w:val="auto"/>
          <w:sz w:val="24"/>
          <w:szCs w:val="24"/>
          <w:highlight w:val="none"/>
        </w:rPr>
      </w:pPr>
    </w:p>
    <w:p>
      <w:pPr>
        <w:spacing w:line="360" w:lineRule="exact"/>
        <w:ind w:firstLine="720" w:firstLineChars="300"/>
        <w:rPr>
          <w:rFonts w:ascii="仿宋_GB2312" w:hAnsi="Times New Roman" w:eastAsia="宋体" w:cs="Times New Roman"/>
          <w:color w:val="auto"/>
          <w:sz w:val="24"/>
          <w:szCs w:val="24"/>
          <w:highlight w:val="none"/>
        </w:rPr>
      </w:pPr>
      <w:r>
        <w:rPr>
          <w:rFonts w:hint="eastAsia" w:ascii="仿宋_GB2312" w:hAnsi="Times New Roman" w:eastAsia="宋体" w:cs="Times New Roman"/>
          <w:color w:val="auto"/>
          <w:sz w:val="24"/>
          <w:szCs w:val="24"/>
          <w:highlight w:val="none"/>
        </w:rPr>
        <w:t>代表签字：                  代表签字：</w:t>
      </w:r>
    </w:p>
    <w:p>
      <w:pPr>
        <w:spacing w:line="360" w:lineRule="exact"/>
        <w:ind w:firstLine="240" w:firstLineChars="100"/>
        <w:jc w:val="center"/>
        <w:rPr>
          <w:rFonts w:ascii="仿宋_GB2312" w:hAnsi="Times New Roman" w:eastAsia="宋体" w:cs="Times New Roman"/>
          <w:color w:val="auto"/>
          <w:sz w:val="24"/>
          <w:szCs w:val="24"/>
          <w:highlight w:val="none"/>
        </w:rPr>
      </w:pPr>
    </w:p>
    <w:p>
      <w:pPr>
        <w:spacing w:line="360" w:lineRule="exact"/>
        <w:ind w:firstLine="3360" w:firstLineChars="1400"/>
        <w:rPr>
          <w:rFonts w:ascii="Times New Roman" w:hAnsi="Times New Roman" w:eastAsia="宋体" w:cs="Times New Roman"/>
          <w:color w:val="auto"/>
          <w:sz w:val="24"/>
          <w:szCs w:val="24"/>
          <w:highlight w:val="none"/>
        </w:rPr>
      </w:pPr>
    </w:p>
    <w:p>
      <w:pP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年</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月</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日</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月</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日</w:t>
      </w:r>
    </w:p>
    <w:p>
      <w:pPr>
        <w:rPr>
          <w:rFonts w:ascii="黑体" w:hAnsi="黑体" w:eastAsia="黑体" w:cs="黑体"/>
          <w:color w:val="auto"/>
          <w:kern w:val="44"/>
          <w:sz w:val="24"/>
          <w:szCs w:val="24"/>
          <w:highlight w:val="none"/>
          <w:u w:color="000000"/>
          <w:lang w:val="zh-TW" w:eastAsia="zh-TW"/>
        </w:rPr>
      </w:pPr>
      <w:r>
        <w:rPr>
          <w:rFonts w:ascii="黑体" w:hAnsi="黑体" w:eastAsia="黑体" w:cs="黑体"/>
          <w:color w:val="auto"/>
          <w:kern w:val="44"/>
          <w:sz w:val="24"/>
          <w:szCs w:val="24"/>
          <w:highlight w:val="none"/>
          <w:u w:color="000000"/>
          <w:lang w:val="zh-TW" w:eastAsia="zh-TW"/>
        </w:rPr>
        <w:br w:type="page"/>
      </w:r>
    </w:p>
    <w:p>
      <w:pPr>
        <w:keepNext/>
        <w:keepLines/>
        <w:numPr>
          <w:ilvl w:val="0"/>
          <w:numId w:val="1"/>
        </w:numPr>
        <w:spacing w:before="312" w:beforeLines="100" w:after="312" w:afterLines="100" w:line="360" w:lineRule="auto"/>
        <w:jc w:val="center"/>
        <w:outlineLvl w:val="0"/>
        <w:rPr>
          <w:rFonts w:ascii="黑体" w:hAnsi="黑体" w:eastAsia="黑体" w:cs="黑体"/>
          <w:color w:val="auto"/>
          <w:kern w:val="44"/>
          <w:sz w:val="36"/>
          <w:szCs w:val="36"/>
          <w:highlight w:val="none"/>
          <w:u w:color="000000"/>
          <w:lang w:val="zh-TW" w:eastAsia="zh-TW"/>
        </w:rPr>
      </w:pPr>
      <w:r>
        <w:rPr>
          <w:rFonts w:hint="eastAsia" w:ascii="黑体" w:hAnsi="黑体" w:eastAsia="黑体" w:cs="黑体"/>
          <w:color w:val="auto"/>
          <w:kern w:val="44"/>
          <w:sz w:val="36"/>
          <w:szCs w:val="36"/>
          <w:highlight w:val="none"/>
          <w:u w:color="000000"/>
          <w:lang w:val="zh-TW"/>
        </w:rPr>
        <w:t xml:space="preserve"> </w:t>
      </w:r>
      <w:bookmarkStart w:id="23" w:name="_Toc14170"/>
      <w:r>
        <w:rPr>
          <w:rFonts w:hint="eastAsia" w:ascii="黑体" w:hAnsi="黑体" w:eastAsia="黑体" w:cs="黑体"/>
          <w:color w:val="auto"/>
          <w:kern w:val="44"/>
          <w:sz w:val="36"/>
          <w:szCs w:val="36"/>
          <w:highlight w:val="none"/>
          <w:u w:color="000000"/>
          <w:lang w:val="zh-TW" w:eastAsia="zh-TW"/>
        </w:rPr>
        <w:t>项目需求</w:t>
      </w:r>
      <w:bookmarkEnd w:id="23"/>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8"/>
          <w:highlight w:val="none"/>
          <w:lang w:val="en-US" w:eastAsia="zh-CN"/>
        </w:rPr>
      </w:pPr>
      <w:bookmarkStart w:id="24" w:name="_Toc29558"/>
      <w:r>
        <w:rPr>
          <w:rFonts w:hint="eastAsia"/>
          <w:b/>
          <w:bCs/>
          <w:color w:val="auto"/>
          <w:sz w:val="24"/>
          <w:szCs w:val="28"/>
          <w:highlight w:val="none"/>
          <w:lang w:val="en-US" w:eastAsia="zh-CN"/>
        </w:rPr>
        <w:t>一、项目概述：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eastAsia"/>
          <w:color w:val="auto"/>
          <w:sz w:val="24"/>
          <w:szCs w:val="28"/>
          <w:highlight w:val="none"/>
          <w:lang w:val="en-US" w:eastAsia="zh-CN"/>
        </w:rPr>
        <w:t>本项目要求建设南京铁路公安处在江苏省内下辖25个派出所外加指挥中心共26个点位的一键点调平台，融合现有视频会议系统、4G执法记录仪、移动警务终端、350兆电台，加强智慧乘务建设，达到互联互通，设备图上展示，真正形成“一键令全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二、设计规划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建设范围内的活动均遵守国家现行的规范与标准，对我国未制定的规范，则参照相应的国际标准执行。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《会议电视系统工程设计规范》YD/T5032-2018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《会议电视系统工程验收规范》YD/T5033-2018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《远程呈现视频会议系统系统架构》YD/T 3244-2017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《远程呈现视频会议系统协议技术要求》YD/T 3245-2017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《IP网络高清视频客观全参考质量评价方法》YD/T 2647-2013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《会议电视会场系统工程设计规范》GB50635-2010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《会议电视会场系统工程施工及验收规范》GB50793-2012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《关于进一步加强政务部门信息共享建设管理的指导意见》发改高技[2013]733号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《中共中央办公厅、国务院办公厅关于转发〈国家信息化领导小组关于我国电子政务建设指导意见〉的通知》（中办发[2002]17号）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《国家信息化领导小组关于推进国家电子政务网络建设的意见》（中办发[2006]18号）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《2006-2020年国家信息化发展战略》中办发[2006]11号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《国务院关于促进云计算创新发展培育信息产业新业态的意见》国发【2015】5号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《中华人民共和国国民经济和社会发展第十四个五年规划和2035年远景目标纲要》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《“十四五”国家信息化规划》中央网络安全和信息化委员会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系统框架协议：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H.221：视听电信业务中的64～1920kbit/s信道的帧结构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H.225：基于分组网络的多媒体通信系统呼叫信令与媒体流传输协议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H.231：用于2Mbit/s以下数字信道的视听系统多点控制单元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H.235：</w:t>
      </w:r>
      <w:r>
        <w:rPr>
          <w:rFonts w:hint="default"/>
          <w:color w:val="auto"/>
          <w:sz w:val="24"/>
          <w:szCs w:val="28"/>
          <w:highlight w:val="none"/>
          <w:lang w:val="en-US" w:eastAsia="zh-CN"/>
        </w:rPr>
        <w:tab/>
      </w:r>
      <w:r>
        <w:rPr>
          <w:rFonts w:hint="default"/>
          <w:color w:val="auto"/>
          <w:sz w:val="24"/>
          <w:szCs w:val="28"/>
          <w:highlight w:val="none"/>
          <w:lang w:val="en-US" w:eastAsia="zh-CN"/>
        </w:rPr>
        <w:t>用于定义媒体流的加密规程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H.239：</w:t>
      </w:r>
      <w:r>
        <w:rPr>
          <w:rFonts w:hint="default"/>
          <w:color w:val="auto"/>
          <w:sz w:val="24"/>
          <w:szCs w:val="28"/>
          <w:highlight w:val="none"/>
          <w:lang w:val="en-US" w:eastAsia="zh-CN"/>
        </w:rPr>
        <w:tab/>
      </w:r>
      <w:r>
        <w:rPr>
          <w:rFonts w:hint="default"/>
          <w:color w:val="auto"/>
          <w:sz w:val="24"/>
          <w:szCs w:val="28"/>
          <w:highlight w:val="none"/>
          <w:lang w:val="en-US" w:eastAsia="zh-CN"/>
        </w:rPr>
        <w:t>用于数据应用双流协议的技术标准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H.245：</w:t>
      </w:r>
      <w:r>
        <w:rPr>
          <w:rFonts w:hint="default"/>
          <w:color w:val="auto"/>
          <w:sz w:val="24"/>
          <w:szCs w:val="28"/>
          <w:highlight w:val="none"/>
          <w:lang w:val="en-US" w:eastAsia="zh-CN"/>
        </w:rPr>
        <w:tab/>
      </w:r>
      <w:r>
        <w:rPr>
          <w:rFonts w:hint="default"/>
          <w:color w:val="auto"/>
          <w:sz w:val="24"/>
          <w:szCs w:val="28"/>
          <w:highlight w:val="none"/>
          <w:lang w:val="en-US" w:eastAsia="zh-CN"/>
        </w:rPr>
        <w:t>多媒体通信控制协议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H.261：关于P X 64kbit/s视听业务的视频编解码器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H.263：关于低码率通信的视频编解码协议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H.264：关于高压缩比低码率通信的视频编解码协议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H.281：会议电视的远端摄像机控制规程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H.323：</w:t>
      </w:r>
      <w:r>
        <w:rPr>
          <w:rFonts w:hint="default"/>
          <w:color w:val="auto"/>
          <w:sz w:val="24"/>
          <w:szCs w:val="28"/>
          <w:highlight w:val="none"/>
          <w:lang w:val="en-US" w:eastAsia="zh-CN"/>
        </w:rPr>
        <w:tab/>
      </w:r>
      <w:r>
        <w:rPr>
          <w:rFonts w:hint="default"/>
          <w:color w:val="auto"/>
          <w:sz w:val="24"/>
          <w:szCs w:val="28"/>
          <w:highlight w:val="none"/>
          <w:lang w:val="en-US" w:eastAsia="zh-CN"/>
        </w:rPr>
        <w:t>基于IP包交换网络中多媒体业务的框架协议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G.711：</w:t>
      </w:r>
      <w:r>
        <w:rPr>
          <w:rFonts w:hint="default"/>
          <w:color w:val="auto"/>
          <w:sz w:val="24"/>
          <w:szCs w:val="28"/>
          <w:highlight w:val="none"/>
          <w:lang w:val="en-US" w:eastAsia="zh-CN"/>
        </w:rPr>
        <w:tab/>
      </w:r>
      <w:r>
        <w:rPr>
          <w:rFonts w:hint="default"/>
          <w:color w:val="auto"/>
          <w:sz w:val="24"/>
          <w:szCs w:val="28"/>
          <w:highlight w:val="none"/>
          <w:lang w:val="en-US" w:eastAsia="zh-CN"/>
        </w:rPr>
        <w:t>话音频率的PCM脉冲编码调制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G.719：</w:t>
      </w:r>
      <w:r>
        <w:rPr>
          <w:rFonts w:hint="default"/>
          <w:color w:val="auto"/>
          <w:sz w:val="24"/>
          <w:szCs w:val="28"/>
          <w:highlight w:val="none"/>
          <w:lang w:val="en-US" w:eastAsia="zh-CN"/>
        </w:rPr>
        <w:tab/>
      </w:r>
      <w:r>
        <w:rPr>
          <w:rFonts w:hint="default"/>
          <w:color w:val="auto"/>
          <w:sz w:val="24"/>
          <w:szCs w:val="28"/>
          <w:highlight w:val="none"/>
          <w:lang w:val="en-US" w:eastAsia="zh-CN"/>
        </w:rPr>
        <w:t>用64Kbps传输22Khz的声音，宽带音频编码标准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G.722：</w:t>
      </w:r>
      <w:r>
        <w:rPr>
          <w:rFonts w:hint="default"/>
          <w:color w:val="auto"/>
          <w:sz w:val="24"/>
          <w:szCs w:val="28"/>
          <w:highlight w:val="none"/>
          <w:lang w:val="en-US" w:eastAsia="zh-CN"/>
        </w:rPr>
        <w:tab/>
      </w:r>
      <w:r>
        <w:rPr>
          <w:rFonts w:hint="default"/>
          <w:color w:val="auto"/>
          <w:sz w:val="24"/>
          <w:szCs w:val="28"/>
          <w:highlight w:val="none"/>
          <w:lang w:val="en-US" w:eastAsia="zh-CN"/>
        </w:rPr>
        <w:t>自适应差分脉冲编码调制（APPCM）的语音编码标准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G.722.1 Annex C：用24或48kbps传输14Khz的声音,宽带音频编码标准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G.728：</w:t>
      </w:r>
      <w:r>
        <w:rPr>
          <w:rFonts w:hint="default"/>
          <w:color w:val="auto"/>
          <w:sz w:val="24"/>
          <w:szCs w:val="28"/>
          <w:highlight w:val="none"/>
          <w:lang w:val="en-US" w:eastAsia="zh-CN"/>
        </w:rPr>
        <w:tab/>
      </w:r>
      <w:r>
        <w:rPr>
          <w:rFonts w:hint="default"/>
          <w:color w:val="auto"/>
          <w:sz w:val="24"/>
          <w:szCs w:val="28"/>
          <w:highlight w:val="none"/>
          <w:lang w:val="en-US" w:eastAsia="zh-CN"/>
        </w:rPr>
        <w:t>低时延码本激励线性预测编码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ITU-T G.729：电话带宽的语音信号编码的标准</w:t>
      </w:r>
      <w:r>
        <w:rPr>
          <w:rFonts w:hint="default"/>
          <w:color w:val="auto"/>
          <w:sz w:val="24"/>
          <w:szCs w:val="28"/>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ISO/IEC  MPEG4-AAC（LC/LD）: 高级音频编码（低复杂度/低延时）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ISO/IEC  MP3: MPEG第三代声音文件压缩格式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IETF SIP : 多媒体交互会话会话控制协议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default"/>
          <w:color w:val="auto"/>
          <w:sz w:val="24"/>
          <w:szCs w:val="28"/>
          <w:highlight w:val="none"/>
          <w:lang w:val="en-US" w:eastAsia="zh-CN"/>
        </w:rPr>
        <w:t>RTC：实时通信技术。泛指各种数据的实时传输，包括音频，视频，文本，图片等媒体和非媒体数据的实时传输。</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default"/>
          <w:b/>
          <w:bCs/>
          <w:color w:val="auto"/>
          <w:sz w:val="24"/>
          <w:szCs w:val="28"/>
          <w:highlight w:val="none"/>
          <w:lang w:val="en-US" w:eastAsia="zh-CN"/>
        </w:rPr>
      </w:pPr>
      <w:r>
        <w:rPr>
          <w:rFonts w:hint="default"/>
          <w:b/>
          <w:bCs/>
          <w:color w:val="auto"/>
          <w:sz w:val="24"/>
          <w:szCs w:val="28"/>
          <w:highlight w:val="none"/>
          <w:lang w:val="en-US" w:eastAsia="zh-CN"/>
        </w:rPr>
        <w:t>招标清单、招标范围及技术要求</w:t>
      </w:r>
    </w:p>
    <w:tbl>
      <w:tblPr>
        <w:tblStyle w:val="30"/>
        <w:tblW w:w="9493" w:type="dxa"/>
        <w:tblInd w:w="113" w:type="dxa"/>
        <w:tblLayout w:type="autofit"/>
        <w:tblCellMar>
          <w:top w:w="0" w:type="dxa"/>
          <w:left w:w="108" w:type="dxa"/>
          <w:bottom w:w="0" w:type="dxa"/>
          <w:right w:w="108" w:type="dxa"/>
        </w:tblCellMar>
      </w:tblPr>
      <w:tblGrid>
        <w:gridCol w:w="570"/>
        <w:gridCol w:w="2164"/>
        <w:gridCol w:w="4262"/>
        <w:gridCol w:w="570"/>
        <w:gridCol w:w="570"/>
        <w:gridCol w:w="1357"/>
      </w:tblGrid>
      <w:tr>
        <w:tblPrEx>
          <w:tblCellMar>
            <w:top w:w="0" w:type="dxa"/>
            <w:left w:w="108" w:type="dxa"/>
            <w:bottom w:w="0" w:type="dxa"/>
            <w:right w:w="108" w:type="dxa"/>
          </w:tblCellMar>
        </w:tblPrEx>
        <w:trPr>
          <w:trHeight w:val="222" w:hRule="atLeast"/>
        </w:trPr>
        <w:tc>
          <w:tcPr>
            <w:tcW w:w="5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16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型号</w:t>
            </w:r>
          </w:p>
        </w:tc>
        <w:tc>
          <w:tcPr>
            <w:tcW w:w="42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技术参数</w:t>
            </w:r>
          </w:p>
        </w:tc>
        <w:tc>
          <w:tcPr>
            <w:tcW w:w="5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5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35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tblPrEx>
          <w:tblCellMar>
            <w:top w:w="0" w:type="dxa"/>
            <w:left w:w="108" w:type="dxa"/>
            <w:bottom w:w="0" w:type="dxa"/>
            <w:right w:w="108" w:type="dxa"/>
          </w:tblCellMar>
        </w:tblPrEx>
        <w:trPr>
          <w:trHeight w:val="222" w:hRule="atLeast"/>
        </w:trPr>
        <w:tc>
          <w:tcPr>
            <w:tcW w:w="5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164"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电信级一体式云多点控制单元 </w:t>
            </w:r>
          </w:p>
        </w:tc>
        <w:tc>
          <w:tcPr>
            <w:tcW w:w="4262"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≤2U，支持H.265/H.264编解码，提供画面合成、智能混音等多方视频会议服务，10/100/1000M以太网接口，支持网口备份，支持国密会议</w:t>
            </w:r>
          </w:p>
        </w:tc>
        <w:tc>
          <w:tcPr>
            <w:tcW w:w="5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7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接入端口 </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1个接入端口</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25 </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个 </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会议解码器</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≥8路超高清解码单元</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主会场会议编解码终端 </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智能高清</w:t>
            </w:r>
            <w:r>
              <w:rPr>
                <w:rFonts w:hint="eastAsia" w:ascii="宋体" w:hAnsi="宋体" w:eastAsia="宋体" w:cs="宋体"/>
                <w:color w:val="auto"/>
                <w:kern w:val="0"/>
                <w:sz w:val="21"/>
                <w:szCs w:val="21"/>
                <w:highlight w:val="none"/>
                <w:lang w:eastAsia="zh-CN"/>
              </w:rPr>
              <w:t>会议编解码终端</w:t>
            </w:r>
            <w:r>
              <w:rPr>
                <w:rFonts w:hint="eastAsia" w:ascii="宋体" w:hAnsi="宋体" w:eastAsia="宋体" w:cs="宋体"/>
                <w:color w:val="auto"/>
                <w:kern w:val="0"/>
                <w:sz w:val="21"/>
                <w:szCs w:val="21"/>
                <w:highlight w:val="none"/>
              </w:rPr>
              <w:t>(不低于8M,1080p,不低于2个10/100/1000M,HDBaseT/HDMI/VGA输入,HDMI/DVI/VGA输出),国密</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主会场摄像机 </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PTZ摄像机,不低于1080P60,12倍光学变焦,最低照度0.1Lx,F1.6,支持HDBaseT输出,支持正装或倒装</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主会场矩阵输入板卡</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适配原设备 不低于4路1080P输入口，HDMI接口</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分会场会议编解码终端 </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智能高清</w:t>
            </w:r>
            <w:r>
              <w:rPr>
                <w:rFonts w:hint="eastAsia" w:ascii="宋体" w:hAnsi="宋体" w:eastAsia="宋体" w:cs="宋体"/>
                <w:color w:val="auto"/>
                <w:kern w:val="0"/>
                <w:sz w:val="21"/>
                <w:szCs w:val="21"/>
                <w:highlight w:val="none"/>
                <w:lang w:eastAsia="zh-CN"/>
              </w:rPr>
              <w:t>会议编解码终端</w:t>
            </w:r>
            <w:r>
              <w:rPr>
                <w:rFonts w:hint="eastAsia" w:ascii="宋体" w:hAnsi="宋体" w:eastAsia="宋体" w:cs="宋体"/>
                <w:color w:val="auto"/>
                <w:kern w:val="0"/>
                <w:sz w:val="21"/>
                <w:szCs w:val="21"/>
                <w:highlight w:val="none"/>
              </w:rPr>
              <w:t>(不低于8M,1080p,2个10/100/1000M,HDMI输入/输出),国密</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分会场摄像机</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PTZ摄像机,不低于1080P30,12倍光学变焦,最低照度0.1Lx,F1.6,支持HDBaseT输出,支持正装或倒装</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分会场半球摄像头</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400万海螺型网络摄像机，最高分辨率不低于2560 × 1440 @25 fps</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支持用户登录锁定机制，及密码复杂度提示</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鹅颈数字麦克风</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鹅颈数字话筒,90°单一锐指向,灵敏度不低于-20dB,频响80Hz～15KHz,信噪比≥96dB,最佳拾音距离10～50cm,Micro USB数字音频接口供电</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音箱</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≥8寸两分频无源线音箱，低频单元50mm音圈，高频单元1.3英寸喉口34mm音圈，功率:200W（RMS）、400W（PEAK），标称阻抗8Ω，连接接插件2×NLV4MP。</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只</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功放</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双通道，支持2×300W/8Ω，2×600W/4Ω、2×1200W/2Ω、桥接1×900W/8Ω多种阻抗功率，输入单通道、立体声模式选择，独立音量控制，采用双XLR输入连接，SPEAKON与凤凰端子两种输出连接。</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调音台</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8路调音台，不少于4个话筒输入，每路48v幻象电源开关，2路Line输入，2个编组设有独立输出，2个辅助发送。</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993"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电视机</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70寸电视机</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提供</w:t>
            </w:r>
            <w:r>
              <w:rPr>
                <w:rFonts w:hint="eastAsia" w:ascii="宋体" w:hAnsi="宋体" w:eastAsia="宋体" w:cs="宋体"/>
                <w:b w:val="0"/>
                <w:bCs w:val="0"/>
                <w:color w:val="auto"/>
                <w:kern w:val="0"/>
                <w:sz w:val="21"/>
                <w:szCs w:val="21"/>
                <w:highlight w:val="none"/>
              </w:rPr>
              <w:t xml:space="preserve">有效的节能产品认证证书 </w:t>
            </w: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电视机支架</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落地式带置物功能</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机柜</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15U（600*450*800）</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PDU</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6位PDU</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线材</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终端至功放线材</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线材</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终端至调音台线材</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w:t>
            </w:r>
          </w:p>
        </w:tc>
        <w:tc>
          <w:tcPr>
            <w:tcW w:w="1357" w:type="dxa"/>
            <w:tcBorders>
              <w:top w:val="nil"/>
              <w:left w:val="nil"/>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线材</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调音台至麦克风线材</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w:t>
            </w:r>
          </w:p>
        </w:tc>
        <w:tc>
          <w:tcPr>
            <w:tcW w:w="1357" w:type="dxa"/>
            <w:tcBorders>
              <w:top w:val="single" w:color="auto" w:sz="4" w:space="0"/>
              <w:left w:val="nil"/>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NVR</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32路 支持4盘位8T硬盘</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1357"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用于分会场监控功能</w:t>
            </w: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监控硬盘</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8T</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块</w:t>
            </w:r>
          </w:p>
        </w:tc>
        <w:tc>
          <w:tcPr>
            <w:tcW w:w="1357"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p>
        </w:tc>
      </w:tr>
      <w:tr>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网线</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六类非屏蔽双绞线</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箱</w:t>
            </w:r>
          </w:p>
        </w:tc>
        <w:tc>
          <w:tcPr>
            <w:tcW w:w="1357"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22" w:hRule="atLeast"/>
        </w:trPr>
        <w:tc>
          <w:tcPr>
            <w:tcW w:w="57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216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系统集成</w:t>
            </w:r>
            <w:r>
              <w:rPr>
                <w:rFonts w:hint="eastAsia" w:ascii="宋体" w:hAnsi="宋体" w:eastAsia="宋体" w:cs="宋体"/>
                <w:color w:val="auto"/>
                <w:kern w:val="0"/>
                <w:sz w:val="21"/>
                <w:szCs w:val="21"/>
                <w:highlight w:val="none"/>
              </w:rPr>
              <w:t>费</w:t>
            </w:r>
          </w:p>
        </w:tc>
        <w:tc>
          <w:tcPr>
            <w:tcW w:w="426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25个派出所+南京处指挥中心</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57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处</w:t>
            </w:r>
          </w:p>
        </w:tc>
        <w:tc>
          <w:tcPr>
            <w:tcW w:w="13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w:t>
            </w:r>
          </w:p>
        </w:tc>
      </w:tr>
    </w:tbl>
    <w:p>
      <w:pPr>
        <w:spacing w:line="360" w:lineRule="auto"/>
        <w:ind w:firstLine="480" w:firstLineChars="200"/>
        <w:jc w:val="left"/>
        <w:rPr>
          <w:rFonts w:hint="eastAsia" w:ascii="宋体" w:hAnsi="宋体" w:eastAsia="宋体" w:cs="宋体"/>
          <w:color w:val="auto"/>
          <w:sz w:val="24"/>
          <w:szCs w:val="24"/>
          <w:highlight w:val="none"/>
        </w:rPr>
      </w:pPr>
    </w:p>
    <w:p>
      <w:pPr>
        <w:widowControl w:val="0"/>
        <w:tabs>
          <w:tab w:val="left" w:pos="720"/>
        </w:tabs>
        <w:spacing w:before="60" w:after="60" w:line="360" w:lineRule="auto"/>
        <w:ind w:firstLine="48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
        </w:rPr>
        <w:t>电信级一体式云多点控制单元</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▲支持与江苏省公安厅一键点调系统级联，可在一键点调系统中对此次建设的多点控制单元进行统一控制管理。（投标人提供承诺函证明）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采用嵌入式一体化设计，标配双电源冗余备份，保证设备7*24小时长时间连续运行。</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支持同一平台同时接入不同类型终端，包括普通硬件终端、软件即时通信终端（包括windows、android、ios操作系统）、web终端，可实现随时随地召开各类视频会议、即时通信功能。</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本次配置不少于26个4K30终端并发入会，单台设备支持平滑扩容到100个4K30fps终端并发入会。</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本次配置需支持不少于26个IM（即时通信）客户端注册使用。</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▲支持ITU-T H.323和IETF SIP、RTC通信标准，支持H.323 终端、SIP终端、RTC终端同时入会。（投标人需提供产品手册、彩页、官网截图、检测报告等证明）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会议速率支持128Kbps－8Mbps。</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支持H.264、H.264 High Profile、H.265视频编解码协议，具备较强的兼容性。</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支持G.711、G.722、G.728、G.722.1AnnexC、G.719、MPEG4-AAC LC/LD、Opus等音频协议，可达到20KHz以上的宽频效果。</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支持H.239、BFCP双流协议标准。</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支持4K30、1080p60、1080p30、720p60、720p30高清图像格式，并向下兼容4CIF、CIF标清图像格式。</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支持双流功能，在保证主视频4K30fps前提下，辅视频也可以支持到4K30.</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支持双流带宽智能调整，终端发送双流时，自动降低主流的发送带宽；终端停止双流时，自动升高主流的发送带宽。</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支持内置统一管理功能，采用B/S架构，通过WEB方式即可完成系统的配置和会议操作。</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▲支持XMPP协议，支持即时通信功能。即时通信客户端支持查看组织架构、文字聊天、分组讨论、虚拟会议室参加视频会议、自主召开多方视频会议、文档共享等功能。（投标人需提供检测报告证明）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支持云虚拟会议室功能，终端注册入网后，可实时获取当前已创建的虚拟会议室列表，可以直接选择需要参加的虚拟会议室加入。</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▲支持对会议进行实时的监控预览，包括会议中的所有终端、广播的多画面等。除了预览图像，还可以聆听声音。支持不少于4个独立的预监窗口。（投标人需提供检测报告证明）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支持设备拓扑，显示设备ID、设备名称、设备类型以及设备的启用状态。支持实时监控设备的运行状态，包括设备在线状态、注册状态、异常告警等。</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支持HTTPS、H.235、AES、TLS、SRTP等多种安全标准。</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系统支持国家密码局认定的国产密码算法，保证信息安全自主可控。</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支持集群备份：支持多台MCU集群部署构建统一的云平台，召开多组会议时（不指定召开会议的MCU），平台支持负载均衡功能，系统自动选择负载小的MCU上召开会议，且不影响MCU上原有会议正常召开。</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具备不少于2个千兆以太网口，支持网口热备份。</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支持多网段接入功能，可满足多个不同网段的终端参加同一会议。</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支持H.460技术，可实现防火墙穿越部署。</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具备较强的网络抗丢包能力，在IP网络达到20%丢包率情况下声音清晰、图像流畅、无马赛克，30%的丢包率情况下视频会议仍可进行，80%的丢包率情况下音频基本清晰，不影响会议正常进行。</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提供电信设备入网证的证书复印件。</w:t>
      </w:r>
    </w:p>
    <w:p>
      <w:pPr>
        <w:widowControl w:val="0"/>
        <w:tabs>
          <w:tab w:val="left" w:pos="720"/>
        </w:tabs>
        <w:spacing w:before="60" w:after="60" w:line="360" w:lineRule="auto"/>
        <w:ind w:firstLine="48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2.会议解码器</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会议解码器需与电信级一体式云多点控制单元同一品牌。</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采用19英寸标准机架式结构，嵌入式、模块化设计，可根据业务所需配置相应的解码模块，实现高密度视频解码输出。</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支持双电源、双网口冗余备份，支持设备长时间稳定运行。</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支持远程网络连接MCU方式实现电视墙解码输出，即MCU和会议解码器之间距离不受限制。</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支持ITU-T H.263、H.264、H.264 High Profile、H.265等视频编解码协议。</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支持G.711、G.722、G.728、G.722.1AnnexC、G.719、MPEG4-AAC LC/LD等音频协议。</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支持4K30fps、1080p60、1080p30、720p60、720p30高清图像格式，并向下兼容4CIF、CIF标清图像格式。</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会议解码器支持8个解码卡插槽，最大支持16路高清图像输出。</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电视墙解码卡支持HDBaseT/HDMI等多种视频接口可选。本次配置不少于</w:t>
      </w:r>
      <w:r>
        <w:rPr>
          <w:rFonts w:hint="eastAsia" w:ascii="宋体" w:hAnsi="宋体" w:eastAsia="宋体" w:cs="宋体"/>
          <w:color w:val="auto"/>
          <w:kern w:val="0"/>
          <w:sz w:val="24"/>
          <w:szCs w:val="24"/>
          <w:highlight w:val="none"/>
          <w:lang w:val="en-US" w:eastAsia="zh-CN" w:bidi="ar"/>
        </w:rPr>
        <w:t>4块超清解码卡,每块支持2路高清视频解码输出,2路音频输出，2个HDMI接口。</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▲支持在MCU中进行电视墙集群化管理、支持解码板卡向资源池进行注册并统一管理。（投标人需提供检测报告证明）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▲支持通过会议管理平台对电视墙输出进行控制，包括设置单通道的输出，发言人跟随、双流跟随、会议轮询跟随、单通道的轮询、多通道的批量轮询、电视墙预案保存。（投标人需提供检测报告证明）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支持电视墙通道画面合成，可以在无需占用MCU画面合成资源情况下支持4路高清图像合成输出。</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支持虚拟电视墙，按照用户拼接大屏实际拼接模式进行设置，保存多个电视墙预案，同时可以针对电视墙通道设置自主多画面，可设置不少于25种多画面风格，扩展电视墙画面显示的路数。</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支持电视墙通道叠加台标，输出图像的同时，在图像上叠加台标，用于标识输出图像的内容。</w:t>
      </w:r>
    </w:p>
    <w:p>
      <w:pPr>
        <w:rPr>
          <w:rFonts w:hint="eastAsia" w:ascii="宋体" w:hAnsi="宋体" w:eastAsia="宋体" w:cs="宋体"/>
          <w:b/>
          <w:bCs/>
          <w:color w:val="auto"/>
          <w:kern w:val="0"/>
          <w:sz w:val="24"/>
          <w:szCs w:val="24"/>
          <w:highlight w:val="none"/>
          <w:lang w:eastAsia="zh-CN" w:bidi="ar"/>
        </w:rPr>
      </w:pPr>
      <w:bookmarkStart w:id="25" w:name="_Hlk47381106"/>
      <w:bookmarkStart w:id="26" w:name="_Toc484939574"/>
      <w:r>
        <w:rPr>
          <w:rFonts w:hint="eastAsia" w:ascii="宋体" w:hAnsi="宋体" w:eastAsia="宋体" w:cs="宋体"/>
          <w:b/>
          <w:bCs/>
          <w:color w:val="auto"/>
          <w:kern w:val="0"/>
          <w:sz w:val="24"/>
          <w:szCs w:val="24"/>
          <w:highlight w:val="none"/>
          <w:lang w:bidi="ar"/>
        </w:rPr>
        <w:t>3.主会场</w:t>
      </w:r>
      <w:r>
        <w:rPr>
          <w:rFonts w:hint="eastAsia" w:ascii="宋体" w:hAnsi="宋体" w:eastAsia="宋体" w:cs="宋体"/>
          <w:b/>
          <w:bCs/>
          <w:color w:val="auto"/>
          <w:kern w:val="0"/>
          <w:sz w:val="24"/>
          <w:szCs w:val="24"/>
          <w:highlight w:val="none"/>
          <w:lang w:eastAsia="zh-CN" w:bidi="ar"/>
        </w:rPr>
        <w:t>会议编解码终端</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终端需与电信级一体式云多点控制单元为同一品牌。</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▲终端需支持接入江苏省公安厅一键点调系统，可在一键点调系统中对此次建设的终端进行统一控制管理。（投标人提供承诺函证明）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采用硬件分体式结构，非PC架构、非工控机架构。</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终端采用国产嵌入式操作系统。</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终端核心芯片如音视频编解码单元、CPU处理单元、电源芯片、时钟芯片等均采用国产化器件。（投标人需提供产品手册、彩页、官网截图、检测报告等证明）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支持ITU-T H.323和IETF SIP通信标准，会议速率支持128Kbps－8Mbps。</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支持H.264、H.264 High Profile、H.265视频协议。</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支持G.711、G.722、G.728、G.722.1AnnexC、G.719、MPEG4-AAC LC/LD、Opus等音频协议，可达到20KHz以上的宽频效果。</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支持1080p60、1080p30、720p60、720p30高清分辨率，并向下兼容4CIF、CIF标清分辨率。本次配置1080p60fps编码能力，4K30解码能力。</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支持在较低的带宽下实现超高清视频效果，支持512Kbps呼叫带宽情况下可实现1080p60图像传输；支持384Kbps呼叫带宽情况下可实现1080p30fps图像传输。</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▲支持不少于4路高清视频输入接口、4路高清输出接口。（投标人需提供检测报告证明）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支持标准的HDBaseT视频输入接口，支持视频、供电、控制三线合一，可通过网线作为传输介质，无需外接其他设备传输距离可达100米。</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▲支持不少于5进5出独立的音频输入输出接口（投标人需提供检测报告证明）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支持2个10/100/1000M以太网接口，支持网口热备份。</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支持多视功能，终端可将2路本地视频输入图像合成1路视频，在本地显示或发送到远端，画面合成风格可设置。</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云虚拟会议室功能，终端注册入网后，可实时获取当前已创建的虚拟会议室列表及状态（预约或会议中），可以直接选择需要参加的虚拟会议室加入。（投标人需提供产品手册、彩页、官网截图、检测报告等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支持不低于120个摄像机预置位存储和调用，支持摄像机预置位快照及预览功能，可直观地显示预置位场景。</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▲终端配套的遥控器采用ZigBee控制，在不低于15米可控范围内，控制信号不会被遮挡。（投标人需提供检测报告证明）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终端具备OLED显示屏，可实时显示设备运行状态：启动、升级、休眠、网络异常、IP地址及号码。（投标人需提供检测报告证明）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支持软件通过投屏码发送辅流。</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支持H.235协议的音视频加密，支持AES256加密算法，SIP协议支持TLS、SRTP加密。</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▲终端支持国家密码局认定的国产密码算法，保证信息安全自主可控。支持SM1、SM2、SM3、SM4等国密加密算法。（需提供检测报告证明）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终端内置安全芯片，生产预置的设备证书及对应的私钥都存储在安全芯片内；支持一机一证，终端生产时向内置安全芯片烧写唯一的证书。</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支持国密SSL控制信令加密，国密SSL协议实现满足《GB/T 38636-2020信息安全技术层密码协议(TLCP)》</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支持SRTP码流加密，SRTP协议符合RFC3711规范，密钥协商符合RFC4568规范。</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具备较强的网络抗丢包能力，在IP网络达到50%丢包率情况下语音清晰连续、视频清晰流畅、无马赛克，75%的丢包率情况下声音清晰流畅、可准确理解。</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提供电信设备入网证的证书复印件。</w:t>
      </w:r>
    </w:p>
    <w:p>
      <w:pP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4.主会场摄像机</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摄像机需与视频终端同一品牌。</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支持壁装、三脚架安装或吊顶安装等多种安装方式，可按用户需求进行安装。</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镜头图像传感器采用不小于1/2.8" 图像传感器，支持1080p60、1080p50、1080p30、1080p25、720p60、720p50等高清信号输出。</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支持不小于12倍光学变焦。</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支持广角镜头，水平视角不小于72°。</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视频输出接口具备SDI、DVI、HDBaseT接口。</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支持供电、显示、控制多线合一，只连接一根超五类网线实现供电、图像显示、摄像机控制，支持信号传输100米。</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支持RS422控制接口，支持标准VISCA协议，支持摄像机通过控制口RS422实现菊花链控制，菊花链控制摄像机不小于7个。</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支持中文OSD菜单，可在OSD中对摄像机进行设置。</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水平转动范围：≥ ±160°，垂直转动范围：≥ -90°～50°</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支持自带显示屏，可方便显示视频输出分辨率。</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支持根据安装方向自动翻转图像。</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支持保存不少于255个预置位。</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支持ZigBee控制，支持360°控制、有遮挡物时也能正常控制。</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支持终端遥控器通过摄像机反向控制会议终端。</w:t>
      </w:r>
    </w:p>
    <w:p>
      <w:pP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bidi="ar"/>
        </w:rPr>
        <w:t>5.分会场</w:t>
      </w:r>
      <w:r>
        <w:rPr>
          <w:rFonts w:hint="eastAsia" w:ascii="宋体" w:hAnsi="宋体" w:eastAsia="宋体" w:cs="宋体"/>
          <w:b/>
          <w:bCs/>
          <w:color w:val="auto"/>
          <w:kern w:val="0"/>
          <w:sz w:val="24"/>
          <w:szCs w:val="24"/>
          <w:highlight w:val="none"/>
          <w:lang w:eastAsia="zh-CN" w:bidi="ar"/>
        </w:rPr>
        <w:t>会议编解码终端</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终端需与电信级一体式云多点控制单元为同一品牌。</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▲终端需支持接入江苏省公安厅一键点调系统，可在一键点调系统中对此次建设的终端进行统一控制管理。（投标人提供承诺函证明）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采用硬件分体式结构，非PC架构、非工控机架构。</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终端采用国产嵌入式操作系统。</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终端核心芯片如音视频编解码单元、CPU处理单元、电源芯片、时钟芯片等均采用国产化器件。（投标人需提供产品手册、彩页、官网截图、检测报告等证明）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支持ITU-T H.323和IETF SIP通信标准，会议速率支持128Kbps－8Mbps。</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支持H.264、H.264 High Profile、H.265视频协议。</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支持G.711、G.722、G.728、G.722.1AnnexC、G.719、MPEG4-AAC LC/LD、Opus等音频协议，可达到20KHz以上的宽频效果。</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支持H.239、BFCP双流协议标准。</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支持1080p30、720p60、720p30高清分辨率，并向下兼容4CIF、CIF标清分辨率。</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支持在较低的带宽下实现超高清视频效果，支持384Kbps呼叫带宽情况下可实现1080p30fps图像传输。</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支持不少于2路高清视频输入接口、2路高清输出接口。</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支持不少于5进5出独立的音频输入输出接口</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支持2个10/100/1000M以太网接口，支持网口热备份。</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云虚拟会议室功能，终端注册入网后，可实时获取当前已创建的虚拟会议室列表及状态（预约或会议中），可以直接选择需要参加的虚拟会议室加入。（投标人需提供产品手册、彩页、官网截图、检测报告等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支持不低于120个摄像机预置位存储和调用，支持摄像机预置位快照及预览功能，可直观地显示预置位场景。</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系统具有字幕叠加功能，支持在本地图像不同位置叠加台标、横幅、滚动字幕。</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▲终端配套的遥控器采用ZigBee控制，在不低于15米可控范围内，控制信号不会被遮挡。（投标人需提供检测报告证明）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终端具备OLED显示屏，可实时显示设备运行状态：启动、升级、休眠、网络异常、IP地址及号码。</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支持H.235协议的音视频加密，支持AES256加密算法，SIP协议支持TLS、SRTP加密。</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▲终端支持国家密码局认定的国产密码算法，保证信息安全自主可控。支持SM1、SM2、SM3、SM4等国密加密算法。（需提供检测报告证明）</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终端内置安全芯片，生产预置的设备证书及对应的私钥都存储在安全芯片内；支持一机一证，终端生产时向内置安全芯片烧写唯一的证书。</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支持国密SSL控制信令加密，国密SSL协议实现满足《GB/T 38636-2020信息安全技术层密码协议(TLCP)》</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支持SRTP码流加密，SRTP协议符合RFC3711规范，密钥协商符合RFC4568规范。</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具备较强的网络抗丢包能力，在IP网络达到50%丢包率情况下语音清晰连续、视频清晰流畅、无马赛克，75%的丢包率情况下声音清晰流畅、可准确理解。</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提供电信设备入网证的证书复印件。</w:t>
      </w:r>
    </w:p>
    <w:p>
      <w:pP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6.分会场摄像机</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摄像机需与视频终端同一品牌。</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支持壁装、三脚架安装或吊顶安装等多种安装方式，可按用户需求进行安装。</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镜头图像传感器采用不小于1/2.8" 传感器，支持1080p30、1080p25、720p60、720p50等高清信号输出。</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支持不小于12倍光学变焦。</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支持广角镜头，水平视角不小于72°。</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视频输出接口具备SDI、DVI、HDBaseT接口。</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支持供电、显示、控制多线合一，只连接一根超五类网线实现供电、图像显示、摄像机控制，支持信号传输100米。</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支持RS422控制接口，支持标准VISCA协议，支持摄像机通过控制口RS422实现菊花链控制，菊花链控制摄像机不小于7个。</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支持中文OSD菜单，可在OSD中对摄像机进行设置。</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水平转动范围：≥ ±160°，垂直转动范围：≥ -90°～50°</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支持自带显示屏，可方便显示视频输出分辨率。</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支持根据安装方向自动翻转图像。</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支持保存不少于255个预置位。</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支持ZigBee控制，支持360°控制、有遮挡物时也能正常控制。</w:t>
      </w:r>
    </w:p>
    <w:p>
      <w:pPr>
        <w:widowControl w:val="0"/>
        <w:tabs>
          <w:tab w:val="left" w:pos="720"/>
        </w:tabs>
        <w:spacing w:before="60" w:after="6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支持终端遥控器通过摄像机反向控制会议终端。</w:t>
      </w:r>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8"/>
          <w:highlight w:val="none"/>
          <w:lang w:val="en-US" w:eastAsia="zh-CN"/>
        </w:rPr>
      </w:pPr>
      <w:r>
        <w:rPr>
          <w:rFonts w:hint="eastAsia"/>
          <w:b/>
          <w:bCs/>
          <w:color w:val="auto"/>
          <w:sz w:val="24"/>
          <w:szCs w:val="28"/>
          <w:highlight w:val="none"/>
          <w:lang w:val="en-US" w:eastAsia="zh-CN"/>
        </w:rPr>
        <w:t>四、商务要求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8"/>
          <w:highlight w:val="none"/>
          <w:lang w:val="en-US" w:eastAsia="zh-CN"/>
        </w:rPr>
      </w:pPr>
      <w:r>
        <w:rPr>
          <w:rFonts w:hint="eastAsia"/>
          <w:b/>
          <w:bCs/>
          <w:color w:val="auto"/>
          <w:sz w:val="24"/>
          <w:szCs w:val="28"/>
          <w:highlight w:val="none"/>
          <w:lang w:val="en-US" w:eastAsia="zh-CN"/>
        </w:rPr>
        <w:t>★（一）交货时间、地点和方式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olor w:val="auto"/>
          <w:sz w:val="24"/>
          <w:szCs w:val="28"/>
          <w:highlight w:val="none"/>
          <w:lang w:val="en-US" w:eastAsia="zh-CN"/>
        </w:rPr>
      </w:pPr>
      <w:r>
        <w:rPr>
          <w:rFonts w:hint="eastAsia"/>
          <w:b/>
          <w:bCs/>
          <w:color w:val="auto"/>
          <w:sz w:val="24"/>
          <w:szCs w:val="28"/>
          <w:highlight w:val="none"/>
          <w:lang w:val="en-US" w:eastAsia="zh-CN"/>
        </w:rPr>
        <w:t>供货及实施进度要求：</w:t>
      </w:r>
      <w:r>
        <w:rPr>
          <w:rFonts w:hint="eastAsia"/>
          <w:color w:val="auto"/>
          <w:sz w:val="24"/>
          <w:szCs w:val="28"/>
          <w:highlight w:val="none"/>
          <w:lang w:val="en-US" w:eastAsia="zh-CN"/>
        </w:rPr>
        <w:t>合同签订后15个日历日内接收设备到场。供应商负责所有产品到施工地点的全部运输,包括装卸及现场搬运、安装等。在合同签定后45个日历日内完成设备的供货、安装、调试工作进入试运行期。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olor w:val="auto"/>
          <w:sz w:val="24"/>
          <w:szCs w:val="28"/>
          <w:highlight w:val="none"/>
          <w:lang w:val="en-US" w:eastAsia="zh-CN"/>
        </w:rPr>
      </w:pPr>
      <w:r>
        <w:rPr>
          <w:rFonts w:hint="eastAsia"/>
          <w:b/>
          <w:bCs/>
          <w:color w:val="auto"/>
          <w:sz w:val="24"/>
          <w:szCs w:val="28"/>
          <w:highlight w:val="none"/>
          <w:lang w:val="en-US" w:eastAsia="zh-CN"/>
        </w:rPr>
        <w:t>交货地点：</w:t>
      </w:r>
      <w:r>
        <w:rPr>
          <w:rFonts w:hint="eastAsia"/>
          <w:color w:val="auto"/>
          <w:sz w:val="24"/>
          <w:szCs w:val="28"/>
          <w:highlight w:val="none"/>
          <w:lang w:val="en-US" w:eastAsia="zh-CN"/>
        </w:rPr>
        <w:t>招标人指定地点。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olor w:val="auto"/>
          <w:sz w:val="24"/>
          <w:szCs w:val="28"/>
          <w:highlight w:val="none"/>
          <w:lang w:val="en-US" w:eastAsia="zh-CN"/>
        </w:rPr>
      </w:pPr>
      <w:r>
        <w:rPr>
          <w:rFonts w:hint="eastAsia"/>
          <w:b/>
          <w:bCs/>
          <w:color w:val="auto"/>
          <w:sz w:val="24"/>
          <w:szCs w:val="28"/>
          <w:highlight w:val="none"/>
          <w:lang w:val="en-US" w:eastAsia="zh-CN"/>
        </w:rPr>
        <w:t>履约保证金：</w:t>
      </w:r>
      <w:r>
        <w:rPr>
          <w:rFonts w:hint="eastAsia"/>
          <w:b w:val="0"/>
          <w:bCs w:val="0"/>
          <w:color w:val="auto"/>
          <w:sz w:val="24"/>
          <w:szCs w:val="28"/>
          <w:highlight w:val="none"/>
          <w:lang w:val="en-US" w:eastAsia="zh-CN"/>
        </w:rPr>
        <w:t>合同签订前中标方须向采购人提交合同价款10%的履约担保（银行保函），项目质保期满且无质量问题后无息退回。</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8"/>
          <w:highlight w:val="none"/>
          <w:lang w:val="en-US" w:eastAsia="zh-CN"/>
        </w:rPr>
      </w:pPr>
      <w:r>
        <w:rPr>
          <w:rFonts w:hint="eastAsia"/>
          <w:b/>
          <w:bCs/>
          <w:color w:val="auto"/>
          <w:sz w:val="24"/>
          <w:szCs w:val="28"/>
          <w:highlight w:val="none"/>
          <w:lang w:val="en-US" w:eastAsia="zh-CN"/>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1.质量保证期：自交货验收完毕之日算起，所有产品质保2年。投标供应商对提供的物资在质保期内，出现产品质量问题，需求方提出后，供应商应在0.5小时内响应，2小时内到达现场提供相关的维修、更换等服务。因产品质量而导致的缺陷，应当免费提供包修、包换、包退服务，因此导致的损失采购单位有权向中标供应商追偿。超出质保期后，投标供应商应当提供上门维修服务，仅收取成本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2.供应商负责免费运输、安装、调试、培训和服务保障等。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3.供应商需提供在投标文件中承诺的所有售后服务项目。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4.验收后，乙方须对使用和管理人员进行免费培训，培训时间不少于两天（每天按8小时计），使用期间无偿提供技术支持及咨询服务。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8"/>
          <w:highlight w:val="none"/>
          <w:lang w:val="en-US" w:eastAsia="zh-CN"/>
        </w:rPr>
      </w:pPr>
      <w:r>
        <w:rPr>
          <w:rFonts w:hint="eastAsia"/>
          <w:b/>
          <w:bCs/>
          <w:color w:val="auto"/>
          <w:sz w:val="24"/>
          <w:szCs w:val="28"/>
          <w:highlight w:val="none"/>
          <w:lang w:val="en-US" w:eastAsia="zh-CN"/>
        </w:rPr>
        <w:t>★（三）知识产权和保密要求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1.投标供应商应当保证采购单位在使用该物资或其任何一部分时，不受第三方侵权指控。同时，投标供应商不得向第三方泄露采购机构提供的技术文件等材料。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2.基于项目合同履行形成的知识产权和其他权益，其权属归采购单位所有，法律另有规定的除外。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3.双方在采购和履行合同过程中所获悉的对方属于保密的内容，双方均有保密义务。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8"/>
          <w:highlight w:val="none"/>
          <w:lang w:val="en-US" w:eastAsia="zh-CN"/>
        </w:rPr>
      </w:pPr>
      <w:r>
        <w:rPr>
          <w:rFonts w:hint="eastAsia"/>
          <w:b/>
          <w:bCs/>
          <w:color w:val="auto"/>
          <w:sz w:val="24"/>
          <w:szCs w:val="28"/>
          <w:highlight w:val="none"/>
          <w:lang w:val="en-US" w:eastAsia="zh-CN"/>
        </w:rPr>
        <w:t xml:space="preserve">★（四）验收、付款及其他内容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highlight w:val="none"/>
          <w:lang w:val="en-US" w:eastAsia="zh-CN"/>
        </w:rPr>
      </w:pPr>
      <w:r>
        <w:rPr>
          <w:rFonts w:hint="eastAsia"/>
          <w:color w:val="auto"/>
          <w:sz w:val="24"/>
          <w:szCs w:val="28"/>
          <w:highlight w:val="none"/>
          <w:lang w:val="en-US" w:eastAsia="zh-CN"/>
        </w:rPr>
        <w:t>1.验收方式及标准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验收方式：供设备到货后，在安装之前，由招标人、供应商将严格按照设备验收标准对设备进行验收，同时供应商将提供投标设备的原产地出厂证明文件。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验收标准：所有货物到达交货地点时，外包装箱必须完好无损、不得有破损、不得有水渍、不得有明显受撞击的痕迹，否则采购人有权拒收；货物的开箱验收由采购人或采购人委托的下级机构、监理单位组织进行，开箱后如发现货物与本次招标要求或与装箱单不符合的，采购人有权要求供应商无偿补足或更换。设备检验/检测通过后，由采购人或采购人委托的下级机构、监理单位共同开具设备验收合格单。供应商仍负责产品在施工地点的保管，直至项目验收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2.付款方式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en-US" w:eastAsia="zh-CN"/>
        </w:rPr>
      </w:pPr>
      <w:r>
        <w:rPr>
          <w:rFonts w:hint="eastAsia"/>
          <w:color w:val="auto"/>
          <w:sz w:val="24"/>
          <w:szCs w:val="28"/>
          <w:highlight w:val="none"/>
          <w:lang w:val="en-US" w:eastAsia="zh-CN"/>
        </w:rPr>
        <w:t>2.1. 签订合同后，甲方在收到乙方发票后支付合同总价款的 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val="zh-TW" w:eastAsia="zh-TW"/>
        </w:rPr>
      </w:pPr>
      <w:r>
        <w:rPr>
          <w:rFonts w:hint="eastAsia"/>
          <w:color w:val="auto"/>
          <w:sz w:val="24"/>
          <w:szCs w:val="28"/>
          <w:highlight w:val="none"/>
          <w:lang w:val="en-US" w:eastAsia="zh-CN"/>
        </w:rPr>
        <w:t>2.2. 验收付款：正式验收结束后，乙方向甲方支付合同价 3%的质保金，在收到发票后甲方支付至合同总价款的 100%，质保金在所有质保期满后无息退还。</w:t>
      </w:r>
    </w:p>
    <w:p>
      <w:pPr>
        <w:rPr>
          <w:color w:val="auto"/>
          <w:highlight w:val="none"/>
          <w:lang w:val="zh-TW" w:eastAsia="zh-TW"/>
        </w:rPr>
      </w:pPr>
    </w:p>
    <w:p>
      <w:pPr>
        <w:rPr>
          <w:rFonts w:ascii="黑体" w:hAnsi="黑体" w:eastAsia="黑体" w:cs="黑体"/>
          <w:color w:val="auto"/>
          <w:kern w:val="44"/>
          <w:sz w:val="36"/>
          <w:szCs w:val="36"/>
          <w:highlight w:val="none"/>
          <w:u w:color="000000"/>
          <w:lang w:val="zh-TW" w:eastAsia="zh-TW"/>
        </w:rPr>
      </w:pPr>
      <w:r>
        <w:rPr>
          <w:rFonts w:ascii="黑体" w:hAnsi="黑体" w:eastAsia="黑体" w:cs="黑体"/>
          <w:color w:val="auto"/>
          <w:kern w:val="44"/>
          <w:sz w:val="36"/>
          <w:szCs w:val="36"/>
          <w:highlight w:val="none"/>
          <w:u w:color="000000"/>
          <w:lang w:val="zh-TW" w:eastAsia="zh-TW"/>
        </w:rPr>
        <w:br w:type="page"/>
      </w:r>
    </w:p>
    <w:p>
      <w:pPr>
        <w:keepNext/>
        <w:keepLines/>
        <w:spacing w:before="312" w:beforeLines="100" w:after="312" w:afterLines="100" w:line="360" w:lineRule="auto"/>
        <w:jc w:val="center"/>
        <w:outlineLvl w:val="0"/>
        <w:rPr>
          <w:rFonts w:ascii="黑体" w:hAnsi="黑体" w:eastAsia="黑体" w:cs="黑体"/>
          <w:color w:val="auto"/>
          <w:kern w:val="44"/>
          <w:sz w:val="36"/>
          <w:szCs w:val="36"/>
          <w:highlight w:val="none"/>
          <w:u w:color="000000"/>
          <w:lang w:val="zh-TW" w:eastAsia="zh-TW"/>
        </w:rPr>
      </w:pPr>
      <w:r>
        <w:rPr>
          <w:rFonts w:ascii="黑体" w:hAnsi="黑体" w:eastAsia="黑体" w:cs="黑体"/>
          <w:color w:val="auto"/>
          <w:kern w:val="44"/>
          <w:sz w:val="36"/>
          <w:szCs w:val="36"/>
          <w:highlight w:val="none"/>
          <w:u w:color="000000"/>
          <w:lang w:val="zh-TW" w:eastAsia="zh-TW"/>
        </w:rPr>
        <w:t>第</w:t>
      </w:r>
      <w:r>
        <w:rPr>
          <w:rFonts w:hint="eastAsia" w:ascii="黑体" w:hAnsi="黑体" w:eastAsia="黑体" w:cs="黑体"/>
          <w:color w:val="auto"/>
          <w:kern w:val="44"/>
          <w:sz w:val="36"/>
          <w:szCs w:val="36"/>
          <w:highlight w:val="none"/>
          <w:u w:color="000000"/>
          <w:lang w:val="zh-TW" w:eastAsia="zh-TW"/>
        </w:rPr>
        <w:t>五</w:t>
      </w:r>
      <w:r>
        <w:rPr>
          <w:rFonts w:ascii="黑体" w:hAnsi="黑体" w:eastAsia="黑体" w:cs="黑体"/>
          <w:color w:val="auto"/>
          <w:kern w:val="44"/>
          <w:sz w:val="36"/>
          <w:szCs w:val="36"/>
          <w:highlight w:val="none"/>
          <w:u w:color="000000"/>
          <w:lang w:val="zh-TW" w:eastAsia="zh-TW"/>
        </w:rPr>
        <w:t xml:space="preserve">章  </w:t>
      </w:r>
      <w:r>
        <w:rPr>
          <w:rFonts w:hint="eastAsia" w:ascii="黑体" w:hAnsi="黑体" w:eastAsia="黑体" w:cs="黑体"/>
          <w:color w:val="auto"/>
          <w:kern w:val="44"/>
          <w:sz w:val="36"/>
          <w:szCs w:val="36"/>
          <w:highlight w:val="none"/>
          <w:u w:color="000000"/>
          <w:lang w:val="zh-TW" w:eastAsia="zh-TW"/>
        </w:rPr>
        <w:t>评标方法与评标标准</w:t>
      </w:r>
      <w:bookmarkEnd w:id="24"/>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一、评标方法与定标原则</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评标委员会将对确定为实质性响应招标文件要求的投标文件进行评价和比较，评标采用综合评分法。对未中标人，将不作任何解释。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采用综合评分法的，按评审后综合得分由高到低顺序排列。综合得分相同的，按投标报价由低到高顺序排列。综合得分且投标报价相同的，按技术指标优劣顺序排列。</w:t>
      </w:r>
    </w:p>
    <w:p>
      <w:pPr>
        <w:numPr>
          <w:ilvl w:val="0"/>
          <w:numId w:val="3"/>
        </w:num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评标标准</w:t>
      </w:r>
    </w:p>
    <w:tbl>
      <w:tblPr>
        <w:tblStyle w:val="30"/>
        <w:tblW w:w="9451" w:type="dxa"/>
        <w:tblInd w:w="113" w:type="dxa"/>
        <w:tblLayout w:type="autofit"/>
        <w:tblCellMar>
          <w:top w:w="0" w:type="dxa"/>
          <w:left w:w="108" w:type="dxa"/>
          <w:bottom w:w="0" w:type="dxa"/>
          <w:right w:w="108" w:type="dxa"/>
        </w:tblCellMar>
      </w:tblPr>
      <w:tblGrid>
        <w:gridCol w:w="844"/>
        <w:gridCol w:w="1689"/>
        <w:gridCol w:w="6072"/>
        <w:gridCol w:w="846"/>
      </w:tblGrid>
      <w:tr>
        <w:tblPrEx>
          <w:tblCellMar>
            <w:top w:w="0" w:type="dxa"/>
            <w:left w:w="108" w:type="dxa"/>
            <w:bottom w:w="0" w:type="dxa"/>
            <w:right w:w="108" w:type="dxa"/>
          </w:tblCellMar>
        </w:tblPrEx>
        <w:trPr>
          <w:trHeight w:val="93" w:hRule="atLeast"/>
        </w:trPr>
        <w:tc>
          <w:tcPr>
            <w:tcW w:w="9451" w:type="dxa"/>
            <w:gridSpan w:val="4"/>
            <w:tcBorders>
              <w:top w:val="single" w:color="000000"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价  格</w:t>
            </w:r>
          </w:p>
        </w:tc>
      </w:tr>
      <w:tr>
        <w:tblPrEx>
          <w:tblCellMar>
            <w:top w:w="0" w:type="dxa"/>
            <w:left w:w="108" w:type="dxa"/>
            <w:bottom w:w="0" w:type="dxa"/>
            <w:right w:w="108" w:type="dxa"/>
          </w:tblCellMar>
        </w:tblPrEx>
        <w:trPr>
          <w:trHeight w:val="420" w:hRule="atLeast"/>
        </w:trPr>
        <w:tc>
          <w:tcPr>
            <w:tcW w:w="84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9"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w:t>
            </w:r>
          </w:p>
        </w:tc>
        <w:tc>
          <w:tcPr>
            <w:tcW w:w="6072"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所有满足采购文件要求且磋商价格最低的磋商报价为评标基准价，得满分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0分。其他供应商的价格分统一按照下列公式计算：磋商报价得分=(评标基准价／磋商报价)×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0。（小数点保留1位）</w:t>
            </w:r>
          </w:p>
        </w:tc>
        <w:tc>
          <w:tcPr>
            <w:tcW w:w="84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w:t>
            </w:r>
          </w:p>
        </w:tc>
      </w:tr>
      <w:tr>
        <w:tblPrEx>
          <w:tblCellMar>
            <w:top w:w="0" w:type="dxa"/>
            <w:left w:w="108" w:type="dxa"/>
            <w:bottom w:w="0" w:type="dxa"/>
            <w:right w:w="108" w:type="dxa"/>
          </w:tblCellMar>
        </w:tblPrEx>
        <w:trPr>
          <w:trHeight w:val="93" w:hRule="atLeast"/>
        </w:trPr>
        <w:tc>
          <w:tcPr>
            <w:tcW w:w="9451"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商务部分</w:t>
            </w:r>
          </w:p>
        </w:tc>
      </w:tr>
      <w:tr>
        <w:tblPrEx>
          <w:tblCellMar>
            <w:top w:w="0" w:type="dxa"/>
            <w:left w:w="108" w:type="dxa"/>
            <w:bottom w:w="0" w:type="dxa"/>
            <w:right w:w="108" w:type="dxa"/>
          </w:tblCellMar>
        </w:tblPrEx>
        <w:trPr>
          <w:trHeight w:val="270" w:hRule="atLeast"/>
        </w:trPr>
        <w:tc>
          <w:tcPr>
            <w:tcW w:w="844" w:type="dxa"/>
            <w:tcBorders>
              <w:top w:val="single" w:color="auto" w:sz="8" w:space="0"/>
              <w:left w:val="single" w:color="auto" w:sz="8" w:space="0"/>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1689"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企业资质</w:t>
            </w:r>
          </w:p>
        </w:tc>
        <w:tc>
          <w:tcPr>
            <w:tcW w:w="6072"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投标人具有有效的ISO9001质量管理体系认证证书、ISO14001环境管理体系认证、ISO27001信息安全管理体系认证证书，有一项得1分，最高得3分，须提供证书原件彩色扫描件，未提供或未按要求提供不得分。</w:t>
            </w:r>
          </w:p>
        </w:tc>
        <w:tc>
          <w:tcPr>
            <w:tcW w:w="846" w:type="dxa"/>
            <w:tcBorders>
              <w:top w:val="single" w:color="auto" w:sz="8" w:space="0"/>
              <w:left w:val="nil"/>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r>
      <w:tr>
        <w:tblPrEx>
          <w:tblCellMar>
            <w:top w:w="0" w:type="dxa"/>
            <w:left w:w="108" w:type="dxa"/>
            <w:bottom w:w="0" w:type="dxa"/>
            <w:right w:w="108" w:type="dxa"/>
          </w:tblCellMar>
        </w:tblPrEx>
        <w:trPr>
          <w:trHeight w:val="270" w:hRule="atLeast"/>
        </w:trPr>
        <w:tc>
          <w:tcPr>
            <w:tcW w:w="844" w:type="dxa"/>
            <w:tcBorders>
              <w:top w:val="single" w:color="auto" w:sz="8" w:space="0"/>
              <w:left w:val="single" w:color="auto" w:sz="8" w:space="0"/>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c>
          <w:tcPr>
            <w:tcW w:w="1689"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项目业绩</w:t>
            </w:r>
          </w:p>
        </w:tc>
        <w:tc>
          <w:tcPr>
            <w:tcW w:w="6072"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月1日以来（以合同签订时间为准）承担过信息化建设项目（或智能化工程项目），每提供1份有效项目合同得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分，最多</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分（提供合同复印件</w:t>
            </w:r>
            <w:r>
              <w:rPr>
                <w:rFonts w:hint="eastAsia" w:ascii="宋体" w:hAnsi="宋体" w:eastAsia="宋体" w:cs="宋体"/>
                <w:color w:val="auto"/>
                <w:kern w:val="0"/>
                <w:sz w:val="24"/>
                <w:szCs w:val="24"/>
                <w:highlight w:val="none"/>
                <w:lang w:val="en-US" w:eastAsia="zh-CN"/>
              </w:rPr>
              <w:t>并加盖公章</w:t>
            </w:r>
            <w:r>
              <w:rPr>
                <w:rFonts w:hint="eastAsia" w:ascii="宋体" w:hAnsi="宋体" w:eastAsia="宋体" w:cs="宋体"/>
                <w:color w:val="auto"/>
                <w:kern w:val="0"/>
                <w:sz w:val="24"/>
                <w:szCs w:val="24"/>
                <w:highlight w:val="none"/>
              </w:rPr>
              <w:t>）。</w:t>
            </w:r>
          </w:p>
        </w:tc>
        <w:tc>
          <w:tcPr>
            <w:tcW w:w="846" w:type="dxa"/>
            <w:tcBorders>
              <w:top w:val="single" w:color="auto" w:sz="8" w:space="0"/>
              <w:left w:val="nil"/>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r>
      <w:tr>
        <w:tblPrEx>
          <w:tblCellMar>
            <w:top w:w="0" w:type="dxa"/>
            <w:left w:w="108" w:type="dxa"/>
            <w:bottom w:w="0" w:type="dxa"/>
            <w:right w:w="108" w:type="dxa"/>
          </w:tblCellMar>
        </w:tblPrEx>
        <w:trPr>
          <w:trHeight w:val="270" w:hRule="atLeast"/>
        </w:trPr>
        <w:tc>
          <w:tcPr>
            <w:tcW w:w="844" w:type="dxa"/>
            <w:tcBorders>
              <w:top w:val="single" w:color="auto" w:sz="8" w:space="0"/>
              <w:left w:val="single" w:color="auto" w:sz="8" w:space="0"/>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689"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项目成员配备情况</w:t>
            </w:r>
          </w:p>
        </w:tc>
        <w:tc>
          <w:tcPr>
            <w:tcW w:w="6072"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（1）项目经理具有信息系统项目管理师资格证书，并提供有效证明文件，得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（2）项目团队成员中每有一人</w:t>
            </w:r>
            <w:r>
              <w:rPr>
                <w:rFonts w:hint="eastAsia" w:ascii="宋体" w:hAnsi="宋体" w:eastAsia="宋体" w:cs="宋体"/>
                <w:color w:val="auto"/>
                <w:kern w:val="0"/>
                <w:sz w:val="24"/>
                <w:szCs w:val="24"/>
                <w:highlight w:val="none"/>
                <w:lang w:val="en-US" w:eastAsia="zh-CN"/>
              </w:rPr>
              <w:t>具备高级工程师职称的得1分</w:t>
            </w:r>
            <w:r>
              <w:rPr>
                <w:rFonts w:hint="eastAsia" w:ascii="宋体" w:hAnsi="宋体" w:eastAsia="宋体" w:cs="宋体"/>
                <w:color w:val="auto"/>
                <w:kern w:val="0"/>
                <w:sz w:val="24"/>
                <w:szCs w:val="24"/>
                <w:highlight w:val="none"/>
              </w:rPr>
              <w:t>。</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（提供相关证书复印件和人员为本单位的近1年内任意一月的社保证明材料，未提供不得分。）</w:t>
            </w:r>
          </w:p>
        </w:tc>
        <w:tc>
          <w:tcPr>
            <w:tcW w:w="846" w:type="dxa"/>
            <w:tcBorders>
              <w:top w:val="single" w:color="auto" w:sz="8" w:space="0"/>
              <w:left w:val="nil"/>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r>
      <w:tr>
        <w:tblPrEx>
          <w:tblCellMar>
            <w:top w:w="0" w:type="dxa"/>
            <w:left w:w="108" w:type="dxa"/>
            <w:bottom w:w="0" w:type="dxa"/>
            <w:right w:w="108" w:type="dxa"/>
          </w:tblCellMar>
        </w:tblPrEx>
        <w:trPr>
          <w:trHeight w:val="93" w:hRule="atLeast"/>
        </w:trPr>
        <w:tc>
          <w:tcPr>
            <w:tcW w:w="9451"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技术部分</w:t>
            </w:r>
          </w:p>
        </w:tc>
      </w:tr>
      <w:tr>
        <w:tblPrEx>
          <w:tblCellMar>
            <w:top w:w="0" w:type="dxa"/>
            <w:left w:w="108" w:type="dxa"/>
            <w:bottom w:w="0" w:type="dxa"/>
            <w:right w:w="108" w:type="dxa"/>
          </w:tblCellMar>
        </w:tblPrEx>
        <w:trPr>
          <w:trHeight w:val="319" w:hRule="atLeast"/>
        </w:trPr>
        <w:tc>
          <w:tcPr>
            <w:tcW w:w="84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1689"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技术参数响应</w:t>
            </w:r>
          </w:p>
        </w:tc>
        <w:tc>
          <w:tcPr>
            <w:tcW w:w="6072" w:type="dxa"/>
            <w:tcBorders>
              <w:top w:val="single" w:color="auto" w:sz="8" w:space="0"/>
              <w:left w:val="nil"/>
              <w:bottom w:val="single" w:color="auto"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产品技术参数全部满足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的得满3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分；技术参数中如有一项不符合招标文件要求的，带有▲标记的每项扣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分,其他每项扣1分，扣完为止。</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须对项目要求中标注“▲”的参数</w:t>
            </w:r>
            <w:r>
              <w:rPr>
                <w:rFonts w:hint="eastAsia" w:ascii="宋体" w:hAnsi="宋体" w:eastAsia="宋体" w:cs="宋体"/>
                <w:b/>
                <w:bCs/>
                <w:color w:val="auto"/>
                <w:sz w:val="24"/>
                <w:szCs w:val="24"/>
                <w:highlight w:val="none"/>
                <w:lang w:val="en-US" w:eastAsia="zh-CN"/>
              </w:rPr>
              <w:t>按招标要求</w:t>
            </w:r>
            <w:r>
              <w:rPr>
                <w:rFonts w:hint="eastAsia" w:ascii="宋体" w:hAnsi="宋体" w:eastAsia="宋体" w:cs="宋体"/>
                <w:b/>
                <w:bCs/>
                <w:color w:val="auto"/>
                <w:sz w:val="24"/>
                <w:szCs w:val="24"/>
                <w:highlight w:val="none"/>
              </w:rPr>
              <w:t>提供相应技术支持资料(如彩页或说明书或检测报告等) ，并在《技术规格偏离表》中详细标明技术支持资料在投标文件中的页码和位置。未提供技术支持资料的作负偏离处理，如因未在《技术规格偏离表》中注明支持资料具体页码和位置导致本项不得分的，由此产生的后果由供应商自行承担。</w:t>
            </w:r>
          </w:p>
        </w:tc>
        <w:tc>
          <w:tcPr>
            <w:tcW w:w="84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w:t>
            </w:r>
          </w:p>
        </w:tc>
      </w:tr>
      <w:tr>
        <w:tblPrEx>
          <w:tblCellMar>
            <w:top w:w="0" w:type="dxa"/>
            <w:left w:w="108" w:type="dxa"/>
            <w:bottom w:w="0" w:type="dxa"/>
            <w:right w:w="108" w:type="dxa"/>
          </w:tblCellMar>
        </w:tblPrEx>
        <w:trPr>
          <w:trHeight w:val="691" w:hRule="atLeast"/>
        </w:trPr>
        <w:tc>
          <w:tcPr>
            <w:tcW w:w="844" w:type="dxa"/>
            <w:tcBorders>
              <w:top w:val="nil"/>
              <w:left w:val="single" w:color="auto" w:sz="8" w:space="0"/>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1689"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技术方案</w:t>
            </w:r>
          </w:p>
        </w:tc>
        <w:tc>
          <w:tcPr>
            <w:tcW w:w="6072" w:type="dxa"/>
            <w:tcBorders>
              <w:top w:val="single" w:color="auto" w:sz="8" w:space="0"/>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 xml:space="preserve">文件中《项目技术方案》，从产品品牌、技术配置、可行性、针对性、安全性、完整性等综合性能打分。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完全满足采购人的要求，技术先进，配置考虑周密，设备品牌、性能优良的得</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基本满足采购人的要求，技术较先进、配置考虑较周密，设备品牌、性能较好的得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方案配置欠缺，所投设备品牌、性能基本满足采购要求得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eastAsia="zh-CN"/>
              </w:rPr>
              <w:t>未提供的不得分</w:t>
            </w:r>
            <w:r>
              <w:rPr>
                <w:rFonts w:hint="eastAsia" w:ascii="宋体" w:hAnsi="宋体" w:eastAsia="宋体" w:cs="宋体"/>
                <w:color w:val="auto"/>
                <w:kern w:val="0"/>
                <w:sz w:val="24"/>
                <w:szCs w:val="24"/>
                <w:highlight w:val="none"/>
              </w:rPr>
              <w:t>。</w:t>
            </w:r>
          </w:p>
        </w:tc>
        <w:tc>
          <w:tcPr>
            <w:tcW w:w="846" w:type="dxa"/>
            <w:tcBorders>
              <w:top w:val="nil"/>
              <w:left w:val="nil"/>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r>
      <w:tr>
        <w:tblPrEx>
          <w:tblCellMar>
            <w:top w:w="0" w:type="dxa"/>
            <w:left w:w="108" w:type="dxa"/>
            <w:bottom w:w="0" w:type="dxa"/>
            <w:right w:w="108" w:type="dxa"/>
          </w:tblCellMar>
        </w:tblPrEx>
        <w:trPr>
          <w:trHeight w:val="900" w:hRule="atLeast"/>
        </w:trPr>
        <w:tc>
          <w:tcPr>
            <w:tcW w:w="844" w:type="dxa"/>
            <w:tcBorders>
              <w:top w:val="single" w:color="auto" w:sz="8" w:space="0"/>
              <w:left w:val="single" w:color="auto" w:sz="8" w:space="0"/>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c>
          <w:tcPr>
            <w:tcW w:w="1689"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实施方案</w:t>
            </w:r>
          </w:p>
        </w:tc>
        <w:tc>
          <w:tcPr>
            <w:tcW w:w="6072" w:type="dxa"/>
            <w:tcBorders>
              <w:top w:val="single" w:color="auto" w:sz="8" w:space="0"/>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 xml:space="preserve">文件中《项目实施方案》的合理性、可行性进行评分（包括设备安装、集成调试、项目进度计划、人员配置、质量控制等）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实施方案全面，具有合理的进度安排、组织架构，具有</w:t>
            </w:r>
            <w:r>
              <w:rPr>
                <w:rFonts w:hint="eastAsia" w:ascii="宋体" w:hAnsi="宋体" w:eastAsia="宋体" w:cs="宋体"/>
                <w:color w:val="auto"/>
                <w:kern w:val="0"/>
                <w:sz w:val="24"/>
                <w:szCs w:val="24"/>
                <w:highlight w:val="none"/>
                <w:lang w:val="en-US" w:eastAsia="zh-CN"/>
              </w:rPr>
              <w:t>优秀</w:t>
            </w:r>
            <w:r>
              <w:rPr>
                <w:rFonts w:hint="eastAsia" w:ascii="宋体" w:hAnsi="宋体" w:eastAsia="宋体" w:cs="宋体"/>
                <w:color w:val="auto"/>
                <w:kern w:val="0"/>
                <w:sz w:val="24"/>
                <w:szCs w:val="24"/>
                <w:highlight w:val="none"/>
              </w:rPr>
              <w:t>的进度控制、设备安装、集成调试、质量控制等措施，得</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实施方案较全面，具有较合理的进度安排、组织架构，具有良好的进度控制、设备安装、集成调试、质量控制等措施，得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实施方案</w:t>
            </w:r>
            <w:r>
              <w:rPr>
                <w:rFonts w:hint="eastAsia" w:ascii="宋体" w:hAnsi="宋体" w:eastAsia="宋体" w:cs="宋体"/>
                <w:color w:val="auto"/>
                <w:kern w:val="0"/>
                <w:sz w:val="24"/>
                <w:szCs w:val="24"/>
                <w:highlight w:val="none"/>
                <w:lang w:val="en-US" w:eastAsia="zh-CN"/>
              </w:rPr>
              <w:t>基本</w:t>
            </w:r>
            <w:r>
              <w:rPr>
                <w:rFonts w:hint="eastAsia" w:ascii="宋体" w:hAnsi="宋体" w:eastAsia="宋体" w:cs="宋体"/>
                <w:color w:val="auto"/>
                <w:kern w:val="0"/>
                <w:sz w:val="24"/>
                <w:szCs w:val="24"/>
                <w:highlight w:val="none"/>
              </w:rPr>
              <w:t>全面，进度安排、组织架构</w:t>
            </w:r>
            <w:r>
              <w:rPr>
                <w:rFonts w:hint="eastAsia" w:ascii="宋体" w:hAnsi="宋体" w:eastAsia="宋体" w:cs="宋体"/>
                <w:color w:val="auto"/>
                <w:kern w:val="0"/>
                <w:sz w:val="24"/>
                <w:szCs w:val="24"/>
                <w:highlight w:val="none"/>
                <w:lang w:val="en-US" w:eastAsia="zh-CN"/>
              </w:rPr>
              <w:t>基本</w:t>
            </w:r>
            <w:r>
              <w:rPr>
                <w:rFonts w:hint="eastAsia" w:ascii="宋体" w:hAnsi="宋体" w:eastAsia="宋体" w:cs="宋体"/>
                <w:color w:val="auto"/>
                <w:kern w:val="0"/>
                <w:sz w:val="24"/>
                <w:szCs w:val="24"/>
                <w:highlight w:val="none"/>
              </w:rPr>
              <w:t>合理，进度控制、设备安装、集成调试、质量控制等措施不全，得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实施方案不全面，进度  安排、组织架构不合理，没有进度控制、进度控制、设备安装、集成调试、质量控制等措施，得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eastAsia="zh-CN"/>
              </w:rPr>
              <w:t>未提供的不得分</w:t>
            </w:r>
            <w:r>
              <w:rPr>
                <w:rFonts w:hint="eastAsia" w:ascii="宋体" w:hAnsi="宋体" w:eastAsia="宋体" w:cs="宋体"/>
                <w:color w:val="auto"/>
                <w:kern w:val="0"/>
                <w:sz w:val="24"/>
                <w:szCs w:val="24"/>
                <w:highlight w:val="none"/>
              </w:rPr>
              <w:t>。</w:t>
            </w:r>
          </w:p>
        </w:tc>
        <w:tc>
          <w:tcPr>
            <w:tcW w:w="846" w:type="dxa"/>
            <w:tcBorders>
              <w:top w:val="single" w:color="auto" w:sz="8" w:space="0"/>
              <w:left w:val="nil"/>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r>
      <w:tr>
        <w:tblPrEx>
          <w:tblCellMar>
            <w:top w:w="0" w:type="dxa"/>
            <w:left w:w="108" w:type="dxa"/>
            <w:bottom w:w="0" w:type="dxa"/>
            <w:right w:w="108" w:type="dxa"/>
          </w:tblCellMar>
        </w:tblPrEx>
        <w:trPr>
          <w:trHeight w:val="423" w:hRule="atLeast"/>
        </w:trPr>
        <w:tc>
          <w:tcPr>
            <w:tcW w:w="844" w:type="dxa"/>
            <w:tcBorders>
              <w:top w:val="single" w:color="auto" w:sz="8" w:space="0"/>
              <w:left w:val="single" w:color="auto" w:sz="8" w:space="0"/>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689" w:type="dxa"/>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应急预案</w:t>
            </w:r>
          </w:p>
        </w:tc>
        <w:tc>
          <w:tcPr>
            <w:tcW w:w="6072" w:type="dxa"/>
            <w:tcBorders>
              <w:top w:val="single" w:color="auto" w:sz="8" w:space="0"/>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根据投标文件中《项目应急预案》的合理性、可行性进行评分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应急预案清楚合理具有较强的可操作性，得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应急预案基本合理具有一定的可操作性，得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应急预案不清楚不合理不具有可操作性，得1分；</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eastAsia="zh-CN"/>
              </w:rPr>
              <w:t>未提供的不得分</w:t>
            </w:r>
            <w:r>
              <w:rPr>
                <w:rFonts w:hint="eastAsia" w:ascii="宋体" w:hAnsi="宋体" w:eastAsia="宋体" w:cs="宋体"/>
                <w:color w:val="auto"/>
                <w:kern w:val="0"/>
                <w:sz w:val="24"/>
                <w:szCs w:val="24"/>
                <w:highlight w:val="none"/>
              </w:rPr>
              <w:t>。</w:t>
            </w:r>
          </w:p>
        </w:tc>
        <w:tc>
          <w:tcPr>
            <w:tcW w:w="846" w:type="dxa"/>
            <w:tcBorders>
              <w:top w:val="single" w:color="auto" w:sz="8" w:space="0"/>
              <w:left w:val="nil"/>
              <w:bottom w:val="nil"/>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r>
      <w:tr>
        <w:tblPrEx>
          <w:tblCellMar>
            <w:top w:w="0" w:type="dxa"/>
            <w:left w:w="108" w:type="dxa"/>
            <w:bottom w:w="0" w:type="dxa"/>
            <w:right w:w="108" w:type="dxa"/>
          </w:tblCellMar>
        </w:tblPrEx>
        <w:trPr>
          <w:trHeight w:val="250" w:hRule="atLeast"/>
        </w:trPr>
        <w:tc>
          <w:tcPr>
            <w:tcW w:w="8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1689"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培训方案</w:t>
            </w:r>
          </w:p>
        </w:tc>
        <w:tc>
          <w:tcPr>
            <w:tcW w:w="6072"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评审专家将根据供应商对本次投标产品及项目整体为最终用户提供的培训方案进行综合评估。具体评分标准如下：</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供应商能详尽、明确地提供使用和维护技术培训，确保培训方案科学、并提供相应的培训材料，完全满足项目要求的，得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培训方案表现一般，但仍能基本满足项目要求的，得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培训方案表现一般，不能较好地满足项目要求的，得1分；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未提供的不得分</w:t>
            </w:r>
            <w:r>
              <w:rPr>
                <w:rFonts w:hint="eastAsia" w:ascii="宋体" w:hAnsi="宋体" w:eastAsia="宋体" w:cs="宋体"/>
                <w:color w:val="auto"/>
                <w:kern w:val="0"/>
                <w:sz w:val="24"/>
                <w:szCs w:val="24"/>
                <w:highlight w:val="none"/>
              </w:rPr>
              <w:t>。</w:t>
            </w:r>
          </w:p>
        </w:tc>
        <w:tc>
          <w:tcPr>
            <w:tcW w:w="84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r>
      <w:tr>
        <w:tblPrEx>
          <w:tblCellMar>
            <w:top w:w="0" w:type="dxa"/>
            <w:left w:w="108" w:type="dxa"/>
            <w:bottom w:w="0" w:type="dxa"/>
            <w:right w:w="108" w:type="dxa"/>
          </w:tblCellMar>
        </w:tblPrEx>
        <w:trPr>
          <w:trHeight w:val="250" w:hRule="atLeast"/>
        </w:trPr>
        <w:tc>
          <w:tcPr>
            <w:tcW w:w="8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689"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售后方案</w:t>
            </w:r>
          </w:p>
        </w:tc>
        <w:tc>
          <w:tcPr>
            <w:tcW w:w="6072" w:type="dxa"/>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售后服务方案全面合理，服务流程及内容具体，服务人员齐备，得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售后服务方案相对全面，服务流程及内容一般、服务人员匹配基本满足需求，得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售后服务方案不完整，服务流程及内容不清晰、服务人员匹配不足，得1分</w:t>
            </w:r>
            <w:r>
              <w:rPr>
                <w:rFonts w:hint="eastAsia" w:ascii="宋体" w:hAnsi="宋体" w:eastAsia="宋体" w:cs="宋体"/>
                <w:color w:val="auto"/>
                <w:kern w:val="0"/>
                <w:sz w:val="24"/>
                <w:szCs w:val="24"/>
                <w:highlight w:val="none"/>
                <w:lang w:val="en-US" w:eastAsia="zh-CN"/>
              </w:rPr>
              <w:t>;</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eastAsia="zh-CN"/>
              </w:rPr>
              <w:t>未提供的不得分</w:t>
            </w:r>
            <w:r>
              <w:rPr>
                <w:rFonts w:hint="eastAsia" w:ascii="宋体" w:hAnsi="宋体" w:eastAsia="宋体" w:cs="宋体"/>
                <w:color w:val="auto"/>
                <w:kern w:val="0"/>
                <w:sz w:val="24"/>
                <w:szCs w:val="24"/>
                <w:highlight w:val="none"/>
              </w:rPr>
              <w:t>。</w:t>
            </w:r>
          </w:p>
        </w:tc>
        <w:tc>
          <w:tcPr>
            <w:tcW w:w="84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r>
      <w:tr>
        <w:tblPrEx>
          <w:tblCellMar>
            <w:top w:w="0" w:type="dxa"/>
            <w:left w:w="108" w:type="dxa"/>
            <w:bottom w:w="0" w:type="dxa"/>
            <w:right w:w="108" w:type="dxa"/>
          </w:tblCellMar>
        </w:tblPrEx>
        <w:trPr>
          <w:trHeight w:val="489" w:hRule="atLeast"/>
        </w:trPr>
        <w:tc>
          <w:tcPr>
            <w:tcW w:w="84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6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其他承诺</w:t>
            </w:r>
          </w:p>
        </w:tc>
        <w:tc>
          <w:tcPr>
            <w:tcW w:w="60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服务响应时间和恢复时间承诺（</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分）。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承诺服务时间为7*24，原厂服务为第二个工作日上门。系统发生故障，服务电话5分钟内响应，对口技术人员1小时内必须到达现场，在24小时内排除软硬件故障（</w:t>
            </w:r>
            <w:r>
              <w:rPr>
                <w:rFonts w:hint="eastAsia" w:ascii="宋体" w:hAnsi="宋体" w:eastAsia="宋体" w:cs="宋体"/>
                <w:color w:val="auto"/>
                <w:kern w:val="0"/>
                <w:sz w:val="24"/>
                <w:szCs w:val="24"/>
                <w:highlight w:val="none"/>
                <w:lang w:val="en-US" w:eastAsia="zh-CN"/>
              </w:rPr>
              <w:t>提供承诺书并加盖公章</w:t>
            </w:r>
            <w:r>
              <w:rPr>
                <w:rFonts w:hint="eastAsia" w:ascii="宋体" w:hAnsi="宋体" w:eastAsia="宋体" w:cs="宋体"/>
                <w:color w:val="auto"/>
                <w:kern w:val="0"/>
                <w:sz w:val="24"/>
                <w:szCs w:val="24"/>
                <w:highlight w:val="none"/>
              </w:rPr>
              <w:t xml:space="preserve">）。 </w:t>
            </w:r>
          </w:p>
        </w:tc>
        <w:tc>
          <w:tcPr>
            <w:tcW w:w="8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p>
        </w:tc>
      </w:tr>
    </w:tbl>
    <w:p>
      <w:pPr>
        <w:spacing w:line="240" w:lineRule="auto"/>
        <w:rPr>
          <w:rFonts w:hint="eastAsia" w:ascii="宋体" w:hAnsi="宋体" w:eastAsia="宋体" w:cs="宋体"/>
          <w:color w:val="auto"/>
          <w:sz w:val="24"/>
          <w:szCs w:val="24"/>
          <w:highlight w:val="none"/>
        </w:rPr>
      </w:pPr>
    </w:p>
    <w:p>
      <w:pPr>
        <w:pStyle w:val="2"/>
        <w:rPr>
          <w:rFonts w:hint="eastAsia"/>
          <w:color w:val="auto"/>
          <w:highlight w:val="none"/>
        </w:rPr>
      </w:pPr>
    </w:p>
    <w:p>
      <w:pPr>
        <w:spacing w:line="240" w:lineRule="auto"/>
        <w:rPr>
          <w:rFonts w:hint="eastAsia" w:ascii="宋体" w:hAnsi="宋体" w:eastAsia="宋体" w:cs="宋体"/>
          <w:color w:val="auto"/>
          <w:sz w:val="24"/>
          <w:szCs w:val="24"/>
          <w:highlight w:val="none"/>
        </w:rPr>
      </w:pPr>
    </w:p>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2"/>
        <w:ind w:firstLine="482" w:firstLineChars="200"/>
        <w:rPr>
          <w:rFonts w:hint="eastAsia"/>
          <w:b/>
          <w:bCs/>
          <w:color w:val="auto"/>
          <w:sz w:val="24"/>
          <w:szCs w:val="28"/>
          <w:highlight w:val="none"/>
        </w:rPr>
      </w:pPr>
      <w:r>
        <w:rPr>
          <w:rFonts w:hint="eastAsia"/>
          <w:b/>
          <w:bCs/>
          <w:color w:val="auto"/>
          <w:sz w:val="24"/>
          <w:szCs w:val="28"/>
          <w:highlight w:val="none"/>
        </w:rPr>
        <w:t>价格扣除优惠政策仅适用于“第一章 二、申请人的资格要求2.</w:t>
      </w:r>
      <w:r>
        <w:rPr>
          <w:rFonts w:hint="eastAsia"/>
          <w:b/>
          <w:bCs/>
          <w:color w:val="auto"/>
          <w:sz w:val="24"/>
          <w:szCs w:val="28"/>
          <w:highlight w:val="none"/>
          <w:lang w:val="en-US" w:eastAsia="zh-CN"/>
        </w:rPr>
        <w:t>2</w:t>
      </w:r>
      <w:r>
        <w:rPr>
          <w:rFonts w:hint="eastAsia"/>
          <w:b/>
          <w:bCs/>
          <w:color w:val="auto"/>
          <w:sz w:val="24"/>
          <w:szCs w:val="28"/>
          <w:highlight w:val="none"/>
        </w:rPr>
        <w:t>落实政府采购政策需满足的资格要求”中“本项目采用以下第（4）种方式落实政府采购促进中小企业发展的要求”的采购项目中。</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1、小微型企业价格扣除</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（1）本项目对小型和微型企业产品给予10%的扣除价格，用扣除后的价格参与评审。（2）供应商需按照采购文件的要求提供相应的《小微企业声明函》。</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（3）企业标准请参照《关于印发中小企业划型标准规定的通知》（工信部联企业[2011]300号）文件规定自行填写。</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2、残疾人福利单位价格扣除</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（1）本项目对残疾人福利性单位视同小型、微型企业，给予10%的价格扣除，用扣除后的价格参与评审。</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（2）残疾人福利单位需按照采购文件的要求提供《残疾人福利性单位声明函》。</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（3）残疾人福利单位标准请参照《关于促进残疾人就业政府采购政策的通知》（财库〔2017〕141号）。</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3、监狱和戒毒企业价格扣除</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（1）本项目对监狱和戒毒企业（简称监狱企业）视同小型、微型企业，给予10%的价格扣除，用扣除后的价格参与评审。</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（3）监狱企业标准请参照《关于政府采购支持监狱企业发展有关问题的通知》（财库[2014]68号）。</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4、残疾人福利单位、监狱企业属于小型、微型企业的，不重复享受政策。</w:t>
      </w:r>
    </w:p>
    <w:p>
      <w:pPr>
        <w:pStyle w:val="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4%的价格扣除，用扣除后的价格参与评审。</w:t>
      </w:r>
    </w:p>
    <w:p>
      <w:pPr>
        <w:pStyle w:val="2"/>
        <w:spacing w:line="240" w:lineRule="auto"/>
        <w:rPr>
          <w:rFonts w:hint="eastAsia"/>
          <w:color w:val="auto"/>
          <w:highlight w:val="none"/>
        </w:rPr>
      </w:pPr>
      <w:r>
        <w:rPr>
          <w:rFonts w:hint="eastAsia" w:ascii="宋体" w:hAnsi="宋体" w:eastAsia="宋体" w:cs="宋体"/>
          <w:color w:val="auto"/>
          <w:sz w:val="24"/>
          <w:szCs w:val="24"/>
          <w:highlight w:val="none"/>
        </w:rPr>
        <w:t>6、联合体各方均为小型、微型企业（残疾人福利单位、监狱企业）的，联合体享受10%价格扣除，用扣除后的价格参与评审。</w:t>
      </w:r>
    </w:p>
    <w:p>
      <w:pPr>
        <w:widowControl/>
        <w:spacing w:line="240" w:lineRule="auto"/>
        <w:jc w:val="left"/>
        <w:rPr>
          <w:rFonts w:ascii="Times New Roman" w:hAnsi="Times New Roman" w:eastAsia="宋体" w:cs="Times New Roman"/>
          <w:color w:val="auto"/>
          <w:highlight w:val="none"/>
        </w:rPr>
      </w:pPr>
    </w:p>
    <w:p>
      <w:pPr>
        <w:widowControl/>
        <w:spacing w:line="240" w:lineRule="auto"/>
        <w:jc w:val="left"/>
        <w:rPr>
          <w:rFonts w:ascii="黑体" w:hAnsi="黑体" w:eastAsia="黑体" w:cs="黑体"/>
          <w:color w:val="auto"/>
          <w:kern w:val="44"/>
          <w:sz w:val="36"/>
          <w:szCs w:val="36"/>
          <w:highlight w:val="none"/>
          <w:u w:color="000000"/>
          <w:lang w:val="zh-TW" w:eastAsia="zh-TW"/>
        </w:rPr>
      </w:pPr>
      <w:r>
        <w:rPr>
          <w:rFonts w:ascii="黑体" w:hAnsi="黑体" w:eastAsia="黑体" w:cs="黑体"/>
          <w:color w:val="auto"/>
          <w:kern w:val="44"/>
          <w:sz w:val="36"/>
          <w:szCs w:val="36"/>
          <w:highlight w:val="none"/>
          <w:u w:color="000000"/>
          <w:lang w:val="zh-TW" w:eastAsia="zh-TW"/>
        </w:rPr>
        <w:br w:type="page"/>
      </w:r>
    </w:p>
    <w:p>
      <w:pPr>
        <w:keepNext/>
        <w:keepLines/>
        <w:spacing w:before="312" w:beforeLines="100" w:after="312" w:afterLines="100" w:line="360" w:lineRule="auto"/>
        <w:jc w:val="center"/>
        <w:outlineLvl w:val="0"/>
        <w:rPr>
          <w:rFonts w:ascii="黑体" w:hAnsi="黑体" w:eastAsia="黑体" w:cs="黑体"/>
          <w:color w:val="auto"/>
          <w:kern w:val="44"/>
          <w:sz w:val="36"/>
          <w:szCs w:val="36"/>
          <w:highlight w:val="none"/>
          <w:u w:color="000000"/>
          <w:lang w:val="zh-TW" w:eastAsia="zh-TW"/>
        </w:rPr>
      </w:pPr>
      <w:bookmarkStart w:id="27" w:name="_Toc30059"/>
      <w:r>
        <w:rPr>
          <w:rFonts w:ascii="黑体" w:hAnsi="黑体" w:eastAsia="黑体" w:cs="黑体"/>
          <w:color w:val="auto"/>
          <w:kern w:val="44"/>
          <w:sz w:val="36"/>
          <w:szCs w:val="36"/>
          <w:highlight w:val="none"/>
          <w:u w:color="000000"/>
          <w:lang w:val="zh-TW" w:eastAsia="zh-TW"/>
        </w:rPr>
        <w:t>第</w:t>
      </w:r>
      <w:r>
        <w:rPr>
          <w:rFonts w:hint="eastAsia" w:ascii="黑体" w:hAnsi="黑体" w:eastAsia="黑体" w:cs="黑体"/>
          <w:color w:val="auto"/>
          <w:kern w:val="44"/>
          <w:sz w:val="36"/>
          <w:szCs w:val="36"/>
          <w:highlight w:val="none"/>
          <w:u w:color="000000"/>
          <w:lang w:val="zh-TW"/>
        </w:rPr>
        <w:t>六</w:t>
      </w:r>
      <w:r>
        <w:rPr>
          <w:rFonts w:ascii="黑体" w:hAnsi="黑体" w:eastAsia="黑体" w:cs="黑体"/>
          <w:color w:val="auto"/>
          <w:kern w:val="44"/>
          <w:sz w:val="36"/>
          <w:szCs w:val="36"/>
          <w:highlight w:val="none"/>
          <w:u w:color="000000"/>
          <w:lang w:val="zh-TW" w:eastAsia="zh-TW"/>
        </w:rPr>
        <w:t xml:space="preserve">章  </w:t>
      </w:r>
      <w:r>
        <w:rPr>
          <w:rFonts w:hint="eastAsia" w:ascii="黑体" w:hAnsi="黑体" w:eastAsia="黑体" w:cs="黑体"/>
          <w:color w:val="auto"/>
          <w:kern w:val="44"/>
          <w:sz w:val="36"/>
          <w:szCs w:val="36"/>
          <w:highlight w:val="none"/>
          <w:u w:color="000000"/>
          <w:lang w:val="zh-TW" w:eastAsia="zh-TW"/>
        </w:rPr>
        <w:t>投标文件格式</w:t>
      </w:r>
      <w:bookmarkEnd w:id="27"/>
    </w:p>
    <w:p>
      <w:pPr>
        <w:spacing w:line="360" w:lineRule="auto"/>
        <w:jc w:val="right"/>
        <w:rPr>
          <w:rFonts w:ascii="黑体" w:hAnsi="黑体" w:eastAsia="Microsoft JhengHei UI" w:cs="宋体"/>
          <w:color w:val="auto"/>
          <w:sz w:val="36"/>
          <w:szCs w:val="36"/>
          <w:highlight w:val="none"/>
          <w:lang w:val="zh-TW" w:eastAsia="zh-TW"/>
        </w:rPr>
      </w:pPr>
      <w:r>
        <w:rPr>
          <w:rFonts w:hint="eastAsia" w:ascii="黑体" w:hAnsi="黑体" w:eastAsia="黑体" w:cs="宋体"/>
          <w:color w:val="auto"/>
          <w:sz w:val="36"/>
          <w:szCs w:val="36"/>
          <w:highlight w:val="none"/>
          <w:lang w:val="zh-TW"/>
        </w:rPr>
        <w:t>正</w:t>
      </w:r>
      <w:r>
        <w:rPr>
          <w:rFonts w:ascii="黑体" w:hAnsi="黑体" w:eastAsia="黑体" w:cs="宋体"/>
          <w:color w:val="auto"/>
          <w:sz w:val="36"/>
          <w:szCs w:val="36"/>
          <w:highlight w:val="none"/>
          <w:lang w:val="zh-TW"/>
        </w:rPr>
        <w:t>本</w:t>
      </w:r>
      <w:r>
        <w:rPr>
          <w:rFonts w:hint="eastAsia" w:ascii="黑体" w:hAnsi="黑体" w:eastAsia="黑体" w:cs="宋体"/>
          <w:color w:val="auto"/>
          <w:sz w:val="36"/>
          <w:szCs w:val="36"/>
          <w:highlight w:val="none"/>
          <w:lang w:val="zh-TW"/>
        </w:rPr>
        <w:t>/副本</w:t>
      </w:r>
    </w:p>
    <w:p>
      <w:pPr>
        <w:spacing w:line="360" w:lineRule="auto"/>
        <w:rPr>
          <w:rFonts w:ascii="黑体" w:hAnsi="黑体" w:eastAsia="Microsoft JhengHei UI" w:cs="宋体"/>
          <w:color w:val="auto"/>
          <w:sz w:val="36"/>
          <w:szCs w:val="36"/>
          <w:highlight w:val="none"/>
          <w:u w:val="single" w:color="000000"/>
          <w:lang w:val="zh-TW" w:eastAsia="zh-TW"/>
        </w:rPr>
      </w:pPr>
    </w:p>
    <w:p>
      <w:pPr>
        <w:spacing w:line="360" w:lineRule="auto"/>
        <w:rPr>
          <w:rFonts w:ascii="黑体" w:hAnsi="黑体" w:eastAsia="Microsoft JhengHei UI" w:cs="宋体"/>
          <w:color w:val="auto"/>
          <w:sz w:val="36"/>
          <w:szCs w:val="36"/>
          <w:highlight w:val="none"/>
          <w:u w:val="single" w:color="000000"/>
          <w:lang w:val="zh-TW" w:eastAsia="zh-TW"/>
        </w:rPr>
      </w:pPr>
    </w:p>
    <w:p>
      <w:pPr>
        <w:spacing w:line="360" w:lineRule="auto"/>
        <w:rPr>
          <w:rFonts w:ascii="黑体" w:hAnsi="黑体" w:eastAsia="Microsoft JhengHei UI" w:cs="宋体"/>
          <w:color w:val="auto"/>
          <w:sz w:val="36"/>
          <w:szCs w:val="36"/>
          <w:highlight w:val="none"/>
          <w:u w:val="single" w:color="000000"/>
          <w:lang w:val="zh-TW" w:eastAsia="zh-TW"/>
        </w:rPr>
      </w:pPr>
    </w:p>
    <w:p>
      <w:pPr>
        <w:spacing w:line="360" w:lineRule="auto"/>
        <w:jc w:val="center"/>
        <w:rPr>
          <w:rFonts w:ascii="Times New Roman" w:hAnsi="Times New Roman" w:eastAsia="黑体" w:cs="Times New Roman"/>
          <w:color w:val="auto"/>
          <w:sz w:val="36"/>
          <w:szCs w:val="36"/>
          <w:highlight w:val="none"/>
          <w:lang w:val="zh-TW"/>
        </w:rPr>
      </w:pPr>
      <w:r>
        <w:rPr>
          <w:rFonts w:hint="eastAsia" w:ascii="Times New Roman" w:hAnsi="Times New Roman" w:eastAsia="黑体" w:cs="Times New Roman"/>
          <w:color w:val="auto"/>
          <w:sz w:val="36"/>
          <w:szCs w:val="36"/>
          <w:highlight w:val="none"/>
          <w:lang w:val="zh-TW" w:eastAsia="zh-CN"/>
        </w:rPr>
        <w:t>南京铁路公安处一键点调系统</w:t>
      </w:r>
      <w:r>
        <w:rPr>
          <w:rFonts w:hint="eastAsia" w:ascii="Times New Roman" w:hAnsi="Times New Roman" w:eastAsia="黑体" w:cs="Times New Roman"/>
          <w:color w:val="auto"/>
          <w:sz w:val="36"/>
          <w:szCs w:val="36"/>
          <w:highlight w:val="none"/>
          <w:lang w:val="zh-TW"/>
        </w:rPr>
        <w:t>项目</w:t>
      </w:r>
    </w:p>
    <w:p>
      <w:pPr>
        <w:spacing w:line="360" w:lineRule="auto"/>
        <w:jc w:val="center"/>
        <w:rPr>
          <w:rFonts w:ascii="Times New Roman" w:hAnsi="Times New Roman" w:eastAsia="黑体" w:cs="Times New Roman"/>
          <w:color w:val="auto"/>
          <w:sz w:val="36"/>
          <w:szCs w:val="36"/>
          <w:highlight w:val="none"/>
          <w:u w:color="000000"/>
        </w:rPr>
      </w:pPr>
    </w:p>
    <w:p>
      <w:pPr>
        <w:spacing w:line="360" w:lineRule="auto"/>
        <w:jc w:val="center"/>
        <w:rPr>
          <w:rFonts w:ascii="Times New Roman" w:hAnsi="Times New Roman" w:eastAsia="黑体" w:cs="Times New Roman"/>
          <w:color w:val="auto"/>
          <w:sz w:val="36"/>
          <w:szCs w:val="36"/>
          <w:highlight w:val="none"/>
          <w:u w:color="000000"/>
        </w:rPr>
      </w:pPr>
      <w:r>
        <w:rPr>
          <w:rFonts w:ascii="Times New Roman" w:hAnsi="Times New Roman" w:eastAsia="黑体" w:cs="Times New Roman"/>
          <w:color w:val="auto"/>
          <w:sz w:val="36"/>
          <w:szCs w:val="36"/>
          <w:highlight w:val="none"/>
          <w:u w:color="000000"/>
        </w:rPr>
        <w:t>项目编号：</w:t>
      </w:r>
    </w:p>
    <w:p>
      <w:pPr>
        <w:spacing w:line="360" w:lineRule="auto"/>
        <w:rPr>
          <w:rFonts w:ascii="黑体" w:hAnsi="黑体" w:eastAsia="黑体" w:cs="仿宋_GB2312"/>
          <w:color w:val="auto"/>
          <w:sz w:val="36"/>
          <w:szCs w:val="36"/>
          <w:highlight w:val="none"/>
          <w:u w:color="000000"/>
        </w:rPr>
      </w:pPr>
    </w:p>
    <w:p>
      <w:pPr>
        <w:spacing w:line="360" w:lineRule="auto"/>
        <w:jc w:val="center"/>
        <w:rPr>
          <w:rFonts w:ascii="黑体" w:hAnsi="黑体" w:eastAsia="黑体" w:cs="仿宋_GB2312"/>
          <w:color w:val="auto"/>
          <w:sz w:val="36"/>
          <w:szCs w:val="36"/>
          <w:highlight w:val="none"/>
          <w:u w:color="000000"/>
        </w:rPr>
      </w:pPr>
    </w:p>
    <w:p>
      <w:pPr>
        <w:spacing w:after="120"/>
        <w:jc w:val="center"/>
        <w:rPr>
          <w:rFonts w:ascii="黑体" w:hAnsi="黑体" w:eastAsia="黑体" w:cs="黑体"/>
          <w:color w:val="auto"/>
          <w:sz w:val="52"/>
          <w:szCs w:val="52"/>
          <w:highlight w:val="none"/>
          <w:u w:color="000000"/>
        </w:rPr>
      </w:pPr>
      <w:r>
        <w:rPr>
          <w:rFonts w:hint="eastAsia" w:ascii="黑体" w:hAnsi="黑体" w:eastAsia="黑体" w:cs="黑体"/>
          <w:color w:val="auto"/>
          <w:sz w:val="52"/>
          <w:szCs w:val="52"/>
          <w:highlight w:val="none"/>
          <w:u w:color="000000"/>
          <w:lang w:val="zh-TW"/>
        </w:rPr>
        <w:t>投标</w:t>
      </w:r>
      <w:r>
        <w:rPr>
          <w:rFonts w:ascii="黑体" w:hAnsi="黑体" w:eastAsia="黑体" w:cs="黑体"/>
          <w:color w:val="auto"/>
          <w:sz w:val="52"/>
          <w:szCs w:val="52"/>
          <w:highlight w:val="none"/>
          <w:u w:color="000000"/>
          <w:lang w:val="zh-TW" w:eastAsia="zh-TW"/>
        </w:rPr>
        <w:t>文件</w:t>
      </w:r>
    </w:p>
    <w:p>
      <w:pPr>
        <w:spacing w:line="360" w:lineRule="auto"/>
        <w:jc w:val="center"/>
        <w:rPr>
          <w:rFonts w:ascii="黑体" w:hAnsi="黑体" w:eastAsia="黑体" w:cs="仿宋_GB2312"/>
          <w:b/>
          <w:bCs/>
          <w:color w:val="auto"/>
          <w:sz w:val="28"/>
          <w:szCs w:val="28"/>
          <w:highlight w:val="none"/>
          <w:u w:color="000000"/>
        </w:rPr>
      </w:pPr>
    </w:p>
    <w:p>
      <w:pPr>
        <w:spacing w:line="360" w:lineRule="auto"/>
        <w:jc w:val="center"/>
        <w:rPr>
          <w:rFonts w:ascii="黑体" w:hAnsi="黑体" w:eastAsia="黑体" w:cs="仿宋_GB2312"/>
          <w:b/>
          <w:bCs/>
          <w:color w:val="auto"/>
          <w:sz w:val="28"/>
          <w:szCs w:val="28"/>
          <w:highlight w:val="none"/>
          <w:u w:color="000000"/>
        </w:rPr>
      </w:pPr>
    </w:p>
    <w:p>
      <w:pPr>
        <w:spacing w:line="360" w:lineRule="auto"/>
        <w:jc w:val="center"/>
        <w:rPr>
          <w:rFonts w:ascii="黑体" w:hAnsi="黑体" w:eastAsia="黑体" w:cs="仿宋_GB2312"/>
          <w:b/>
          <w:bCs/>
          <w:color w:val="auto"/>
          <w:sz w:val="28"/>
          <w:szCs w:val="28"/>
          <w:highlight w:val="none"/>
          <w:u w:color="000000"/>
        </w:rPr>
      </w:pPr>
    </w:p>
    <w:p>
      <w:pPr>
        <w:spacing w:line="360" w:lineRule="auto"/>
        <w:jc w:val="center"/>
        <w:rPr>
          <w:rFonts w:ascii="黑体" w:hAnsi="黑体" w:eastAsia="黑体" w:cs="仿宋_GB2312"/>
          <w:b/>
          <w:bCs/>
          <w:color w:val="auto"/>
          <w:sz w:val="28"/>
          <w:szCs w:val="28"/>
          <w:highlight w:val="none"/>
          <w:u w:color="000000"/>
        </w:rPr>
      </w:pPr>
    </w:p>
    <w:p>
      <w:pPr>
        <w:spacing w:line="360" w:lineRule="auto"/>
        <w:jc w:val="center"/>
        <w:rPr>
          <w:rFonts w:ascii="黑体" w:hAnsi="黑体" w:eastAsia="黑体" w:cs="仿宋_GB2312"/>
          <w:b/>
          <w:bCs/>
          <w:color w:val="auto"/>
          <w:sz w:val="28"/>
          <w:szCs w:val="28"/>
          <w:highlight w:val="none"/>
          <w:u w:color="000000"/>
        </w:rPr>
      </w:pPr>
    </w:p>
    <w:p>
      <w:pPr>
        <w:spacing w:line="360" w:lineRule="auto"/>
        <w:jc w:val="center"/>
        <w:rPr>
          <w:rFonts w:ascii="黑体" w:hAnsi="黑体" w:eastAsia="黑体" w:cs="黑体"/>
          <w:color w:val="auto"/>
          <w:sz w:val="28"/>
          <w:szCs w:val="28"/>
          <w:highlight w:val="none"/>
          <w:u w:color="000000"/>
        </w:rPr>
      </w:pPr>
      <w:r>
        <w:rPr>
          <w:rFonts w:hint="eastAsia" w:ascii="黑体" w:hAnsi="黑体" w:eastAsia="黑体" w:cs="黑体"/>
          <w:color w:val="auto"/>
          <w:sz w:val="28"/>
          <w:szCs w:val="28"/>
          <w:highlight w:val="none"/>
          <w:u w:color="000000"/>
          <w:lang w:val="zh-TW"/>
        </w:rPr>
        <w:t>投标人</w:t>
      </w:r>
      <w:r>
        <w:rPr>
          <w:rFonts w:ascii="黑体" w:hAnsi="黑体" w:eastAsia="黑体" w:cs="黑体"/>
          <w:color w:val="auto"/>
          <w:sz w:val="28"/>
          <w:szCs w:val="28"/>
          <w:highlight w:val="none"/>
          <w:u w:color="000000"/>
          <w:lang w:val="zh-TW" w:eastAsia="zh-TW"/>
        </w:rPr>
        <w:t>：</w:t>
      </w:r>
      <w:r>
        <w:rPr>
          <w:rFonts w:hint="eastAsia" w:ascii="黑体" w:hAnsi="黑体" w:eastAsia="黑体" w:cs="黑体"/>
          <w:color w:val="auto"/>
          <w:sz w:val="28"/>
          <w:szCs w:val="28"/>
          <w:highlight w:val="none"/>
          <w:u w:val="single"/>
          <w:lang w:val="zh-TW"/>
        </w:rPr>
        <w:t xml:space="preserve">     </w:t>
      </w:r>
      <w:r>
        <w:rPr>
          <w:rFonts w:ascii="黑体" w:hAnsi="黑体" w:eastAsia="Microsoft JhengHei UI" w:cs="黑体"/>
          <w:color w:val="auto"/>
          <w:sz w:val="28"/>
          <w:szCs w:val="28"/>
          <w:highlight w:val="none"/>
          <w:u w:val="single"/>
          <w:lang w:val="zh-TW" w:eastAsia="zh-TW"/>
        </w:rPr>
        <w:t xml:space="preserve">   </w:t>
      </w:r>
      <w:r>
        <w:rPr>
          <w:rFonts w:hint="eastAsia" w:ascii="黑体" w:hAnsi="黑体" w:eastAsia="黑体" w:cs="黑体"/>
          <w:color w:val="auto"/>
          <w:sz w:val="28"/>
          <w:szCs w:val="28"/>
          <w:highlight w:val="none"/>
          <w:u w:val="single"/>
          <w:lang w:val="zh-TW"/>
        </w:rPr>
        <w:t xml:space="preserve">               </w:t>
      </w:r>
      <w:r>
        <w:rPr>
          <w:rFonts w:ascii="黑体" w:hAnsi="黑体" w:eastAsia="黑体" w:cs="黑体"/>
          <w:color w:val="auto"/>
          <w:sz w:val="28"/>
          <w:szCs w:val="28"/>
          <w:highlight w:val="none"/>
          <w:u w:color="000000"/>
          <w:lang w:val="zh-TW" w:eastAsia="zh-TW"/>
        </w:rPr>
        <w:t>（盖单位章）</w:t>
      </w:r>
    </w:p>
    <w:p>
      <w:pPr>
        <w:spacing w:line="360" w:lineRule="auto"/>
        <w:jc w:val="center"/>
        <w:rPr>
          <w:rFonts w:ascii="黑体" w:hAnsi="黑体" w:eastAsia="黑体" w:cs="黑体"/>
          <w:color w:val="auto"/>
          <w:sz w:val="28"/>
          <w:szCs w:val="28"/>
          <w:highlight w:val="none"/>
          <w:u w:val="single" w:color="000000"/>
        </w:rPr>
      </w:pPr>
      <w:r>
        <w:rPr>
          <w:rFonts w:ascii="黑体" w:hAnsi="黑体" w:eastAsia="黑体" w:cs="黑体"/>
          <w:color w:val="auto"/>
          <w:sz w:val="28"/>
          <w:szCs w:val="28"/>
          <w:highlight w:val="none"/>
          <w:u w:color="000000"/>
          <w:lang w:val="zh-TW" w:eastAsia="zh-TW"/>
        </w:rPr>
        <w:t>法定代表人或其委托代理人：</w:t>
      </w:r>
      <w:r>
        <w:rPr>
          <w:rFonts w:hint="eastAsia" w:ascii="黑体" w:hAnsi="黑体" w:eastAsia="黑体" w:cs="黑体"/>
          <w:color w:val="auto"/>
          <w:sz w:val="28"/>
          <w:szCs w:val="28"/>
          <w:highlight w:val="none"/>
          <w:u w:val="single"/>
          <w:lang w:val="zh-TW"/>
        </w:rPr>
        <w:t xml:space="preserve">         </w:t>
      </w:r>
      <w:r>
        <w:rPr>
          <w:rFonts w:ascii="黑体" w:hAnsi="黑体" w:eastAsia="黑体" w:cs="黑体"/>
          <w:color w:val="auto"/>
          <w:sz w:val="28"/>
          <w:szCs w:val="28"/>
          <w:highlight w:val="none"/>
          <w:u w:color="000000"/>
          <w:lang w:val="zh-TW" w:eastAsia="zh-TW"/>
        </w:rPr>
        <w:t>（签字）</w:t>
      </w:r>
    </w:p>
    <w:p>
      <w:pPr>
        <w:spacing w:line="360" w:lineRule="auto"/>
        <w:jc w:val="center"/>
        <w:rPr>
          <w:rFonts w:ascii="黑体" w:hAnsi="黑体" w:eastAsia="黑体" w:cs="仿宋_GB2312"/>
          <w:color w:val="auto"/>
          <w:sz w:val="28"/>
          <w:szCs w:val="28"/>
          <w:highlight w:val="none"/>
          <w:u w:val="single" w:color="000000"/>
        </w:rPr>
      </w:pPr>
      <w:r>
        <w:rPr>
          <w:rFonts w:ascii="黑体" w:hAnsi="黑体" w:eastAsia="黑体" w:cs="黑体"/>
          <w:color w:val="auto"/>
          <w:sz w:val="28"/>
          <w:szCs w:val="28"/>
          <w:highlight w:val="none"/>
          <w:u w:val="single" w:color="000000"/>
        </w:rPr>
        <w:t xml:space="preserve">       </w:t>
      </w:r>
      <w:r>
        <w:rPr>
          <w:rFonts w:ascii="黑体" w:hAnsi="黑体" w:eastAsia="黑体" w:cs="黑体"/>
          <w:color w:val="auto"/>
          <w:sz w:val="28"/>
          <w:szCs w:val="28"/>
          <w:highlight w:val="none"/>
          <w:u w:color="000000"/>
          <w:lang w:val="zh-TW" w:eastAsia="zh-TW"/>
        </w:rPr>
        <w:t>年</w:t>
      </w:r>
      <w:r>
        <w:rPr>
          <w:rFonts w:hint="eastAsia" w:ascii="黑体" w:hAnsi="黑体" w:eastAsia="黑体" w:cs="黑体"/>
          <w:color w:val="auto"/>
          <w:sz w:val="28"/>
          <w:szCs w:val="28"/>
          <w:highlight w:val="none"/>
          <w:u w:val="single"/>
          <w:lang w:val="zh-TW"/>
        </w:rPr>
        <w:t xml:space="preserve">    </w:t>
      </w:r>
      <w:r>
        <w:rPr>
          <w:rFonts w:ascii="黑体" w:hAnsi="黑体" w:eastAsia="黑体" w:cs="黑体"/>
          <w:color w:val="auto"/>
          <w:sz w:val="28"/>
          <w:szCs w:val="28"/>
          <w:highlight w:val="none"/>
          <w:u w:color="000000"/>
          <w:lang w:val="zh-TW" w:eastAsia="zh-TW"/>
        </w:rPr>
        <w:t>月</w:t>
      </w:r>
      <w:r>
        <w:rPr>
          <w:rFonts w:hint="eastAsia" w:ascii="黑体" w:hAnsi="黑体" w:eastAsia="黑体" w:cs="黑体"/>
          <w:color w:val="auto"/>
          <w:sz w:val="28"/>
          <w:szCs w:val="28"/>
          <w:highlight w:val="none"/>
          <w:u w:val="single"/>
          <w:lang w:val="zh-TW"/>
        </w:rPr>
        <w:t xml:space="preserve">     </w:t>
      </w:r>
      <w:r>
        <w:rPr>
          <w:rFonts w:ascii="黑体" w:hAnsi="黑体" w:eastAsia="黑体" w:cs="黑体"/>
          <w:color w:val="auto"/>
          <w:sz w:val="28"/>
          <w:szCs w:val="28"/>
          <w:highlight w:val="none"/>
          <w:u w:color="000000"/>
          <w:lang w:val="zh-TW" w:eastAsia="zh-TW"/>
        </w:rPr>
        <w:t>日</w:t>
      </w:r>
    </w:p>
    <w:p>
      <w:pPr>
        <w:widowControl/>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spacing w:line="360" w:lineRule="auto"/>
        <w:jc w:val="center"/>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资格性和符合性检查响应对照及评分索引表</w:t>
      </w:r>
    </w:p>
    <w:p>
      <w:pPr>
        <w:spacing w:before="156" w:beforeLines="50" w:after="156" w:afterLines="50" w:line="360" w:lineRule="auto"/>
        <w:jc w:val="left"/>
        <w:rPr>
          <w:rFonts w:ascii="Times New Roman" w:hAnsi="Times New Roman" w:eastAsia="宋体" w:cs="Times New Roman"/>
          <w:color w:val="auto"/>
          <w:highlight w:val="none"/>
        </w:rPr>
      </w:pPr>
      <w:r>
        <w:rPr>
          <w:rFonts w:hint="eastAsia" w:ascii="Times New Roman" w:hAnsi="Times New Roman" w:eastAsia="宋体" w:cs="Times New Roman"/>
          <w:color w:val="auto"/>
          <w:sz w:val="24"/>
          <w:szCs w:val="24"/>
          <w:highlight w:val="none"/>
        </w:rPr>
        <w:t>投标人全称（加盖公章）：</w:t>
      </w:r>
      <w:r>
        <w:rPr>
          <w:rFonts w:hint="eastAsia" w:ascii="Times New Roman" w:hAnsi="Times New Roman" w:eastAsia="宋体" w:cs="Times New Roman"/>
          <w:color w:val="auto"/>
          <w:sz w:val="24"/>
          <w:szCs w:val="24"/>
          <w:highlight w:val="none"/>
          <w:u w:val="single"/>
        </w:rPr>
        <w:t xml:space="preserve">                            </w:t>
      </w:r>
    </w:p>
    <w:tbl>
      <w:tblPr>
        <w:tblStyle w:val="30"/>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6857"/>
        <w:gridCol w:w="94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98" w:type="dxa"/>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6857" w:type="dxa"/>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资格性和符合性检查响应内容</w:t>
            </w:r>
          </w:p>
        </w:tc>
        <w:tc>
          <w:tcPr>
            <w:tcW w:w="942" w:type="dxa"/>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是否响应</w:t>
            </w:r>
          </w:p>
          <w:p>
            <w:pPr>
              <w:keepNext w:val="0"/>
              <w:keepLines w:val="0"/>
              <w:widowControl/>
              <w:suppressLineNumbers w:val="0"/>
              <w:snapToGrid w:val="0"/>
              <w:spacing w:before="0" w:beforeAutospacing="0" w:after="0" w:afterAutospacing="0" w:line="240" w:lineRule="atLeast"/>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（填是或者否）</w:t>
            </w:r>
          </w:p>
        </w:tc>
        <w:tc>
          <w:tcPr>
            <w:tcW w:w="706" w:type="dxa"/>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投标文件中的</w:t>
            </w:r>
          </w:p>
          <w:p>
            <w:pPr>
              <w:keepNext w:val="0"/>
              <w:keepLines w:val="0"/>
              <w:widowControl/>
              <w:suppressLineNumbers w:val="0"/>
              <w:snapToGrid w:val="0"/>
              <w:spacing w:before="0" w:beforeAutospacing="0" w:after="0" w:afterAutospacing="0" w:line="240" w:lineRule="atLeast"/>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6857"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iCs/>
                <w:color w:val="auto"/>
                <w:sz w:val="24"/>
                <w:szCs w:val="24"/>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6857" w:type="dxa"/>
            <w:vAlign w:val="center"/>
          </w:tcPr>
          <w:p>
            <w:pPr>
              <w:keepNext w:val="0"/>
              <w:keepLines w:val="0"/>
              <w:widowControl/>
              <w:suppressLineNumbers w:val="0"/>
              <w:snapToGrid w:val="0"/>
              <w:spacing w:before="50" w:beforeAutospacing="0" w:after="156" w:afterLines="50" w:afterAutospacing="0"/>
              <w:ind w:left="0" w:right="0"/>
              <w:jc w:val="left"/>
              <w:rPr>
                <w:rFonts w:hint="default" w:ascii="Times New Roman" w:hAnsi="Times New Roman" w:eastAsia="宋体" w:cs="Times New Roman"/>
                <w:b/>
                <w:color w:val="auto"/>
                <w:sz w:val="28"/>
                <w:szCs w:val="28"/>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6857"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iCs/>
                <w:color w:val="auto"/>
                <w:sz w:val="24"/>
                <w:szCs w:val="24"/>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6857" w:type="dxa"/>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iCs/>
                <w:color w:val="auto"/>
                <w:sz w:val="24"/>
                <w:szCs w:val="24"/>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6857" w:type="dxa"/>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iCs/>
                <w:color w:val="auto"/>
                <w:sz w:val="24"/>
                <w:szCs w:val="24"/>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w:t>
            </w:r>
          </w:p>
        </w:tc>
        <w:tc>
          <w:tcPr>
            <w:tcW w:w="6857" w:type="dxa"/>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iCs/>
                <w:color w:val="auto"/>
                <w:sz w:val="22"/>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7</w:t>
            </w:r>
          </w:p>
        </w:tc>
        <w:tc>
          <w:tcPr>
            <w:tcW w:w="6857" w:type="dxa"/>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iCs/>
                <w:color w:val="auto"/>
                <w:sz w:val="22"/>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8</w:t>
            </w:r>
          </w:p>
        </w:tc>
        <w:tc>
          <w:tcPr>
            <w:tcW w:w="6857" w:type="dxa"/>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iCs/>
                <w:color w:val="auto"/>
                <w:sz w:val="22"/>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498"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w:t>
            </w:r>
          </w:p>
        </w:tc>
        <w:tc>
          <w:tcPr>
            <w:tcW w:w="6857" w:type="dxa"/>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iCs/>
                <w:color w:val="auto"/>
                <w:sz w:val="22"/>
                <w:highlight w:val="none"/>
              </w:rPr>
            </w:pPr>
          </w:p>
        </w:tc>
        <w:tc>
          <w:tcPr>
            <w:tcW w:w="942"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706" w:type="dxa"/>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bl>
    <w:p>
      <w:pPr>
        <w:jc w:val="left"/>
        <w:rPr>
          <w:rFonts w:ascii="Times New Roman" w:hAnsi="Times New Roman" w:eastAsia="宋体" w:cs="Times New Roman"/>
          <w:color w:val="auto"/>
          <w:highlight w:val="none"/>
        </w:rPr>
      </w:pPr>
    </w:p>
    <w:p>
      <w:pPr>
        <w:rPr>
          <w:rFonts w:ascii="黑体" w:hAnsi="黑体" w:eastAsia="黑体" w:cs="宋体"/>
          <w:color w:val="auto"/>
          <w:sz w:val="36"/>
          <w:szCs w:val="36"/>
          <w:highlight w:val="none"/>
          <w:u w:color="000000"/>
          <w:lang w:val="zh-TW" w:eastAsia="zh-TW"/>
        </w:rPr>
      </w:pPr>
      <w:r>
        <w:rPr>
          <w:rFonts w:hint="eastAsia" w:ascii="黑体" w:hAnsi="黑体" w:eastAsia="黑体" w:cs="宋体"/>
          <w:color w:val="auto"/>
          <w:sz w:val="36"/>
          <w:szCs w:val="36"/>
          <w:highlight w:val="none"/>
          <w:u w:color="000000"/>
          <w:lang w:val="zh-TW" w:eastAsia="zh-TW"/>
        </w:rPr>
        <w:br w:type="page"/>
      </w:r>
    </w:p>
    <w:tbl>
      <w:tblPr>
        <w:tblStyle w:val="30"/>
        <w:tblW w:w="9003" w:type="dxa"/>
        <w:tblInd w:w="0" w:type="dxa"/>
        <w:tblLayout w:type="fixed"/>
        <w:tblCellMar>
          <w:top w:w="0" w:type="dxa"/>
          <w:left w:w="108" w:type="dxa"/>
          <w:bottom w:w="0" w:type="dxa"/>
          <w:right w:w="108" w:type="dxa"/>
        </w:tblCellMar>
      </w:tblPr>
      <w:tblGrid>
        <w:gridCol w:w="503"/>
        <w:gridCol w:w="6845"/>
        <w:gridCol w:w="1655"/>
      </w:tblGrid>
      <w:tr>
        <w:tblPrEx>
          <w:tblCellMar>
            <w:top w:w="0" w:type="dxa"/>
            <w:left w:w="108" w:type="dxa"/>
            <w:bottom w:w="0" w:type="dxa"/>
            <w:right w:w="108" w:type="dxa"/>
          </w:tblCellMar>
        </w:tblPrEx>
        <w:trPr>
          <w:trHeight w:val="307" w:hRule="atLeast"/>
        </w:trPr>
        <w:tc>
          <w:tcPr>
            <w:tcW w:w="73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黑体" w:hAnsi="黑体" w:eastAsia="黑体" w:cs="宋体"/>
                <w:color w:val="auto"/>
                <w:sz w:val="36"/>
                <w:szCs w:val="36"/>
                <w:highlight w:val="none"/>
                <w:u w:color="000000"/>
                <w:lang w:val="zh-TW" w:eastAsia="zh-TW"/>
              </w:rPr>
              <w:br w:type="page"/>
            </w:r>
            <w:r>
              <w:rPr>
                <w:rFonts w:hint="default" w:ascii="Times New Roman" w:hAnsi="Times New Roman" w:eastAsia="宋体" w:cs="Times New Roman"/>
                <w:b/>
                <w:bCs/>
                <w:color w:val="auto"/>
                <w:sz w:val="24"/>
                <w:szCs w:val="24"/>
                <w:highlight w:val="none"/>
              </w:rPr>
              <w:t>评分项</w:t>
            </w: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在投标文件中的页码位置</w:t>
            </w:r>
          </w:p>
        </w:tc>
      </w:tr>
      <w:tr>
        <w:tblPrEx>
          <w:tblCellMar>
            <w:top w:w="0" w:type="dxa"/>
            <w:left w:w="108" w:type="dxa"/>
            <w:bottom w:w="0" w:type="dxa"/>
            <w:right w:w="108" w:type="dxa"/>
          </w:tblCellMar>
        </w:tblPrEx>
        <w:trPr>
          <w:trHeight w:val="454" w:hRule="exact"/>
        </w:trPr>
        <w:tc>
          <w:tcPr>
            <w:tcW w:w="73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投标报价</w:t>
            </w: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93" w:beforeLines="30" w:beforeAutospacing="0" w:after="93" w:afterLines="30" w:afterAutospacing="0"/>
              <w:ind w:left="0" w:right="0"/>
              <w:jc w:val="center"/>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keepNext w:val="0"/>
              <w:keepLines w:val="0"/>
              <w:suppressLineNumbers w:val="0"/>
              <w:snapToGrid w:val="0"/>
              <w:spacing w:before="31" w:beforeLines="0" w:beforeAutospacing="0" w:after="0" w:afterLines="0" w:afterAutospacing="0"/>
              <w:ind w:left="0" w:right="0"/>
              <w:jc w:val="center"/>
              <w:textAlignment w:val="baseline"/>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93" w:beforeLines="30" w:beforeAutospacing="0" w:after="93" w:afterLines="30" w:afterAutospacing="0"/>
              <w:ind w:left="0" w:right="0"/>
              <w:jc w:val="center"/>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keepNext w:val="0"/>
              <w:keepLines w:val="0"/>
              <w:suppressLineNumbers w:val="0"/>
              <w:snapToGrid w:val="0"/>
              <w:spacing w:before="0" w:beforeLines="0" w:beforeAutospacing="0" w:after="0" w:afterLines="0" w:afterAutospacing="0"/>
              <w:ind w:left="0" w:right="0"/>
              <w:jc w:val="center"/>
              <w:textAlignment w:val="baseline"/>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vMerge w:val="continue"/>
            <w:tcBorders>
              <w:top w:val="nil"/>
              <w:left w:val="single" w:color="000000" w:sz="4" w:space="0"/>
              <w:bottom w:val="nil"/>
              <w:right w:val="single" w:color="000000"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pStyle w:val="2"/>
              <w:keepNext w:val="0"/>
              <w:keepLines w:val="0"/>
              <w:suppressLineNumbers w:val="0"/>
              <w:spacing w:before="0" w:beforeLines="0" w:beforeAutospacing="0" w:afterLines="0" w:afterAutospacing="0"/>
              <w:ind w:left="0" w:right="0"/>
              <w:jc w:val="center"/>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tcBorders>
              <w:top w:val="nil"/>
              <w:left w:val="single" w:color="000000" w:sz="4" w:space="0"/>
              <w:bottom w:val="nil"/>
              <w:right w:val="single" w:color="000000"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pStyle w:val="2"/>
              <w:keepNext w:val="0"/>
              <w:keepLines w:val="0"/>
              <w:suppressLineNumbers w:val="0"/>
              <w:spacing w:before="0" w:beforeLines="0" w:beforeAutospacing="0" w:afterLines="0" w:afterAutospacing="0"/>
              <w:ind w:left="0" w:right="0"/>
              <w:jc w:val="center"/>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tcBorders>
              <w:top w:val="nil"/>
              <w:left w:val="single" w:color="000000" w:sz="4" w:space="0"/>
              <w:bottom w:val="nil"/>
              <w:right w:val="single" w:color="000000"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tcBorders>
              <w:top w:val="nil"/>
              <w:left w:val="single" w:color="000000" w:sz="4" w:space="0"/>
              <w:bottom w:val="nil"/>
              <w:right w:val="single" w:color="000000"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cs="Times New Roman"/>
                <w:color w:val="auto"/>
                <w:sz w:val="24"/>
                <w:szCs w:val="24"/>
                <w:highlight w:val="none"/>
                <w:lang w:val="en-US" w:eastAsia="zh-CN"/>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r>
        <w:tblPrEx>
          <w:tblCellMar>
            <w:top w:w="0" w:type="dxa"/>
            <w:left w:w="108" w:type="dxa"/>
            <w:bottom w:w="0" w:type="dxa"/>
            <w:right w:w="108" w:type="dxa"/>
          </w:tblCellMar>
        </w:tblPrEx>
        <w:trPr>
          <w:trHeight w:val="454" w:hRule="exact"/>
        </w:trPr>
        <w:tc>
          <w:tcPr>
            <w:tcW w:w="50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color w:val="auto"/>
                <w:sz w:val="24"/>
                <w:szCs w:val="24"/>
                <w:highlight w:val="none"/>
              </w:rPr>
            </w:pPr>
          </w:p>
        </w:tc>
        <w:tc>
          <w:tcPr>
            <w:tcW w:w="6845" w:type="dxa"/>
            <w:tcBorders>
              <w:top w:val="single" w:color="000000" w:sz="4" w:space="0"/>
              <w:left w:val="nil"/>
              <w:bottom w:val="single" w:color="000000" w:sz="4" w:space="0"/>
              <w:right w:val="single" w:color="000000" w:sz="4" w:space="0"/>
            </w:tcBorders>
            <w:vAlign w:val="center"/>
          </w:tcPr>
          <w:p>
            <w:pPr>
              <w:keepNext w:val="0"/>
              <w:keepLines w:val="0"/>
              <w:suppressLineNumbers w:val="0"/>
              <w:snapToGrid w:val="0"/>
              <w:spacing w:before="78" w:beforeLines="0" w:beforeAutospacing="0" w:after="0" w:afterLines="0" w:afterAutospacing="0"/>
              <w:ind w:left="0" w:right="0"/>
              <w:jc w:val="center"/>
              <w:textAlignment w:val="baseline"/>
              <w:rPr>
                <w:rFonts w:hint="default" w:ascii="Times New Roman" w:hAnsi="Times New Roman" w:eastAsia="宋体" w:cs="Times New Roman"/>
                <w:color w:val="auto"/>
                <w:sz w:val="24"/>
                <w:szCs w:val="24"/>
                <w:highlight w:val="none"/>
              </w:rPr>
            </w:pPr>
          </w:p>
        </w:tc>
        <w:tc>
          <w:tcPr>
            <w:tcW w:w="165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firstLine="420"/>
              <w:jc w:val="center"/>
              <w:rPr>
                <w:rFonts w:hint="default" w:ascii="Times New Roman" w:hAnsi="Times New Roman" w:eastAsia="宋体" w:cs="Times New Roman"/>
                <w:b/>
                <w:bCs/>
                <w:color w:val="auto"/>
                <w:sz w:val="24"/>
                <w:szCs w:val="24"/>
                <w:highlight w:val="none"/>
              </w:rPr>
            </w:pPr>
          </w:p>
        </w:tc>
      </w:tr>
    </w:tbl>
    <w:p>
      <w:pPr>
        <w:rPr>
          <w:rFonts w:ascii="黑体" w:hAnsi="黑体" w:eastAsia="黑体" w:cs="宋体"/>
          <w:color w:val="auto"/>
          <w:sz w:val="36"/>
          <w:szCs w:val="36"/>
          <w:highlight w:val="none"/>
          <w:u w:color="000000"/>
          <w:lang w:val="zh-TW" w:eastAsia="zh-TW"/>
        </w:rPr>
      </w:pPr>
    </w:p>
    <w:p>
      <w:pPr>
        <w:rPr>
          <w:rFonts w:ascii="黑体" w:hAnsi="黑体" w:eastAsia="黑体" w:cs="宋体"/>
          <w:color w:val="auto"/>
          <w:sz w:val="36"/>
          <w:szCs w:val="36"/>
          <w:highlight w:val="none"/>
          <w:u w:color="000000"/>
          <w:lang w:val="zh-TW" w:eastAsia="zh-TW"/>
        </w:rPr>
      </w:pPr>
      <w:r>
        <w:rPr>
          <w:rFonts w:hint="eastAsia" w:ascii="黑体" w:hAnsi="黑体" w:eastAsia="黑体" w:cs="宋体"/>
          <w:color w:val="auto"/>
          <w:sz w:val="36"/>
          <w:szCs w:val="36"/>
          <w:highlight w:val="none"/>
          <w:u w:color="000000"/>
          <w:lang w:val="zh-TW" w:eastAsia="zh-TW"/>
        </w:rPr>
        <w:br w:type="page"/>
      </w:r>
    </w:p>
    <w:p>
      <w:pPr>
        <w:spacing w:before="312" w:beforeLines="100" w:after="312" w:afterLines="100" w:line="360" w:lineRule="auto"/>
        <w:jc w:val="center"/>
        <w:rPr>
          <w:rFonts w:ascii="黑体" w:hAnsi="黑体" w:eastAsia="黑体" w:cs="宋体"/>
          <w:color w:val="auto"/>
          <w:sz w:val="36"/>
          <w:szCs w:val="36"/>
          <w:highlight w:val="none"/>
          <w:u w:color="000000"/>
        </w:rPr>
      </w:pPr>
      <w:r>
        <w:rPr>
          <w:rFonts w:hint="eastAsia" w:ascii="黑体" w:hAnsi="黑体" w:eastAsia="黑体" w:cs="宋体"/>
          <w:color w:val="auto"/>
          <w:sz w:val="36"/>
          <w:szCs w:val="36"/>
          <w:highlight w:val="none"/>
          <w:u w:color="000000"/>
          <w:lang w:val="zh-TW" w:eastAsia="zh-TW"/>
        </w:rPr>
        <w:t>目</w:t>
      </w:r>
      <w:r>
        <w:rPr>
          <w:rFonts w:hint="eastAsia" w:ascii="黑体" w:hAnsi="黑体" w:eastAsia="黑体" w:cs="宋体"/>
          <w:color w:val="auto"/>
          <w:sz w:val="36"/>
          <w:szCs w:val="36"/>
          <w:highlight w:val="none"/>
          <w:u w:color="000000"/>
          <w:lang w:val="zh-TW"/>
        </w:rPr>
        <w:t xml:space="preserve">  </w:t>
      </w:r>
      <w:r>
        <w:rPr>
          <w:rFonts w:hint="eastAsia" w:ascii="黑体" w:hAnsi="黑体" w:eastAsia="黑体" w:cs="宋体"/>
          <w:color w:val="auto"/>
          <w:sz w:val="36"/>
          <w:szCs w:val="36"/>
          <w:highlight w:val="none"/>
          <w:u w:color="000000"/>
          <w:lang w:val="zh-TW" w:eastAsia="zh-TW"/>
        </w:rPr>
        <w:t>录</w:t>
      </w:r>
      <w:r>
        <w:rPr>
          <w:rFonts w:hint="eastAsia" w:ascii="黑体" w:hAnsi="黑体" w:eastAsia="黑体" w:cs="宋体"/>
          <w:color w:val="auto"/>
          <w:sz w:val="36"/>
          <w:szCs w:val="36"/>
          <w:highlight w:val="none"/>
          <w:u w:color="000000"/>
          <w:lang w:val="zh-TW"/>
        </w:rPr>
        <w:t>（</w:t>
      </w:r>
      <w:r>
        <w:rPr>
          <w:rFonts w:hint="eastAsia" w:ascii="黑体" w:hAnsi="黑体" w:eastAsia="黑体" w:cs="宋体"/>
          <w:color w:val="auto"/>
          <w:sz w:val="36"/>
          <w:szCs w:val="36"/>
          <w:highlight w:val="none"/>
          <w:u w:color="000000"/>
        </w:rPr>
        <w:t>格式自拟）</w:t>
      </w:r>
    </w:p>
    <w:p>
      <w:pPr>
        <w:spacing w:line="360" w:lineRule="auto"/>
        <w:rPr>
          <w:rFonts w:ascii="宋体" w:hAnsi="宋体" w:eastAsia="宋体" w:cs="宋体"/>
          <w:color w:val="auto"/>
          <w:sz w:val="28"/>
          <w:szCs w:val="28"/>
          <w:highlight w:val="none"/>
          <w:u w:color="000000"/>
        </w:rPr>
      </w:pPr>
    </w:p>
    <w:p>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tabs>
          <w:tab w:val="left" w:pos="576"/>
        </w:tabs>
        <w:spacing w:before="156" w:beforeLines="50" w:after="156" w:afterLines="50" w:line="360" w:lineRule="auto"/>
        <w:outlineLvl w:val="2"/>
        <w:rPr>
          <w:rFonts w:ascii="Times New Roman" w:hAnsi="Times New Roman" w:eastAsia="黑体" w:cs="Times New Roman"/>
          <w:color w:val="auto"/>
          <w:sz w:val="24"/>
          <w:szCs w:val="24"/>
          <w:highlight w:val="none"/>
          <w:u w:color="000000"/>
        </w:rPr>
      </w:pPr>
      <w:bookmarkStart w:id="28" w:name="_Toc50"/>
      <w:bookmarkStart w:id="29" w:name="_Toc415494574"/>
      <w:bookmarkStart w:id="30" w:name="_Toc448069988"/>
      <w:bookmarkStart w:id="31" w:name="_Toc11859491"/>
      <w:bookmarkStart w:id="32" w:name="_Toc417"/>
      <w:r>
        <w:rPr>
          <w:rFonts w:ascii="Times New Roman" w:hAnsi="Times New Roman" w:eastAsia="黑体" w:cs="Times New Roman"/>
          <w:color w:val="auto"/>
          <w:sz w:val="24"/>
          <w:szCs w:val="24"/>
          <w:highlight w:val="none"/>
          <w:u w:color="000000"/>
        </w:rPr>
        <w:t xml:space="preserve">6.1 </w:t>
      </w:r>
      <w:bookmarkEnd w:id="28"/>
      <w:bookmarkEnd w:id="29"/>
      <w:bookmarkEnd w:id="30"/>
      <w:r>
        <w:rPr>
          <w:rFonts w:hint="eastAsia" w:ascii="Times New Roman" w:hAnsi="Times New Roman" w:eastAsia="黑体" w:cs="Times New Roman"/>
          <w:color w:val="auto"/>
          <w:sz w:val="24"/>
          <w:szCs w:val="24"/>
          <w:highlight w:val="none"/>
          <w:u w:color="000000"/>
        </w:rPr>
        <w:t>投标函</w:t>
      </w:r>
      <w:bookmarkEnd w:id="31"/>
      <w:bookmarkEnd w:id="32"/>
    </w:p>
    <w:p>
      <w:pPr>
        <w:snapToGrid w:val="0"/>
        <w:spacing w:line="360" w:lineRule="auto"/>
        <w:jc w:val="center"/>
        <w:rPr>
          <w:rFonts w:ascii="黑体" w:hAnsi="黑体" w:eastAsia="黑体" w:cs="Times New Roman"/>
          <w:color w:val="auto"/>
          <w:sz w:val="28"/>
          <w:szCs w:val="24"/>
          <w:highlight w:val="none"/>
          <w:u w:color="000000"/>
          <w:lang w:val="zh-TW" w:eastAsia="zh-TW"/>
        </w:rPr>
      </w:pPr>
      <w:r>
        <w:rPr>
          <w:rFonts w:hint="eastAsia" w:ascii="黑体" w:hAnsi="黑体" w:eastAsia="黑体" w:cs="Times New Roman"/>
          <w:color w:val="auto"/>
          <w:sz w:val="28"/>
          <w:szCs w:val="24"/>
          <w:highlight w:val="none"/>
          <w:u w:color="000000"/>
          <w:lang w:val="zh-TW" w:eastAsia="zh-TW"/>
        </w:rPr>
        <w:t>投标函</w:t>
      </w:r>
    </w:p>
    <w:p>
      <w:pPr>
        <w:pStyle w:val="53"/>
        <w:spacing w:before="0" w:after="0" w:line="300" w:lineRule="auto"/>
        <w:ind w:firstLine="0"/>
        <w:rPr>
          <w:rFonts w:hint="eastAsia" w:ascii="Times New Roman" w:hAnsi="Times New Roman" w:eastAsia="宋体"/>
          <w:color w:val="auto"/>
          <w:kern w:val="2"/>
          <w:szCs w:val="21"/>
          <w:highlight w:val="none"/>
          <w:lang w:eastAsia="zh-CN"/>
        </w:rPr>
      </w:pPr>
      <w:r>
        <w:rPr>
          <w:rFonts w:ascii="Times New Roman" w:hAnsi="Times New Roman"/>
          <w:color w:val="auto"/>
          <w:kern w:val="2"/>
          <w:szCs w:val="21"/>
          <w:highlight w:val="none"/>
        </w:rPr>
        <w:t>致：</w:t>
      </w:r>
      <w:r>
        <w:rPr>
          <w:rFonts w:hint="eastAsia" w:ascii="Times New Roman" w:hAnsi="Times New Roman"/>
          <w:color w:val="auto"/>
          <w:kern w:val="2"/>
          <w:szCs w:val="21"/>
          <w:highlight w:val="none"/>
          <w:lang w:eastAsia="zh-CN"/>
        </w:rPr>
        <w:t>上海铁路公安局南京公安处</w:t>
      </w:r>
    </w:p>
    <w:p>
      <w:pPr>
        <w:pStyle w:val="53"/>
        <w:spacing w:before="0" w:after="0" w:line="300" w:lineRule="auto"/>
        <w:ind w:firstLineChars="200"/>
        <w:rPr>
          <w:rFonts w:ascii="Times New Roman" w:hAnsi="Times New Roman"/>
          <w:color w:val="auto"/>
          <w:kern w:val="2"/>
          <w:szCs w:val="21"/>
          <w:highlight w:val="none"/>
        </w:rPr>
      </w:pPr>
      <w:r>
        <w:rPr>
          <w:rFonts w:ascii="Times New Roman" w:hAnsi="Times New Roman"/>
          <w:color w:val="auto"/>
          <w:kern w:val="2"/>
          <w:szCs w:val="21"/>
          <w:highlight w:val="none"/>
        </w:rPr>
        <w:t>根据贵方</w:t>
      </w:r>
      <w:r>
        <w:rPr>
          <w:rFonts w:hint="eastAsia" w:ascii="Times New Roman" w:hAnsi="Times New Roman"/>
          <w:color w:val="auto"/>
          <w:kern w:val="2"/>
          <w:szCs w:val="21"/>
          <w:highlight w:val="none"/>
          <w:u w:val="single"/>
          <w:lang w:eastAsia="zh-CN"/>
        </w:rPr>
        <w:t>南京铁路公安处一键点调系统</w:t>
      </w:r>
      <w:r>
        <w:rPr>
          <w:rFonts w:hint="eastAsia" w:ascii="Times New Roman" w:hAnsi="Times New Roman"/>
          <w:color w:val="auto"/>
          <w:kern w:val="2"/>
          <w:szCs w:val="21"/>
          <w:highlight w:val="none"/>
          <w:u w:val="single"/>
        </w:rPr>
        <w:t>项目（</w:t>
      </w:r>
      <w:r>
        <w:rPr>
          <w:rFonts w:ascii="Times New Roman" w:hAnsi="Times New Roman"/>
          <w:color w:val="auto"/>
          <w:kern w:val="2"/>
          <w:szCs w:val="21"/>
          <w:highlight w:val="none"/>
          <w:u w:val="single"/>
        </w:rPr>
        <w:t>项目编号</w:t>
      </w:r>
      <w:r>
        <w:rPr>
          <w:rFonts w:hint="eastAsia" w:ascii="Times New Roman" w:hAnsi="Times New Roman"/>
          <w:color w:val="auto"/>
          <w:kern w:val="2"/>
          <w:szCs w:val="21"/>
          <w:highlight w:val="none"/>
          <w:u w:val="single"/>
        </w:rPr>
        <w:t>： ）</w:t>
      </w:r>
      <w:r>
        <w:rPr>
          <w:rFonts w:ascii="Times New Roman" w:hAnsi="Times New Roman"/>
          <w:color w:val="auto"/>
          <w:kern w:val="2"/>
          <w:szCs w:val="21"/>
          <w:highlight w:val="none"/>
        </w:rPr>
        <w:t>的招标文件，正式授权下述签字人____________</w:t>
      </w:r>
      <w:r>
        <w:rPr>
          <w:rFonts w:hint="eastAsia" w:ascii="Times New Roman" w:hAnsi="Times New Roman"/>
          <w:color w:val="auto"/>
          <w:kern w:val="2"/>
          <w:szCs w:val="21"/>
          <w:highlight w:val="none"/>
        </w:rPr>
        <w:t>（</w:t>
      </w:r>
      <w:r>
        <w:rPr>
          <w:rFonts w:ascii="Times New Roman" w:hAnsi="Times New Roman"/>
          <w:color w:val="auto"/>
          <w:kern w:val="2"/>
          <w:szCs w:val="21"/>
          <w:highlight w:val="none"/>
        </w:rPr>
        <w:t>姓名和职务</w:t>
      </w:r>
      <w:r>
        <w:rPr>
          <w:rFonts w:hint="eastAsia" w:ascii="Times New Roman" w:hAnsi="Times New Roman"/>
          <w:color w:val="auto"/>
          <w:kern w:val="2"/>
          <w:szCs w:val="21"/>
          <w:highlight w:val="none"/>
        </w:rPr>
        <w:t>）</w:t>
      </w:r>
      <w:r>
        <w:rPr>
          <w:rFonts w:ascii="Times New Roman" w:hAnsi="Times New Roman"/>
          <w:color w:val="auto"/>
          <w:kern w:val="2"/>
          <w:szCs w:val="21"/>
          <w:highlight w:val="none"/>
        </w:rPr>
        <w:t>代表我方____________（投标人的名称），全权处理本次项目投标的有关事宜。</w:t>
      </w:r>
    </w:p>
    <w:p>
      <w:pPr>
        <w:pStyle w:val="53"/>
        <w:spacing w:before="0" w:after="0" w:line="300" w:lineRule="auto"/>
        <w:ind w:firstLineChars="200"/>
        <w:rPr>
          <w:rFonts w:ascii="Times New Roman" w:hAnsi="Times New Roman"/>
          <w:color w:val="auto"/>
          <w:kern w:val="2"/>
          <w:szCs w:val="21"/>
          <w:highlight w:val="none"/>
        </w:rPr>
      </w:pPr>
      <w:r>
        <w:rPr>
          <w:rFonts w:ascii="Times New Roman" w:hAnsi="Times New Roman"/>
          <w:color w:val="auto"/>
          <w:kern w:val="2"/>
          <w:szCs w:val="21"/>
          <w:highlight w:val="none"/>
        </w:rPr>
        <w:t>据此函，</w:t>
      </w:r>
      <w:r>
        <w:rPr>
          <w:rFonts w:hint="eastAsia" w:ascii="Times New Roman" w:hAnsi="Times New Roman"/>
          <w:color w:val="auto"/>
          <w:kern w:val="2"/>
          <w:szCs w:val="21"/>
          <w:highlight w:val="none"/>
        </w:rPr>
        <w:t>投标</w:t>
      </w:r>
      <w:r>
        <w:rPr>
          <w:rFonts w:ascii="Times New Roman" w:hAnsi="Times New Roman"/>
          <w:color w:val="auto"/>
          <w:kern w:val="2"/>
          <w:szCs w:val="21"/>
          <w:highlight w:val="none"/>
        </w:rPr>
        <w:t>人宣布同意如下：</w:t>
      </w:r>
    </w:p>
    <w:p>
      <w:pPr>
        <w:pStyle w:val="53"/>
        <w:spacing w:before="0" w:after="0" w:line="300" w:lineRule="auto"/>
        <w:rPr>
          <w:rFonts w:ascii="Times New Roman" w:hAnsi="Times New Roman"/>
          <w:color w:val="auto"/>
          <w:kern w:val="2"/>
          <w:szCs w:val="21"/>
          <w:highlight w:val="none"/>
        </w:rPr>
      </w:pPr>
      <w:r>
        <w:rPr>
          <w:rFonts w:ascii="Times New Roman" w:hAnsi="Times New Roman"/>
          <w:color w:val="auto"/>
          <w:kern w:val="2"/>
          <w:szCs w:val="21"/>
          <w:highlight w:val="none"/>
        </w:rPr>
        <w:t>1.按招标文件规定的各项要求，向甲方提供所需货物与服务。</w:t>
      </w:r>
    </w:p>
    <w:p>
      <w:pPr>
        <w:pStyle w:val="53"/>
        <w:spacing w:before="0" w:after="0" w:line="300" w:lineRule="auto"/>
        <w:ind w:firstLineChars="200"/>
        <w:rPr>
          <w:rFonts w:ascii="Times New Roman" w:hAnsi="Times New Roman"/>
          <w:color w:val="auto"/>
          <w:kern w:val="2"/>
          <w:szCs w:val="21"/>
          <w:highlight w:val="none"/>
        </w:rPr>
      </w:pPr>
      <w:r>
        <w:rPr>
          <w:rFonts w:ascii="Times New Roman" w:hAnsi="Times New Roman"/>
          <w:color w:val="auto"/>
          <w:kern w:val="2"/>
          <w:szCs w:val="21"/>
          <w:highlight w:val="none"/>
        </w:rPr>
        <w:t>2.我们完全理解贵方不一定将合同授予最低报价的投标人。</w:t>
      </w:r>
    </w:p>
    <w:p>
      <w:pPr>
        <w:pStyle w:val="53"/>
        <w:spacing w:before="0" w:after="0" w:line="300" w:lineRule="auto"/>
        <w:ind w:firstLineChars="200"/>
        <w:rPr>
          <w:rFonts w:ascii="Times New Roman" w:hAnsi="Times New Roman"/>
          <w:color w:val="auto"/>
          <w:kern w:val="2"/>
          <w:szCs w:val="21"/>
          <w:highlight w:val="none"/>
        </w:rPr>
      </w:pPr>
      <w:r>
        <w:rPr>
          <w:rFonts w:ascii="Times New Roman" w:hAnsi="Times New Roman"/>
          <w:color w:val="auto"/>
          <w:kern w:val="2"/>
          <w:szCs w:val="21"/>
          <w:highlight w:val="none"/>
        </w:rPr>
        <w:t>3.我们已详细审核全部招标文件及其有效补充文件，我们知道必须放弃提出含糊不清或误解问题的权利。</w:t>
      </w:r>
    </w:p>
    <w:p>
      <w:pPr>
        <w:pStyle w:val="53"/>
        <w:spacing w:before="0" w:after="0" w:line="300" w:lineRule="auto"/>
        <w:rPr>
          <w:rFonts w:ascii="Times New Roman" w:hAnsi="Times New Roman"/>
          <w:color w:val="auto"/>
          <w:kern w:val="2"/>
          <w:szCs w:val="21"/>
          <w:highlight w:val="none"/>
        </w:rPr>
      </w:pPr>
      <w:r>
        <w:rPr>
          <w:rFonts w:ascii="Times New Roman" w:hAnsi="Times New Roman"/>
          <w:color w:val="auto"/>
          <w:kern w:val="2"/>
          <w:szCs w:val="21"/>
          <w:highlight w:val="none"/>
        </w:rPr>
        <w:t>4.我们同意从规定的开标日期起遵循本投标文件，并在规定的投标有效期期满之前均具有约束力。</w:t>
      </w:r>
    </w:p>
    <w:p>
      <w:pPr>
        <w:pStyle w:val="53"/>
        <w:spacing w:before="0" w:after="0" w:line="300" w:lineRule="auto"/>
        <w:rPr>
          <w:rFonts w:ascii="Times New Roman" w:hAnsi="Times New Roman"/>
          <w:color w:val="auto"/>
          <w:kern w:val="2"/>
          <w:szCs w:val="21"/>
          <w:highlight w:val="none"/>
        </w:rPr>
      </w:pPr>
      <w:r>
        <w:rPr>
          <w:rFonts w:ascii="Times New Roman" w:hAnsi="Times New Roman"/>
          <w:color w:val="auto"/>
          <w:kern w:val="2"/>
          <w:szCs w:val="21"/>
          <w:highlight w:val="none"/>
        </w:rPr>
        <w:t>5.如果在开标后规定的投标有效期内撤回投标或中标后拒绝签订合同，我们的投标保证金可被贵方没收。</w:t>
      </w:r>
    </w:p>
    <w:p>
      <w:pPr>
        <w:pStyle w:val="53"/>
        <w:spacing w:before="0" w:after="0" w:line="300" w:lineRule="auto"/>
        <w:rPr>
          <w:rFonts w:ascii="Times New Roman" w:hAnsi="Times New Roman"/>
          <w:color w:val="auto"/>
          <w:kern w:val="2"/>
          <w:szCs w:val="21"/>
          <w:highlight w:val="none"/>
        </w:rPr>
      </w:pPr>
      <w:r>
        <w:rPr>
          <w:rFonts w:ascii="Times New Roman" w:hAnsi="Times New Roman"/>
          <w:color w:val="auto"/>
          <w:kern w:val="2"/>
          <w:szCs w:val="21"/>
          <w:highlight w:val="none"/>
        </w:rPr>
        <w:t>6.同意向贵方提供贵方可能另外要求的与投标有关的任何证据或资料，并保证我方已提供和将要提供的文件是真实的、准确的。</w:t>
      </w:r>
    </w:p>
    <w:p>
      <w:pPr>
        <w:pStyle w:val="53"/>
        <w:spacing w:before="0" w:after="0" w:line="300" w:lineRule="auto"/>
        <w:rPr>
          <w:rFonts w:ascii="Times New Roman" w:hAnsi="Times New Roman"/>
          <w:color w:val="auto"/>
          <w:kern w:val="2"/>
          <w:szCs w:val="21"/>
          <w:highlight w:val="none"/>
        </w:rPr>
      </w:pPr>
      <w:r>
        <w:rPr>
          <w:rFonts w:ascii="Times New Roman" w:hAnsi="Times New Roman"/>
          <w:color w:val="auto"/>
          <w:kern w:val="2"/>
          <w:szCs w:val="21"/>
          <w:highlight w:val="none"/>
        </w:rPr>
        <w:t>7.一旦我方中标,我方将根据招标文件的规定，严格履行合同的责任和义务,并保证在招标文件规定的时间完成项目，交付甲方验收、使用。</w:t>
      </w:r>
    </w:p>
    <w:p>
      <w:pPr>
        <w:pStyle w:val="53"/>
        <w:spacing w:before="0" w:after="0" w:line="300" w:lineRule="auto"/>
        <w:ind w:firstLineChars="200"/>
        <w:rPr>
          <w:rFonts w:ascii="Times New Roman" w:hAnsi="Times New Roman"/>
          <w:color w:val="auto"/>
          <w:kern w:val="2"/>
          <w:szCs w:val="21"/>
          <w:highlight w:val="none"/>
        </w:rPr>
      </w:pPr>
      <w:r>
        <w:rPr>
          <w:rFonts w:ascii="Times New Roman" w:hAnsi="Times New Roman"/>
          <w:color w:val="auto"/>
          <w:kern w:val="2"/>
          <w:szCs w:val="21"/>
          <w:highlight w:val="none"/>
        </w:rPr>
        <w:t>8.遵守招标文件中要求的收费项目和标准。</w:t>
      </w:r>
    </w:p>
    <w:p>
      <w:pPr>
        <w:pStyle w:val="53"/>
        <w:spacing w:before="0" w:after="0" w:line="300" w:lineRule="auto"/>
        <w:ind w:firstLineChars="200"/>
        <w:rPr>
          <w:rFonts w:ascii="Times New Roman" w:hAnsi="Times New Roman"/>
          <w:color w:val="auto"/>
          <w:kern w:val="2"/>
          <w:szCs w:val="21"/>
          <w:highlight w:val="none"/>
        </w:rPr>
      </w:pPr>
      <w:r>
        <w:rPr>
          <w:rFonts w:ascii="Times New Roman" w:hAnsi="Times New Roman"/>
          <w:color w:val="auto"/>
          <w:kern w:val="2"/>
          <w:szCs w:val="21"/>
          <w:highlight w:val="none"/>
        </w:rPr>
        <w:t>9.与本投标有关的正式通讯地址为：</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地        址：</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邮        编：</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电        话：</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传        真：</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投标人开户行：</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账        户： </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投标人授权代表姓名（签字）： </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 xml:space="preserve">投标人名称（公章）： </w:t>
      </w:r>
    </w:p>
    <w:p>
      <w:pPr>
        <w:pStyle w:val="53"/>
        <w:spacing w:before="0" w:after="0" w:line="300" w:lineRule="auto"/>
        <w:ind w:left="420" w:leftChars="200" w:firstLineChars="200"/>
        <w:rPr>
          <w:rFonts w:ascii="Times New Roman" w:hAnsi="Times New Roman"/>
          <w:color w:val="auto"/>
          <w:kern w:val="2"/>
          <w:szCs w:val="21"/>
          <w:highlight w:val="none"/>
        </w:rPr>
      </w:pPr>
      <w:r>
        <w:rPr>
          <w:rFonts w:ascii="Times New Roman" w:hAnsi="Times New Roman"/>
          <w:color w:val="auto"/>
          <w:kern w:val="2"/>
          <w:szCs w:val="21"/>
          <w:highlight w:val="none"/>
        </w:rPr>
        <w:t>日        期：________年____月____日</w:t>
      </w:r>
    </w:p>
    <w:p>
      <w:pPr>
        <w:snapToGrid w:val="0"/>
        <w:spacing w:line="360" w:lineRule="auto"/>
        <w:jc w:val="right"/>
        <w:rPr>
          <w:rFonts w:ascii="宋体" w:hAnsi="宋体" w:eastAsia="宋体" w:cs="宋体"/>
          <w:color w:val="auto"/>
          <w:szCs w:val="21"/>
          <w:highlight w:val="none"/>
          <w:u w:color="000000"/>
        </w:rPr>
      </w:pPr>
    </w:p>
    <w:p>
      <w:pPr>
        <w:spacing w:line="360" w:lineRule="auto"/>
        <w:jc w:val="right"/>
        <w:rPr>
          <w:rFonts w:ascii="宋体" w:hAnsi="宋体" w:eastAsia="宋体" w:cs="宋体"/>
          <w:color w:val="auto"/>
          <w:szCs w:val="21"/>
          <w:highlight w:val="none"/>
          <w:u w:color="000000"/>
        </w:rPr>
      </w:pPr>
    </w:p>
    <w:p>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tabs>
          <w:tab w:val="left" w:pos="576"/>
        </w:tabs>
        <w:spacing w:before="156" w:beforeLines="50" w:after="156" w:afterLines="50" w:line="360" w:lineRule="auto"/>
        <w:outlineLvl w:val="2"/>
        <w:rPr>
          <w:rFonts w:ascii="Times New Roman" w:hAnsi="Times New Roman" w:eastAsia="黑体" w:cs="Times New Roman"/>
          <w:color w:val="auto"/>
          <w:sz w:val="24"/>
          <w:szCs w:val="24"/>
          <w:highlight w:val="none"/>
          <w:u w:color="000000"/>
        </w:rPr>
      </w:pPr>
      <w:bookmarkStart w:id="33" w:name="_Toc448069992"/>
      <w:bookmarkStart w:id="34" w:name="_Toc11859492"/>
      <w:bookmarkStart w:id="35" w:name="_Toc18412"/>
      <w:bookmarkStart w:id="36" w:name="_Toc415494579"/>
      <w:bookmarkStart w:id="37" w:name="_Toc452541709"/>
      <w:bookmarkStart w:id="38" w:name="_Toc51"/>
      <w:bookmarkStart w:id="39" w:name="_Toc448069989"/>
      <w:bookmarkStart w:id="40" w:name="_Toc415494575"/>
      <w:r>
        <w:rPr>
          <w:rFonts w:ascii="Times New Roman" w:hAnsi="Times New Roman" w:eastAsia="黑体" w:cs="Times New Roman"/>
          <w:color w:val="auto"/>
          <w:sz w:val="24"/>
          <w:szCs w:val="24"/>
          <w:highlight w:val="none"/>
          <w:u w:color="000000"/>
        </w:rPr>
        <w:t xml:space="preserve">6.2 </w:t>
      </w:r>
      <w:r>
        <w:rPr>
          <w:rFonts w:hint="eastAsia" w:ascii="Times New Roman" w:hAnsi="Times New Roman" w:eastAsia="黑体" w:cs="Times New Roman"/>
          <w:color w:val="auto"/>
          <w:sz w:val="24"/>
          <w:szCs w:val="24"/>
          <w:highlight w:val="none"/>
          <w:u w:color="000000"/>
        </w:rPr>
        <w:t>投标一览表</w:t>
      </w:r>
      <w:bookmarkEnd w:id="33"/>
      <w:bookmarkEnd w:id="34"/>
      <w:bookmarkEnd w:id="35"/>
      <w:bookmarkEnd w:id="36"/>
    </w:p>
    <w:p>
      <w:pPr>
        <w:snapToGrid w:val="0"/>
        <w:spacing w:line="360" w:lineRule="auto"/>
        <w:jc w:val="center"/>
        <w:rPr>
          <w:rFonts w:ascii="黑体" w:hAnsi="黑体" w:eastAsia="黑体" w:cs="Times New Roman"/>
          <w:color w:val="auto"/>
          <w:sz w:val="28"/>
          <w:szCs w:val="24"/>
          <w:highlight w:val="none"/>
          <w:u w:color="000000"/>
          <w:lang w:val="zh-TW" w:eastAsia="zh-TW"/>
        </w:rPr>
      </w:pPr>
      <w:r>
        <w:rPr>
          <w:rFonts w:hint="eastAsia" w:ascii="黑体" w:hAnsi="黑体" w:eastAsia="黑体" w:cs="Times New Roman"/>
          <w:color w:val="auto"/>
          <w:sz w:val="28"/>
          <w:szCs w:val="24"/>
          <w:highlight w:val="none"/>
          <w:u w:color="000000"/>
          <w:lang w:val="zh-TW" w:eastAsia="zh-TW"/>
        </w:rPr>
        <w:t>投标一览表</w:t>
      </w:r>
    </w:p>
    <w:p>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投标人全称（加盖公章）：</w:t>
      </w:r>
    </w:p>
    <w:p>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lang w:eastAsia="zh-CN"/>
        </w:rPr>
        <w:t>南京铁路公安处一键点调系统</w:t>
      </w:r>
      <w:r>
        <w:rPr>
          <w:rFonts w:hint="eastAsia" w:ascii="Times New Roman" w:hAnsi="Times New Roman" w:cs="Times New Roman"/>
          <w:color w:val="auto"/>
          <w:sz w:val="24"/>
          <w:szCs w:val="24"/>
          <w:highlight w:val="none"/>
        </w:rPr>
        <w:t>项目</w:t>
      </w:r>
    </w:p>
    <w:p>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项目编号：</w:t>
      </w:r>
    </w:p>
    <w:tbl>
      <w:tblPr>
        <w:tblStyle w:val="30"/>
        <w:tblW w:w="87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03"/>
        <w:gridCol w:w="58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6" w:hRule="atLeast"/>
          <w:jc w:val="center"/>
        </w:trPr>
        <w:tc>
          <w:tcPr>
            <w:tcW w:w="290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u w:color="000000"/>
                <w:lang w:val="zh-TW"/>
              </w:rPr>
            </w:pPr>
            <w:r>
              <w:rPr>
                <w:rFonts w:hint="eastAsia" w:ascii="Times New Roman" w:hAnsi="Times New Roman" w:eastAsia="宋体" w:cs="Times New Roman"/>
                <w:b/>
                <w:color w:val="auto"/>
                <w:sz w:val="24"/>
                <w:szCs w:val="24"/>
                <w:highlight w:val="none"/>
                <w:u w:color="000000"/>
                <w:lang w:val="zh-TW"/>
              </w:rPr>
              <w:t>投标总报价</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sz w:val="24"/>
                <w:szCs w:val="24"/>
                <w:highlight w:val="none"/>
                <w:u w:color="000000"/>
                <w:lang w:val="zh-TW"/>
              </w:rPr>
            </w:pPr>
            <w:r>
              <w:rPr>
                <w:rFonts w:hint="default" w:ascii="Times New Roman" w:hAnsi="Times New Roman"/>
                <w:b/>
                <w:color w:val="auto"/>
                <w:sz w:val="24"/>
                <w:szCs w:val="24"/>
                <w:highlight w:val="none"/>
              </w:rPr>
              <w:t>（</w:t>
            </w:r>
            <w:r>
              <w:rPr>
                <w:rFonts w:hint="eastAsia" w:ascii="Times New Roman" w:hAnsi="Times New Roman"/>
                <w:b/>
                <w:color w:val="auto"/>
                <w:sz w:val="24"/>
                <w:szCs w:val="24"/>
                <w:highlight w:val="none"/>
              </w:rPr>
              <w:t>元，</w:t>
            </w:r>
            <w:r>
              <w:rPr>
                <w:rFonts w:hint="default" w:ascii="Times New Roman" w:hAnsi="Times New Roman"/>
                <w:b/>
                <w:color w:val="auto"/>
                <w:sz w:val="24"/>
                <w:szCs w:val="24"/>
                <w:highlight w:val="none"/>
              </w:rPr>
              <w:t>含税）</w:t>
            </w:r>
          </w:p>
        </w:tc>
        <w:tc>
          <w:tcPr>
            <w:tcW w:w="587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auto"/>
                <w:kern w:val="0"/>
                <w:sz w:val="24"/>
                <w:szCs w:val="24"/>
                <w:highlight w:val="none"/>
                <w:u w:color="000000"/>
              </w:rPr>
            </w:pPr>
          </w:p>
          <w:p>
            <w:pPr>
              <w:keepNext w:val="0"/>
              <w:keepLines w:val="0"/>
              <w:widowControl/>
              <w:suppressLineNumbers w:val="0"/>
              <w:spacing w:before="0" w:beforeAutospacing="0" w:after="0" w:afterAutospacing="0"/>
              <w:ind w:left="0" w:right="0"/>
              <w:rPr>
                <w:rFonts w:hint="default" w:ascii="Times New Roman" w:hAnsi="Times New Roman" w:eastAsia="宋体" w:cs="Times New Roman"/>
                <w:b/>
                <w:bCs/>
                <w:color w:val="auto"/>
                <w:kern w:val="0"/>
                <w:sz w:val="24"/>
                <w:szCs w:val="24"/>
                <w:highlight w:val="none"/>
                <w:u w:color="000000"/>
              </w:rPr>
            </w:pPr>
            <w:r>
              <w:rPr>
                <w:rFonts w:hint="eastAsia" w:ascii="Times New Roman" w:hAnsi="Times New Roman" w:eastAsia="宋体" w:cs="Times New Roman"/>
                <w:b/>
                <w:bCs/>
                <w:color w:val="auto"/>
                <w:kern w:val="0"/>
                <w:sz w:val="24"/>
                <w:szCs w:val="24"/>
                <w:highlight w:val="none"/>
                <w:u w:color="000000"/>
              </w:rPr>
              <w:t>大写：</w:t>
            </w:r>
          </w:p>
          <w:p>
            <w:pPr>
              <w:pStyle w:val="2"/>
              <w:keepNext w:val="0"/>
              <w:keepLines w:val="0"/>
              <w:suppressLineNumbers w:val="0"/>
              <w:spacing w:before="0" w:beforeAutospacing="0" w:afterAutospacing="0"/>
              <w:ind w:left="0" w:right="0"/>
              <w:rPr>
                <w:rFonts w:hint="default"/>
                <w:b/>
                <w:bCs/>
                <w:color w:val="auto"/>
                <w:highlight w:val="none"/>
              </w:rPr>
            </w:pPr>
          </w:p>
          <w:p>
            <w:pPr>
              <w:pStyle w:val="2"/>
              <w:keepNext w:val="0"/>
              <w:keepLines w:val="0"/>
              <w:suppressLineNumbers w:val="0"/>
              <w:spacing w:before="0" w:beforeAutospacing="0" w:afterAutospacing="0"/>
              <w:ind w:left="0" w:right="0"/>
              <w:rPr>
                <w:rFonts w:hint="default"/>
                <w:color w:val="auto"/>
                <w:highlight w:val="none"/>
              </w:rPr>
            </w:pPr>
            <w:r>
              <w:rPr>
                <w:rFonts w:hint="eastAsia" w:ascii="Times New Roman" w:hAnsi="Times New Roman" w:eastAsia="宋体" w:cs="Times New Roman"/>
                <w:b/>
                <w:bCs/>
                <w:color w:val="auto"/>
                <w:kern w:val="0"/>
                <w:sz w:val="24"/>
                <w:szCs w:val="24"/>
                <w:highlight w:val="none"/>
                <w:u w:color="000000"/>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6" w:hRule="atLeast"/>
          <w:jc w:val="center"/>
        </w:trPr>
        <w:tc>
          <w:tcPr>
            <w:tcW w:w="290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服务期</w:t>
            </w:r>
          </w:p>
        </w:tc>
        <w:tc>
          <w:tcPr>
            <w:tcW w:w="587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default" w:ascii="宋体" w:cs="宋体"/>
                <w:color w:val="auto"/>
                <w:sz w:val="24"/>
                <w:szCs w:val="24"/>
                <w:highlight w:val="none"/>
                <w:u w:val="single"/>
              </w:rPr>
            </w:pPr>
            <w:r>
              <w:rPr>
                <w:rFonts w:hint="eastAsia" w:ascii="宋体" w:cs="宋体"/>
                <w:color w:val="auto"/>
                <w:sz w:val="24"/>
                <w:szCs w:val="24"/>
                <w:highlight w:val="none"/>
                <w:u w:val="single"/>
                <w:lang w:val="en-US" w:eastAsia="zh-CN"/>
              </w:rPr>
              <w:t>12</w:t>
            </w:r>
            <w:r>
              <w:rPr>
                <w:rFonts w:hint="eastAsia" w:ascii="宋体" w:cs="宋体"/>
                <w:color w:val="auto"/>
                <w:sz w:val="24"/>
                <w:szCs w:val="24"/>
                <w:highlight w:val="none"/>
                <w:u w:val="single"/>
              </w:rPr>
              <w:t>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6" w:hRule="atLeast"/>
          <w:jc w:val="center"/>
        </w:trPr>
        <w:tc>
          <w:tcPr>
            <w:tcW w:w="290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auto"/>
                <w:sz w:val="24"/>
                <w:szCs w:val="24"/>
                <w:highlight w:val="none"/>
                <w:u w:color="000000"/>
                <w:lang w:val="zh-TW"/>
              </w:rPr>
            </w:pPr>
            <w:r>
              <w:rPr>
                <w:rFonts w:hint="eastAsia" w:ascii="Times New Roman" w:hAnsi="Times New Roman" w:eastAsia="宋体" w:cs="Times New Roman"/>
                <w:b/>
                <w:color w:val="auto"/>
                <w:sz w:val="24"/>
                <w:szCs w:val="24"/>
                <w:highlight w:val="none"/>
              </w:rPr>
              <w:t>投标人是否属于小微型企业</w:t>
            </w:r>
          </w:p>
        </w:tc>
        <w:tc>
          <w:tcPr>
            <w:tcW w:w="587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u w:color="000000"/>
              </w:rPr>
            </w:pPr>
            <w:r>
              <w:rPr>
                <w:rFonts w:hint="default" w:ascii="宋体" w:cs="宋体"/>
                <w:color w:val="auto"/>
                <w:sz w:val="24"/>
                <w:szCs w:val="24"/>
                <w:highlight w:val="none"/>
                <w:u w:val="single"/>
              </w:rPr>
              <w:t xml:space="preserve">     </w:t>
            </w:r>
            <w:r>
              <w:rPr>
                <w:rFonts w:hint="default" w:ascii="宋体" w:cs="宋体"/>
                <w:color w:val="auto"/>
                <w:spacing w:val="-3"/>
                <w:sz w:val="24"/>
                <w:szCs w:val="24"/>
                <w:highlight w:val="none"/>
                <w:u w:val="single"/>
              </w:rPr>
              <w:t xml:space="preserve"> </w:t>
            </w:r>
            <w:r>
              <w:rPr>
                <w:rFonts w:hint="default" w:ascii="宋体" w:cs="宋体"/>
                <w:color w:val="auto"/>
                <w:sz w:val="24"/>
                <w:szCs w:val="24"/>
                <w:highlight w:val="none"/>
                <w:u w:val="single"/>
              </w:rPr>
              <w:t xml:space="preserve">   </w:t>
            </w:r>
            <w:r>
              <w:rPr>
                <w:rFonts w:hint="default" w:ascii="宋体" w:cs="宋体"/>
                <w:color w:val="auto"/>
                <w:spacing w:val="-3"/>
                <w:sz w:val="24"/>
                <w:szCs w:val="24"/>
                <w:highlight w:val="none"/>
                <w:u w:val="single"/>
              </w:rPr>
              <w:t xml:space="preserve"> </w:t>
            </w:r>
            <w:r>
              <w:rPr>
                <w:rFonts w:hint="default" w:ascii="宋体" w:cs="宋体"/>
                <w:color w:val="auto"/>
                <w:sz w:val="24"/>
                <w:szCs w:val="24"/>
                <w:highlight w:val="none"/>
                <w:u w:val="single"/>
              </w:rPr>
              <w:t xml:space="preserve">   </w:t>
            </w:r>
            <w:r>
              <w:rPr>
                <w:rFonts w:hint="default" w:ascii="宋体" w:cs="宋体"/>
                <w:color w:val="auto"/>
                <w:spacing w:val="-3"/>
                <w:sz w:val="24"/>
                <w:szCs w:val="24"/>
                <w:highlight w:val="none"/>
                <w:u w:val="single"/>
              </w:rPr>
              <w:t xml:space="preserve"> </w:t>
            </w:r>
            <w:r>
              <w:rPr>
                <w:rFonts w:hint="default" w:ascii="宋体" w:cs="宋体"/>
                <w:color w:val="auto"/>
                <w:sz w:val="24"/>
                <w:szCs w:val="24"/>
                <w:highlight w:val="none"/>
                <w:u w:val="single"/>
              </w:rPr>
              <w:t xml:space="preserve">   </w:t>
            </w:r>
            <w:r>
              <w:rPr>
                <w:rFonts w:hint="default" w:ascii="宋体" w:cs="宋体"/>
                <w:color w:val="auto"/>
                <w:spacing w:val="-3"/>
                <w:sz w:val="24"/>
                <w:szCs w:val="24"/>
                <w:highlight w:val="none"/>
                <w:u w:val="single"/>
              </w:rPr>
              <w:t xml:space="preserve"> </w:t>
            </w:r>
            <w:r>
              <w:rPr>
                <w:rFonts w:hint="default" w:ascii="宋体" w:cs="宋体"/>
                <w:color w:val="auto"/>
                <w:sz w:val="24"/>
                <w:szCs w:val="24"/>
                <w:highlight w:val="none"/>
                <w:u w:val="single"/>
              </w:rPr>
              <w:t xml:space="preserve"> </w:t>
            </w:r>
            <w:r>
              <w:rPr>
                <w:rFonts w:hint="default" w:ascii="宋体" w:cs="宋体"/>
                <w:color w:val="auto"/>
                <w:spacing w:val="-1"/>
                <w:sz w:val="24"/>
                <w:szCs w:val="24"/>
                <w:highlight w:val="none"/>
                <w:u w:val="single"/>
              </w:rPr>
              <w:t xml:space="preserve"> </w:t>
            </w:r>
            <w:r>
              <w:rPr>
                <w:rFonts w:hint="eastAsia" w:ascii="宋体" w:cs="宋体"/>
                <w:color w:val="auto"/>
                <w:sz w:val="24"/>
                <w:szCs w:val="24"/>
                <w:highlight w:val="none"/>
              </w:rPr>
              <w:t>（填写“是”或“否）</w:t>
            </w:r>
          </w:p>
        </w:tc>
      </w:tr>
    </w:tbl>
    <w:p>
      <w:pPr>
        <w:adjustRightInd w:val="0"/>
        <w:snapToGrid w:val="0"/>
        <w:spacing w:line="360" w:lineRule="auto"/>
        <w:ind w:firstLine="480" w:firstLineChars="200"/>
        <w:rPr>
          <w:rFonts w:ascii="Times New Roman" w:hAnsi="Times New Roman" w:cs="Times New Roman"/>
          <w:color w:val="auto"/>
          <w:sz w:val="24"/>
          <w:szCs w:val="24"/>
          <w:highlight w:val="none"/>
        </w:rPr>
      </w:pPr>
    </w:p>
    <w:p>
      <w:pPr>
        <w:adjustRightInd w:val="0"/>
        <w:snapToGrid w:val="0"/>
        <w:jc w:val="right"/>
        <w:rPr>
          <w:rFonts w:ascii="宋体" w:hAnsi="宋体"/>
          <w:color w:val="auto"/>
          <w:sz w:val="24"/>
          <w:szCs w:val="24"/>
          <w:highlight w:val="none"/>
        </w:rPr>
      </w:pPr>
    </w:p>
    <w:p>
      <w:pPr>
        <w:adjustRightInd w:val="0"/>
        <w:snapToGrid w:val="0"/>
        <w:spacing w:line="360" w:lineRule="auto"/>
        <w:jc w:val="right"/>
        <w:rPr>
          <w:rFonts w:ascii="宋体" w:hAnsi="宋体"/>
          <w:color w:val="auto"/>
          <w:sz w:val="24"/>
          <w:szCs w:val="24"/>
          <w:highlight w:val="none"/>
        </w:rPr>
      </w:pPr>
      <w:r>
        <w:rPr>
          <w:rFonts w:hint="eastAsia" w:ascii="宋体" w:hAnsi="宋体"/>
          <w:color w:val="auto"/>
          <w:sz w:val="24"/>
          <w:szCs w:val="24"/>
          <w:highlight w:val="none"/>
        </w:rPr>
        <w:t>法定代表人（授权代表）签字：</w:t>
      </w:r>
      <w:r>
        <w:rPr>
          <w:rFonts w:ascii="宋体" w:hAnsi="宋体"/>
          <w:color w:val="auto"/>
          <w:sz w:val="24"/>
          <w:szCs w:val="24"/>
          <w:highlight w:val="none"/>
          <w:u w:val="single"/>
        </w:rPr>
        <w:t xml:space="preserve"> </w:t>
      </w:r>
    </w:p>
    <w:p>
      <w:pPr>
        <w:adjustRightInd w:val="0"/>
        <w:snapToGrid w:val="0"/>
        <w:spacing w:line="360" w:lineRule="auto"/>
        <w:ind w:firstLine="5880" w:firstLineChars="245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adjustRightInd w:val="0"/>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填写说明：</w:t>
      </w:r>
    </w:p>
    <w:p>
      <w:pPr>
        <w:adjustRightInd w:val="0"/>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1、投标一览表必须加盖投标单位公章，并单独装在小信封内于投标截止时间前与投标文件一起递交。</w:t>
      </w:r>
    </w:p>
    <w:p>
      <w:pPr>
        <w:adjustRightInd w:val="0"/>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投标报价不得高于最高限价，超过最高限价将否决投标。报价保留小数点后两位。</w:t>
      </w:r>
    </w:p>
    <w:p>
      <w:pPr>
        <w:adjustRightInd w:val="0"/>
        <w:snapToGrid w:val="0"/>
        <w:spacing w:line="44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w:t>
      </w:r>
      <w:r>
        <w:rPr>
          <w:rFonts w:hint="eastAsia" w:ascii="Times New Roman" w:hAnsi="Times New Roman" w:cs="Times New Roman"/>
          <w:color w:val="auto"/>
          <w:sz w:val="24"/>
          <w:szCs w:val="24"/>
          <w:highlight w:val="none"/>
        </w:rPr>
        <w:t>本项目报价采用总承包方式，投标人的报价应包括但不限于所投产品裸车费用、上牌费（采购人负责提供车辆上牌手续,不提供人员及费用)、前期服务费、改装费用（车身颜色、编号、文字、反光条等内容，成交人根据采购人要求提供)、整车首次保养费等关于完成本项目的所有费用，招标文件中另有规定的除外。</w:t>
      </w:r>
    </w:p>
    <w:p>
      <w:pPr>
        <w:widowControl/>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pPr>
        <w:snapToGrid w:val="0"/>
        <w:spacing w:line="360" w:lineRule="auto"/>
        <w:outlineLvl w:val="2"/>
        <w:rPr>
          <w:rFonts w:ascii="黑体" w:hAnsi="黑体" w:eastAsia="黑体" w:cs="Times New Roman"/>
          <w:color w:val="auto"/>
          <w:sz w:val="28"/>
          <w:szCs w:val="24"/>
          <w:highlight w:val="none"/>
          <w:u w:color="000000"/>
          <w:lang w:val="zh-TW" w:eastAsia="zh-TW"/>
        </w:rPr>
      </w:pPr>
      <w:bookmarkStart w:id="41" w:name="_Toc4277"/>
      <w:r>
        <w:rPr>
          <w:rFonts w:hint="eastAsia" w:ascii="Times New Roman" w:hAnsi="Times New Roman" w:eastAsia="黑体" w:cs="Times New Roman"/>
          <w:color w:val="auto"/>
          <w:sz w:val="24"/>
          <w:szCs w:val="24"/>
          <w:highlight w:val="none"/>
          <w:u w:color="000000"/>
        </w:rPr>
        <w:t>6.3分项报价表（本表格可自拟，但不能造成与本格式内容有实质性的违背。</w:t>
      </w:r>
      <w:r>
        <w:rPr>
          <w:rFonts w:hint="eastAsia" w:ascii="黑体" w:hAnsi="黑体" w:eastAsia="黑体" w:cs="Times New Roman"/>
          <w:color w:val="auto"/>
          <w:sz w:val="28"/>
          <w:szCs w:val="24"/>
          <w:highlight w:val="none"/>
          <w:u w:color="000000"/>
          <w:lang w:val="zh-TW" w:eastAsia="zh-TW"/>
        </w:rPr>
        <w:t>）</w:t>
      </w:r>
      <w:bookmarkEnd w:id="41"/>
    </w:p>
    <w:p>
      <w:pPr>
        <w:snapToGrid w:val="0"/>
        <w:spacing w:line="360" w:lineRule="auto"/>
        <w:jc w:val="center"/>
        <w:rPr>
          <w:rFonts w:ascii="黑体" w:hAnsi="黑体" w:eastAsia="黑体" w:cs="Times New Roman"/>
          <w:color w:val="auto"/>
          <w:sz w:val="28"/>
          <w:szCs w:val="24"/>
          <w:highlight w:val="none"/>
          <w:u w:color="000000"/>
          <w:lang w:val="zh-TW" w:eastAsia="zh-TW"/>
        </w:rPr>
      </w:pPr>
      <w:r>
        <w:rPr>
          <w:rFonts w:hint="eastAsia" w:ascii="黑体" w:hAnsi="黑体" w:eastAsia="黑体" w:cs="Times New Roman"/>
          <w:color w:val="auto"/>
          <w:sz w:val="28"/>
          <w:szCs w:val="24"/>
          <w:highlight w:val="none"/>
          <w:u w:color="000000"/>
          <w:lang w:val="zh-TW" w:eastAsia="zh-TW"/>
        </w:rPr>
        <w:t>分项报价表</w:t>
      </w:r>
    </w:p>
    <w:p>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投标人全称（加盖公章）：</w:t>
      </w:r>
    </w:p>
    <w:p>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lang w:eastAsia="zh-CN"/>
        </w:rPr>
        <w:t>南京铁路公安处一键点调系统</w:t>
      </w:r>
      <w:r>
        <w:rPr>
          <w:rFonts w:hint="eastAsia" w:ascii="Times New Roman" w:hAnsi="Times New Roman" w:cs="Times New Roman"/>
          <w:color w:val="auto"/>
          <w:sz w:val="24"/>
          <w:szCs w:val="24"/>
          <w:highlight w:val="none"/>
        </w:rPr>
        <w:t>项目</w:t>
      </w:r>
    </w:p>
    <w:tbl>
      <w:tblPr>
        <w:tblStyle w:val="3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380"/>
        <w:gridCol w:w="1077"/>
        <w:gridCol w:w="969"/>
        <w:gridCol w:w="862"/>
        <w:gridCol w:w="952"/>
        <w:gridCol w:w="934"/>
        <w:gridCol w:w="457"/>
        <w:gridCol w:w="457"/>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编号</w:t>
            </w: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货物及服务</w:t>
            </w:r>
            <w:r>
              <w:rPr>
                <w:rFonts w:hint="default" w:ascii="Times New Roman" w:hAnsi="Times New Roman" w:eastAsia="宋体" w:cs="Times New Roman"/>
                <w:b/>
                <w:bCs/>
                <w:color w:val="auto"/>
                <w:sz w:val="24"/>
                <w:szCs w:val="24"/>
                <w:highlight w:val="none"/>
              </w:rPr>
              <w:t>名称</w:t>
            </w:r>
          </w:p>
        </w:tc>
        <w:tc>
          <w:tcPr>
            <w:tcW w:w="10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规格型号</w:t>
            </w:r>
          </w:p>
        </w:tc>
        <w:tc>
          <w:tcPr>
            <w:tcW w:w="9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品牌</w:t>
            </w:r>
          </w:p>
        </w:tc>
        <w:tc>
          <w:tcPr>
            <w:tcW w:w="86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数量</w:t>
            </w: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单价</w:t>
            </w:r>
          </w:p>
        </w:tc>
        <w:tc>
          <w:tcPr>
            <w:tcW w:w="93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总价</w:t>
            </w: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生产厂商</w:t>
            </w: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质保期</w:t>
            </w: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货物名称（请勿缺项）</w:t>
            </w:r>
          </w:p>
        </w:tc>
        <w:tc>
          <w:tcPr>
            <w:tcW w:w="10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86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3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服务名称（自行补充）</w:t>
            </w:r>
          </w:p>
        </w:tc>
        <w:tc>
          <w:tcPr>
            <w:tcW w:w="10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86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3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w:t>
            </w:r>
          </w:p>
        </w:tc>
        <w:tc>
          <w:tcPr>
            <w:tcW w:w="10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86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3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86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3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微软雅黑" w:hAnsi="微软雅黑" w:eastAsia="宋体" w:cs="微软雅黑"/>
                <w:color w:val="auto"/>
                <w:sz w:val="24"/>
                <w:szCs w:val="21"/>
                <w:highlight w:val="none"/>
              </w:rPr>
            </w:pPr>
            <w:r>
              <w:rPr>
                <w:rFonts w:hint="eastAsia" w:ascii="微软雅黑" w:hAnsi="微软雅黑" w:eastAsia="宋体" w:cs="微软雅黑"/>
                <w:color w:val="auto"/>
                <w:sz w:val="24"/>
                <w:szCs w:val="21"/>
                <w:highlight w:val="none"/>
              </w:rPr>
              <w:t>其他</w:t>
            </w:r>
          </w:p>
        </w:tc>
        <w:tc>
          <w:tcPr>
            <w:tcW w:w="10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86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3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37" w:type="dxa"/>
            <w:gridSpan w:val="2"/>
            <w:vAlign w:val="center"/>
          </w:tcPr>
          <w:p>
            <w:pPr>
              <w:keepNext w:val="0"/>
              <w:keepLines w:val="0"/>
              <w:suppressLineNumbers w:val="0"/>
              <w:spacing w:before="0" w:beforeAutospacing="0" w:after="0" w:afterAutospacing="0"/>
              <w:ind w:left="0" w:right="0"/>
              <w:jc w:val="center"/>
              <w:rPr>
                <w:rFonts w:hint="default" w:ascii="微软雅黑" w:hAnsi="微软雅黑" w:eastAsia="宋体" w:cs="微软雅黑"/>
                <w:color w:val="auto"/>
                <w:sz w:val="24"/>
                <w:szCs w:val="21"/>
                <w:highlight w:val="none"/>
              </w:rPr>
            </w:pPr>
            <w:r>
              <w:rPr>
                <w:rFonts w:hint="eastAsia" w:ascii="微软雅黑" w:hAnsi="微软雅黑" w:eastAsia="宋体" w:cs="微软雅黑"/>
                <w:color w:val="auto"/>
                <w:sz w:val="24"/>
                <w:szCs w:val="21"/>
                <w:highlight w:val="none"/>
              </w:rPr>
              <w:t>合计</w:t>
            </w:r>
          </w:p>
        </w:tc>
        <w:tc>
          <w:tcPr>
            <w:tcW w:w="6166" w:type="dxa"/>
            <w:gridSpan w:val="8"/>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微软雅黑" w:hAnsi="微软雅黑" w:eastAsia="宋体" w:cs="微软雅黑"/>
                <w:color w:val="auto"/>
                <w:sz w:val="24"/>
                <w:szCs w:val="21"/>
                <w:highlight w:val="none"/>
              </w:rPr>
              <w:t>人民币（大写）：         圆整   ￥：</w:t>
            </w:r>
          </w:p>
        </w:tc>
      </w:tr>
    </w:tbl>
    <w:p>
      <w:pPr>
        <w:adjustRightInd w:val="0"/>
        <w:snapToGrid w:val="0"/>
        <w:spacing w:line="360" w:lineRule="auto"/>
        <w:rPr>
          <w:rFonts w:ascii="宋体" w:hAnsi="宋体"/>
          <w:color w:val="auto"/>
          <w:sz w:val="24"/>
          <w:szCs w:val="24"/>
          <w:highlight w:val="none"/>
        </w:rPr>
      </w:pPr>
    </w:p>
    <w:p>
      <w:pPr>
        <w:adjustRightInd w:val="0"/>
        <w:snapToGrid w:val="0"/>
        <w:spacing w:line="360" w:lineRule="auto"/>
        <w:jc w:val="right"/>
        <w:rPr>
          <w:rFonts w:ascii="宋体" w:hAnsi="宋体"/>
          <w:color w:val="auto"/>
          <w:sz w:val="24"/>
          <w:szCs w:val="24"/>
          <w:highlight w:val="none"/>
        </w:rPr>
      </w:pPr>
    </w:p>
    <w:p>
      <w:pPr>
        <w:adjustRightInd w:val="0"/>
        <w:snapToGrid w:val="0"/>
        <w:spacing w:line="360" w:lineRule="auto"/>
        <w:jc w:val="right"/>
        <w:rPr>
          <w:rFonts w:ascii="宋体" w:hAnsi="宋体"/>
          <w:color w:val="auto"/>
          <w:sz w:val="24"/>
          <w:szCs w:val="24"/>
          <w:highlight w:val="none"/>
        </w:rPr>
      </w:pPr>
    </w:p>
    <w:p>
      <w:pPr>
        <w:adjustRightInd w:val="0"/>
        <w:snapToGrid w:val="0"/>
        <w:spacing w:line="360" w:lineRule="auto"/>
        <w:jc w:val="right"/>
        <w:rPr>
          <w:rFonts w:ascii="宋体" w:hAnsi="宋体"/>
          <w:color w:val="auto"/>
          <w:sz w:val="24"/>
          <w:szCs w:val="24"/>
          <w:highlight w:val="none"/>
        </w:rPr>
      </w:pPr>
    </w:p>
    <w:p>
      <w:pPr>
        <w:adjustRightInd w:val="0"/>
        <w:snapToGrid w:val="0"/>
        <w:spacing w:line="360" w:lineRule="auto"/>
        <w:jc w:val="right"/>
        <w:rPr>
          <w:rFonts w:ascii="宋体" w:hAnsi="宋体"/>
          <w:color w:val="auto"/>
          <w:sz w:val="24"/>
          <w:szCs w:val="24"/>
          <w:highlight w:val="none"/>
        </w:rPr>
      </w:pPr>
      <w:r>
        <w:rPr>
          <w:rFonts w:hint="eastAsia" w:ascii="宋体" w:hAnsi="宋体"/>
          <w:color w:val="auto"/>
          <w:sz w:val="24"/>
          <w:szCs w:val="24"/>
          <w:highlight w:val="none"/>
        </w:rPr>
        <w:t>法定代表人（授权代表）签字：</w:t>
      </w:r>
      <w:r>
        <w:rPr>
          <w:rFonts w:ascii="宋体" w:hAnsi="宋体"/>
          <w:color w:val="auto"/>
          <w:sz w:val="24"/>
          <w:szCs w:val="24"/>
          <w:highlight w:val="none"/>
          <w:u w:val="single"/>
        </w:rPr>
        <w:t xml:space="preserve"> </w:t>
      </w:r>
    </w:p>
    <w:p>
      <w:pPr>
        <w:adjustRightInd w:val="0"/>
        <w:snapToGrid w:val="0"/>
        <w:spacing w:line="360" w:lineRule="auto"/>
        <w:ind w:firstLine="5880" w:firstLineChars="245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adjustRightInd w:val="0"/>
        <w:snapToGrid w:val="0"/>
        <w:spacing w:line="440" w:lineRule="exact"/>
        <w:ind w:firstLine="480" w:firstLineChars="200"/>
        <w:rPr>
          <w:rFonts w:ascii="Times New Roman" w:hAnsi="Times New Roman" w:cs="Times New Roman"/>
          <w:color w:val="auto"/>
          <w:sz w:val="24"/>
          <w:szCs w:val="24"/>
          <w:highlight w:val="none"/>
        </w:rPr>
      </w:pPr>
    </w:p>
    <w:p>
      <w:pPr>
        <w:shd w:val="clear" w:color="auto" w:fill="FFFFFF"/>
        <w:spacing w:line="360" w:lineRule="exact"/>
        <w:rPr>
          <w:rFonts w:ascii="Times New Roman" w:hAnsi="Times New Roman" w:cs="Times New Roman"/>
          <w:color w:val="auto"/>
          <w:highlight w:val="none"/>
        </w:rPr>
      </w:pPr>
      <w:r>
        <w:rPr>
          <w:rFonts w:ascii="Times New Roman" w:hAnsi="Times New Roman" w:cs="Times New Roman"/>
          <w:color w:val="auto"/>
          <w:highlight w:val="none"/>
        </w:rPr>
        <w:t>注：</w:t>
      </w:r>
    </w:p>
    <w:p>
      <w:pPr>
        <w:numPr>
          <w:ilvl w:val="0"/>
          <w:numId w:val="4"/>
        </w:numPr>
        <w:shd w:val="clear" w:color="auto" w:fill="FFFFFF"/>
        <w:spacing w:line="36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单价和总价均应包括全部设备价、包装费、运输、安装、调试、培训、技术服务、必不可少的部件、标准备件、专用工具等费用，以及已支付或将支付的营业税和其它税费；</w:t>
      </w:r>
    </w:p>
    <w:p>
      <w:pPr>
        <w:numPr>
          <w:ilvl w:val="0"/>
          <w:numId w:val="4"/>
        </w:numPr>
        <w:shd w:val="clear" w:color="auto" w:fill="FFFFFF"/>
        <w:spacing w:line="36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如果单价和总价不符时，以单价为准；</w:t>
      </w:r>
    </w:p>
    <w:p>
      <w:pPr>
        <w:shd w:val="clear" w:color="auto" w:fill="FFFFFF"/>
        <w:spacing w:line="36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3、请提供本采购文件要求设备详细的配置清单及分项报价，包括标准件及选购件；</w:t>
      </w:r>
    </w:p>
    <w:p>
      <w:pPr>
        <w:shd w:val="clear" w:color="auto" w:fill="FFFFFF"/>
        <w:spacing w:line="360" w:lineRule="exact"/>
        <w:ind w:firstLine="480"/>
        <w:rPr>
          <w:rFonts w:ascii="Times New Roman" w:hAnsi="Times New Roman" w:cs="Times New Roman"/>
          <w:color w:val="auto"/>
          <w:kern w:val="0"/>
          <w:highlight w:val="none"/>
        </w:rPr>
        <w:sectPr>
          <w:headerReference r:id="rId6" w:type="default"/>
          <w:footerReference r:id="rId7" w:type="default"/>
          <w:pgSz w:w="11906" w:h="16838"/>
          <w:pgMar w:top="1418" w:right="1418" w:bottom="1418"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cs="Times New Roman"/>
          <w:color w:val="auto"/>
          <w:highlight w:val="none"/>
        </w:rPr>
        <w:t>4、</w:t>
      </w:r>
      <w:r>
        <w:rPr>
          <w:rFonts w:hint="eastAsia" w:ascii="Times New Roman" w:hAnsi="Times New Roman" w:cs="Times New Roman"/>
          <w:color w:val="auto"/>
          <w:highlight w:val="none"/>
        </w:rPr>
        <w:t>相关安装调试费用、质保及人员培训、后续服务及其他所有费用由供应商自行计算填列</w:t>
      </w:r>
      <w:r>
        <w:rPr>
          <w:rFonts w:ascii="Times New Roman" w:hAnsi="Times New Roman" w:cs="Times New Roman"/>
          <w:color w:val="auto"/>
          <w:kern w:val="0"/>
          <w:highlight w:val="none"/>
        </w:rPr>
        <w:t>。</w:t>
      </w:r>
    </w:p>
    <w:p>
      <w:pPr>
        <w:snapToGrid w:val="0"/>
        <w:spacing w:line="360" w:lineRule="auto"/>
        <w:jc w:val="center"/>
        <w:outlineLvl w:val="2"/>
        <w:rPr>
          <w:rFonts w:hint="eastAsia" w:ascii="Times New Roman" w:hAnsi="Times New Roman" w:eastAsia="黑体" w:cs="Times New Roman"/>
          <w:color w:val="auto"/>
          <w:sz w:val="28"/>
          <w:szCs w:val="28"/>
          <w:highlight w:val="none"/>
          <w:u w:color="000000"/>
        </w:rPr>
      </w:pPr>
      <w:r>
        <w:rPr>
          <w:rFonts w:hint="eastAsia" w:ascii="Times New Roman" w:hAnsi="Times New Roman" w:eastAsia="黑体" w:cs="Times New Roman"/>
          <w:color w:val="auto"/>
          <w:sz w:val="28"/>
          <w:szCs w:val="28"/>
          <w:highlight w:val="none"/>
          <w:u w:color="000000"/>
        </w:rPr>
        <w:t>全寿命周期的主要耗损件、易损件清单</w:t>
      </w:r>
    </w:p>
    <w:p>
      <w:pPr>
        <w:pStyle w:val="2"/>
        <w:rPr>
          <w:rFonts w:hint="eastAsia"/>
          <w:color w:val="auto"/>
          <w:highlight w:val="none"/>
        </w:rPr>
      </w:pPr>
    </w:p>
    <w:p>
      <w:pPr>
        <w:pStyle w:val="2"/>
        <w:rPr>
          <w:rFonts w:hint="eastAsia"/>
          <w:color w:val="auto"/>
          <w:sz w:val="24"/>
          <w:szCs w:val="28"/>
          <w:highlight w:val="none"/>
        </w:rPr>
      </w:pPr>
      <w:r>
        <w:rPr>
          <w:rFonts w:hint="eastAsia"/>
          <w:color w:val="auto"/>
          <w:sz w:val="24"/>
          <w:szCs w:val="28"/>
          <w:highlight w:val="none"/>
        </w:rPr>
        <w:t>投标人全称（加盖公章）：</w:t>
      </w:r>
    </w:p>
    <w:p>
      <w:pPr>
        <w:pStyle w:val="2"/>
        <w:rPr>
          <w:rFonts w:hint="eastAsia"/>
          <w:color w:val="auto"/>
          <w:sz w:val="24"/>
          <w:szCs w:val="28"/>
          <w:highlight w:val="none"/>
        </w:rPr>
      </w:pPr>
      <w:r>
        <w:rPr>
          <w:rFonts w:hint="eastAsia"/>
          <w:color w:val="auto"/>
          <w:sz w:val="24"/>
          <w:szCs w:val="28"/>
          <w:highlight w:val="none"/>
        </w:rPr>
        <w:t>项目名称：</w:t>
      </w:r>
      <w:r>
        <w:rPr>
          <w:rFonts w:hint="eastAsia"/>
          <w:color w:val="auto"/>
          <w:sz w:val="24"/>
          <w:szCs w:val="28"/>
          <w:highlight w:val="none"/>
          <w:lang w:eastAsia="zh-CN"/>
        </w:rPr>
        <w:t>南京铁路公安处一键点调系统</w:t>
      </w:r>
      <w:r>
        <w:rPr>
          <w:rFonts w:hint="eastAsia"/>
          <w:color w:val="auto"/>
          <w:sz w:val="24"/>
          <w:szCs w:val="28"/>
          <w:highlight w:val="none"/>
        </w:rPr>
        <w:t>项目</w:t>
      </w:r>
    </w:p>
    <w:p>
      <w:pPr>
        <w:pStyle w:val="3"/>
        <w:rPr>
          <w:rFonts w:hint="eastAsia"/>
          <w:color w:val="auto"/>
          <w:highlight w:val="none"/>
        </w:rPr>
      </w:pPr>
    </w:p>
    <w:tbl>
      <w:tblPr>
        <w:tblStyle w:val="31"/>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380"/>
        <w:gridCol w:w="1264"/>
        <w:gridCol w:w="782"/>
        <w:gridCol w:w="952"/>
        <w:gridCol w:w="457"/>
        <w:gridCol w:w="457"/>
        <w:gridCol w:w="458"/>
        <w:gridCol w:w="458"/>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编号</w:t>
            </w: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货物</w:t>
            </w:r>
            <w:r>
              <w:rPr>
                <w:rFonts w:hint="default" w:ascii="Times New Roman" w:hAnsi="Times New Roman" w:eastAsia="宋体" w:cs="Times New Roman"/>
                <w:b/>
                <w:bCs/>
                <w:color w:val="auto"/>
                <w:sz w:val="24"/>
                <w:szCs w:val="24"/>
                <w:highlight w:val="none"/>
              </w:rPr>
              <w:t>名称</w:t>
            </w:r>
          </w:p>
        </w:tc>
        <w:tc>
          <w:tcPr>
            <w:tcW w:w="12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规格型号</w:t>
            </w:r>
          </w:p>
        </w:tc>
        <w:tc>
          <w:tcPr>
            <w:tcW w:w="7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品牌</w:t>
            </w: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单价</w:t>
            </w: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生产厂商</w:t>
            </w: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质保期</w:t>
            </w: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供货周期</w:t>
            </w:r>
          </w:p>
        </w:tc>
        <w:tc>
          <w:tcPr>
            <w:tcW w:w="45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工时费</w:t>
            </w:r>
          </w:p>
        </w:tc>
        <w:tc>
          <w:tcPr>
            <w:tcW w:w="45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货物名称（请勿缺项）</w:t>
            </w:r>
          </w:p>
        </w:tc>
        <w:tc>
          <w:tcPr>
            <w:tcW w:w="12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7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（自行补充）</w:t>
            </w:r>
          </w:p>
        </w:tc>
        <w:tc>
          <w:tcPr>
            <w:tcW w:w="12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7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w:t>
            </w:r>
          </w:p>
        </w:tc>
        <w:tc>
          <w:tcPr>
            <w:tcW w:w="12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7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2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7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380" w:type="dxa"/>
            <w:vAlign w:val="center"/>
          </w:tcPr>
          <w:p>
            <w:pPr>
              <w:keepNext w:val="0"/>
              <w:keepLines w:val="0"/>
              <w:suppressLineNumbers w:val="0"/>
              <w:spacing w:before="0" w:beforeAutospacing="0" w:after="0" w:afterAutospacing="0"/>
              <w:ind w:left="0" w:right="0"/>
              <w:jc w:val="center"/>
              <w:rPr>
                <w:rFonts w:hint="default" w:ascii="微软雅黑" w:hAnsi="微软雅黑" w:eastAsia="宋体" w:cs="微软雅黑"/>
                <w:color w:val="auto"/>
                <w:sz w:val="24"/>
                <w:szCs w:val="21"/>
                <w:highlight w:val="none"/>
              </w:rPr>
            </w:pPr>
          </w:p>
        </w:tc>
        <w:tc>
          <w:tcPr>
            <w:tcW w:w="126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78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5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pStyle w:val="4"/>
        <w:rPr>
          <w:color w:val="auto"/>
          <w:highlight w:val="none"/>
        </w:rPr>
      </w:pPr>
    </w:p>
    <w:p>
      <w:pPr>
        <w:rPr>
          <w:color w:val="auto"/>
          <w:highlight w:val="none"/>
        </w:rPr>
      </w:pPr>
    </w:p>
    <w:p>
      <w:pPr>
        <w:pStyle w:val="2"/>
        <w:rPr>
          <w:color w:val="auto"/>
          <w:highlight w:val="none"/>
        </w:rPr>
      </w:pPr>
    </w:p>
    <w:p>
      <w:pPr>
        <w:adjustRightInd w:val="0"/>
        <w:snapToGrid w:val="0"/>
        <w:spacing w:line="360" w:lineRule="auto"/>
        <w:jc w:val="right"/>
        <w:rPr>
          <w:rFonts w:ascii="宋体" w:hAnsi="宋体"/>
          <w:color w:val="auto"/>
          <w:sz w:val="24"/>
          <w:szCs w:val="24"/>
          <w:highlight w:val="none"/>
        </w:rPr>
      </w:pPr>
    </w:p>
    <w:p>
      <w:pPr>
        <w:adjustRightInd w:val="0"/>
        <w:snapToGrid w:val="0"/>
        <w:spacing w:line="360" w:lineRule="auto"/>
        <w:jc w:val="right"/>
        <w:rPr>
          <w:rFonts w:ascii="宋体" w:hAnsi="宋体"/>
          <w:color w:val="auto"/>
          <w:sz w:val="24"/>
          <w:szCs w:val="24"/>
          <w:highlight w:val="none"/>
        </w:rPr>
      </w:pPr>
      <w:r>
        <w:rPr>
          <w:rFonts w:hint="eastAsia" w:ascii="宋体" w:hAnsi="宋体"/>
          <w:color w:val="auto"/>
          <w:sz w:val="24"/>
          <w:szCs w:val="24"/>
          <w:highlight w:val="none"/>
        </w:rPr>
        <w:t>法定代表人（授权代表）签字：</w:t>
      </w:r>
      <w:r>
        <w:rPr>
          <w:rFonts w:ascii="宋体" w:hAnsi="宋体"/>
          <w:color w:val="auto"/>
          <w:sz w:val="24"/>
          <w:szCs w:val="24"/>
          <w:highlight w:val="none"/>
          <w:u w:val="single"/>
        </w:rPr>
        <w:t xml:space="preserve"> </w:t>
      </w:r>
    </w:p>
    <w:p>
      <w:pPr>
        <w:adjustRightInd w:val="0"/>
        <w:snapToGrid w:val="0"/>
        <w:spacing w:line="360" w:lineRule="auto"/>
        <w:ind w:firstLine="5880" w:firstLineChars="245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3"/>
        <w:rPr>
          <w:color w:val="auto"/>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jc w:val="left"/>
        <w:outlineLvl w:val="2"/>
        <w:rPr>
          <w:rFonts w:ascii="Times New Roman" w:hAnsi="Times New Roman" w:eastAsia="黑体" w:cs="Times New Roman"/>
          <w:color w:val="auto"/>
          <w:kern w:val="0"/>
          <w:sz w:val="24"/>
          <w:szCs w:val="24"/>
          <w:highlight w:val="none"/>
          <w:u w:color="000000"/>
        </w:rPr>
      </w:pPr>
      <w:bookmarkStart w:id="42" w:name="_Toc3593"/>
      <w:r>
        <w:rPr>
          <w:rFonts w:ascii="Times New Roman" w:hAnsi="Times New Roman" w:eastAsia="黑体" w:cs="Times New Roman"/>
          <w:color w:val="auto"/>
          <w:kern w:val="0"/>
          <w:sz w:val="24"/>
          <w:szCs w:val="24"/>
          <w:highlight w:val="none"/>
          <w:u w:color="000000"/>
        </w:rPr>
        <w:t>6.</w:t>
      </w:r>
      <w:r>
        <w:rPr>
          <w:rFonts w:hint="eastAsia" w:ascii="Times New Roman" w:hAnsi="Times New Roman" w:eastAsia="黑体" w:cs="Times New Roman"/>
          <w:color w:val="auto"/>
          <w:kern w:val="0"/>
          <w:sz w:val="24"/>
          <w:szCs w:val="24"/>
          <w:highlight w:val="none"/>
          <w:u w:color="000000"/>
        </w:rPr>
        <w:t>4</w:t>
      </w:r>
      <w:r>
        <w:rPr>
          <w:rFonts w:ascii="Times New Roman" w:hAnsi="Times New Roman" w:eastAsia="黑体" w:cs="Times New Roman"/>
          <w:color w:val="auto"/>
          <w:kern w:val="0"/>
          <w:sz w:val="24"/>
          <w:szCs w:val="24"/>
          <w:highlight w:val="none"/>
          <w:u w:color="000000"/>
        </w:rPr>
        <w:t xml:space="preserve"> </w:t>
      </w:r>
      <w:r>
        <w:rPr>
          <w:rFonts w:hint="eastAsia" w:ascii="Times New Roman" w:hAnsi="Times New Roman" w:eastAsia="黑体" w:cs="Times New Roman"/>
          <w:color w:val="auto"/>
          <w:kern w:val="0"/>
          <w:sz w:val="24"/>
          <w:szCs w:val="24"/>
          <w:highlight w:val="none"/>
          <w:u w:color="000000"/>
        </w:rPr>
        <w:t>商务条款响应及偏离表</w:t>
      </w:r>
      <w:bookmarkEnd w:id="42"/>
    </w:p>
    <w:p>
      <w:pPr>
        <w:widowControl/>
        <w:spacing w:before="156" w:beforeLines="50" w:after="156" w:afterLines="50" w:line="360" w:lineRule="auto"/>
        <w:jc w:val="center"/>
        <w:rPr>
          <w:rFonts w:ascii="黑体" w:hAnsi="黑体" w:eastAsia="黑体" w:cs="Times New Roman"/>
          <w:bCs/>
          <w:color w:val="auto"/>
          <w:kern w:val="0"/>
          <w:sz w:val="28"/>
          <w:szCs w:val="28"/>
          <w:highlight w:val="none"/>
          <w:u w:color="000000"/>
          <w:lang w:val="zh-TW" w:eastAsia="zh-TW"/>
        </w:rPr>
      </w:pPr>
      <w:bookmarkStart w:id="43" w:name="_Toc4854"/>
      <w:bookmarkStart w:id="44" w:name="_Toc14276"/>
      <w:r>
        <w:rPr>
          <w:rFonts w:hint="eastAsia" w:ascii="黑体" w:hAnsi="黑体" w:eastAsia="黑体" w:cs="Times New Roman"/>
          <w:bCs/>
          <w:color w:val="auto"/>
          <w:kern w:val="0"/>
          <w:sz w:val="28"/>
          <w:szCs w:val="28"/>
          <w:highlight w:val="none"/>
          <w:u w:color="000000"/>
          <w:lang w:val="zh-TW"/>
        </w:rPr>
        <w:t>商务条款响应及偏离表</w:t>
      </w:r>
      <w:bookmarkEnd w:id="43"/>
      <w:bookmarkEnd w:id="44"/>
    </w:p>
    <w:p>
      <w:pPr>
        <w:widowControl/>
        <w:spacing w:line="360" w:lineRule="auto"/>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投标人全称</w:t>
      </w:r>
      <w:r>
        <w:rPr>
          <w:rFonts w:hint="eastAsia" w:ascii="Times New Roman" w:hAnsi="Times New Roman"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公章</w:t>
      </w:r>
      <w:r>
        <w:rPr>
          <w:rFonts w:hint="eastAsia" w:ascii="Times New Roman" w:hAnsi="Times New Roman" w:eastAsia="宋体" w:cs="Times New Roman"/>
          <w:color w:val="auto"/>
          <w:kern w:val="0"/>
          <w:sz w:val="24"/>
          <w:szCs w:val="24"/>
          <w:highlight w:val="none"/>
        </w:rPr>
        <w:t>）：</w:t>
      </w:r>
    </w:p>
    <w:p>
      <w:pPr>
        <w:widowControl/>
        <w:spacing w:line="360" w:lineRule="auto"/>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项目名称：</w:t>
      </w:r>
      <w:r>
        <w:rPr>
          <w:rFonts w:hint="eastAsia" w:ascii="Times New Roman" w:hAnsi="Times New Roman" w:eastAsia="宋体" w:cs="Times New Roman"/>
          <w:color w:val="auto"/>
          <w:kern w:val="0"/>
          <w:sz w:val="24"/>
          <w:szCs w:val="24"/>
          <w:highlight w:val="none"/>
          <w:lang w:eastAsia="zh-CN"/>
        </w:rPr>
        <w:t>南京铁路公安处一键点调系统</w:t>
      </w:r>
      <w:r>
        <w:rPr>
          <w:rFonts w:hint="eastAsia" w:ascii="Times New Roman" w:hAnsi="Times New Roman" w:eastAsia="宋体" w:cs="Times New Roman"/>
          <w:color w:val="auto"/>
          <w:kern w:val="0"/>
          <w:sz w:val="24"/>
          <w:szCs w:val="24"/>
          <w:highlight w:val="none"/>
        </w:rPr>
        <w:t>项目</w:t>
      </w:r>
    </w:p>
    <w:tbl>
      <w:tblPr>
        <w:tblStyle w:val="30"/>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2860"/>
        <w:gridCol w:w="1907"/>
        <w:gridCol w:w="1771"/>
        <w:gridCol w:w="1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采购文件要求</w:t>
            </w: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投标人的承诺或说明</w:t>
            </w: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286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907"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77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62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autoSpaceDE w:val="0"/>
        <w:autoSpaceDN w:val="0"/>
        <w:adjustRightInd w:val="0"/>
        <w:spacing w:line="360" w:lineRule="auto"/>
        <w:ind w:firstLine="4320" w:firstLineChars="18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法定代表人（授权代表）签字：</w:t>
      </w:r>
    </w:p>
    <w:p>
      <w:pPr>
        <w:autoSpaceDE w:val="0"/>
        <w:autoSpaceDN w:val="0"/>
        <w:adjustRightInd w:val="0"/>
        <w:spacing w:line="360" w:lineRule="auto"/>
        <w:ind w:firstLine="5640" w:firstLineChars="2350"/>
        <w:rPr>
          <w:rFonts w:ascii="Times New Roman" w:hAnsi="Times New Roman" w:eastAsia="宋体" w:cs="Times New Roman"/>
          <w:color w:val="auto"/>
          <w:sz w:val="24"/>
          <w:szCs w:val="24"/>
          <w:highlight w:val="none"/>
          <w:u w:val="single"/>
        </w:rPr>
      </w:pPr>
      <w:r>
        <w:rPr>
          <w:rFonts w:ascii="Times New Roman" w:hAnsi="Times New Roman" w:eastAsia="宋体" w:cs="Times New Roman"/>
          <w:bCs/>
          <w:color w:val="auto"/>
          <w:sz w:val="24"/>
          <w:szCs w:val="24"/>
          <w:highlight w:val="none"/>
        </w:rPr>
        <w:t>日期：年月日</w:t>
      </w:r>
    </w:p>
    <w:p>
      <w:pPr>
        <w:widowControl/>
        <w:adjustRightInd w:val="0"/>
        <w:snapToGrid w:val="0"/>
        <w:spacing w:line="400" w:lineRule="exact"/>
        <w:ind w:left="792" w:hanging="693" w:hangingChars="330"/>
        <w:jc w:val="left"/>
        <w:rPr>
          <w:rFonts w:ascii="Times New Roman" w:hAnsi="Times New Roman" w:eastAsia="宋体" w:cs="Times New Roman"/>
          <w:color w:val="auto"/>
          <w:kern w:val="0"/>
          <w:sz w:val="21"/>
          <w:szCs w:val="18"/>
          <w:highlight w:val="none"/>
        </w:rPr>
      </w:pPr>
      <w:r>
        <w:rPr>
          <w:rFonts w:ascii="Times New Roman" w:hAnsi="Times New Roman" w:eastAsia="宋体" w:cs="Times New Roman"/>
          <w:color w:val="auto"/>
          <w:kern w:val="0"/>
          <w:sz w:val="21"/>
          <w:szCs w:val="18"/>
          <w:highlight w:val="none"/>
        </w:rPr>
        <w:t>注：</w:t>
      </w:r>
    </w:p>
    <w:p>
      <w:pPr>
        <w:topLinePunct/>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1．投标人应当逐条对照招标文件</w:t>
      </w:r>
      <w:r>
        <w:rPr>
          <w:rFonts w:hint="eastAsia" w:ascii="Times New Roman" w:hAnsi="Times New Roman" w:eastAsia="宋体" w:cs="Times New Roman"/>
          <w:color w:val="auto"/>
          <w:szCs w:val="21"/>
          <w:highlight w:val="none"/>
        </w:rPr>
        <w:t>商务</w:t>
      </w:r>
      <w:r>
        <w:rPr>
          <w:rFonts w:ascii="Times New Roman" w:hAnsi="Times New Roman" w:eastAsia="宋体" w:cs="Times New Roman"/>
          <w:color w:val="auto"/>
          <w:szCs w:val="21"/>
          <w:highlight w:val="none"/>
        </w:rPr>
        <w:t>条款，就投标文件对</w:t>
      </w:r>
      <w:r>
        <w:rPr>
          <w:rFonts w:hint="eastAsia" w:ascii="Times New Roman" w:hAnsi="Times New Roman" w:eastAsia="宋体" w:cs="Times New Roman"/>
          <w:color w:val="auto"/>
          <w:szCs w:val="21"/>
          <w:highlight w:val="none"/>
        </w:rPr>
        <w:t>商务</w:t>
      </w:r>
      <w:r>
        <w:rPr>
          <w:rFonts w:ascii="Times New Roman" w:hAnsi="Times New Roman" w:eastAsia="宋体" w:cs="Times New Roman"/>
          <w:color w:val="auto"/>
          <w:szCs w:val="21"/>
          <w:highlight w:val="none"/>
        </w:rPr>
        <w:t>条款存在的偏差与例外逐条做出说明；</w:t>
      </w:r>
    </w:p>
    <w:p>
      <w:pPr>
        <w:topLinePunct/>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2．如投标文件对</w:t>
      </w:r>
      <w:r>
        <w:rPr>
          <w:rFonts w:hint="eastAsia" w:ascii="Times New Roman" w:hAnsi="Times New Roman" w:eastAsia="宋体" w:cs="Times New Roman"/>
          <w:color w:val="auto"/>
          <w:szCs w:val="21"/>
          <w:highlight w:val="none"/>
        </w:rPr>
        <w:t>商务</w:t>
      </w:r>
      <w:r>
        <w:rPr>
          <w:rFonts w:ascii="Times New Roman" w:hAnsi="Times New Roman" w:eastAsia="宋体" w:cs="Times New Roman"/>
          <w:color w:val="auto"/>
          <w:szCs w:val="21"/>
          <w:highlight w:val="none"/>
        </w:rPr>
        <w:t>条款无任何偏差，投标人仅需在本偏离表中填写“无偏离”即可。</w:t>
      </w:r>
    </w:p>
    <w:p>
      <w:pPr>
        <w:topLinePunct/>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投标人未填写该表则表示完全满足招标文件</w:t>
      </w:r>
      <w:r>
        <w:rPr>
          <w:rFonts w:hint="eastAsia" w:ascii="Times New Roman" w:hAnsi="Times New Roman" w:eastAsia="宋体" w:cs="Times New Roman"/>
          <w:color w:val="auto"/>
          <w:szCs w:val="21"/>
          <w:highlight w:val="none"/>
        </w:rPr>
        <w:t>商务</w:t>
      </w:r>
      <w:r>
        <w:rPr>
          <w:rFonts w:ascii="Times New Roman" w:hAnsi="Times New Roman" w:eastAsia="宋体" w:cs="Times New Roman"/>
          <w:color w:val="auto"/>
          <w:szCs w:val="21"/>
          <w:highlight w:val="none"/>
        </w:rPr>
        <w:t>条款要求。</w:t>
      </w:r>
    </w:p>
    <w:p>
      <w:pPr>
        <w:widowControl/>
        <w:spacing w:line="460" w:lineRule="exact"/>
        <w:rPr>
          <w:rFonts w:ascii="Times New Roman" w:hAnsi="Times New Roman" w:eastAsia="仿宋_GB2312" w:cs="Times New Roman"/>
          <w:color w:val="auto"/>
          <w:kern w:val="0"/>
          <w:sz w:val="32"/>
          <w:szCs w:val="28"/>
          <w:highlight w:val="none"/>
        </w:rPr>
      </w:pPr>
    </w:p>
    <w:p>
      <w:pPr>
        <w:widowControl/>
        <w:jc w:val="left"/>
        <w:outlineLvl w:val="2"/>
        <w:rPr>
          <w:rFonts w:hint="eastAsia" w:ascii="黑体" w:hAnsi="黑体" w:eastAsia="黑体" w:cs="黑体"/>
          <w:color w:val="auto"/>
          <w:kern w:val="0"/>
          <w:sz w:val="24"/>
          <w:szCs w:val="24"/>
          <w:highlight w:val="none"/>
          <w:u w:color="000000"/>
          <w:lang w:eastAsia="zh-CN"/>
        </w:rPr>
      </w:pPr>
      <w:bookmarkStart w:id="45" w:name="_Toc11859496"/>
      <w:bookmarkStart w:id="46" w:name="_Toc535"/>
      <w:bookmarkStart w:id="47" w:name="_Toc5105"/>
      <w:bookmarkStart w:id="48" w:name="_Toc73708347"/>
      <w:r>
        <w:rPr>
          <w:rFonts w:ascii="黑体" w:hAnsi="黑体" w:eastAsia="黑体" w:cs="黑体"/>
          <w:color w:val="auto"/>
          <w:kern w:val="0"/>
          <w:sz w:val="24"/>
          <w:szCs w:val="24"/>
          <w:highlight w:val="none"/>
          <w:u w:color="000000"/>
        </w:rPr>
        <w:br w:type="page"/>
      </w:r>
      <w:bookmarkStart w:id="49" w:name="_Toc20209"/>
      <w:r>
        <w:rPr>
          <w:rFonts w:hint="eastAsia" w:ascii="黑体" w:hAnsi="黑体" w:eastAsia="黑体" w:cs="黑体"/>
          <w:color w:val="auto"/>
          <w:kern w:val="0"/>
          <w:sz w:val="24"/>
          <w:szCs w:val="24"/>
          <w:highlight w:val="none"/>
          <w:u w:color="000000"/>
        </w:rPr>
        <w:t xml:space="preserve">6.5 </w:t>
      </w:r>
      <w:bookmarkEnd w:id="45"/>
      <w:bookmarkEnd w:id="46"/>
      <w:bookmarkEnd w:id="47"/>
      <w:bookmarkEnd w:id="48"/>
      <w:bookmarkEnd w:id="49"/>
      <w:r>
        <w:rPr>
          <w:rFonts w:hint="eastAsia" w:ascii="黑体" w:hAnsi="黑体" w:eastAsia="黑体" w:cs="黑体"/>
          <w:color w:val="auto"/>
          <w:kern w:val="0"/>
          <w:sz w:val="24"/>
          <w:szCs w:val="24"/>
          <w:highlight w:val="none"/>
          <w:u w:color="000000"/>
          <w:lang w:eastAsia="zh-CN"/>
        </w:rPr>
        <w:t>技术要求响应及偏离表</w:t>
      </w:r>
    </w:p>
    <w:p>
      <w:pPr>
        <w:widowControl/>
        <w:spacing w:line="460" w:lineRule="exact"/>
        <w:jc w:val="center"/>
        <w:rPr>
          <w:rFonts w:hint="eastAsia" w:ascii="Times New Roman" w:hAnsi="Times New Roman" w:eastAsia="宋体" w:cs="Times New Roman"/>
          <w:b/>
          <w:color w:val="auto"/>
          <w:kern w:val="0"/>
          <w:sz w:val="32"/>
          <w:szCs w:val="32"/>
          <w:highlight w:val="none"/>
          <w:lang w:eastAsia="zh-CN"/>
        </w:rPr>
      </w:pPr>
      <w:r>
        <w:rPr>
          <w:rFonts w:hint="eastAsia" w:ascii="黑体" w:hAnsi="黑体" w:eastAsia="黑体" w:cs="Times New Roman"/>
          <w:bCs/>
          <w:color w:val="auto"/>
          <w:kern w:val="0"/>
          <w:sz w:val="28"/>
          <w:szCs w:val="28"/>
          <w:highlight w:val="none"/>
          <w:u w:color="000000"/>
          <w:lang w:val="zh-TW" w:eastAsia="zh-CN"/>
        </w:rPr>
        <w:t>技术要求响应及偏离表</w:t>
      </w:r>
    </w:p>
    <w:p>
      <w:pPr>
        <w:spacing w:line="360" w:lineRule="auto"/>
        <w:rPr>
          <w:color w:val="auto"/>
          <w:sz w:val="24"/>
          <w:szCs w:val="24"/>
          <w:highlight w:val="none"/>
        </w:rPr>
      </w:pPr>
      <w:r>
        <w:rPr>
          <w:color w:val="auto"/>
          <w:sz w:val="24"/>
          <w:szCs w:val="24"/>
          <w:highlight w:val="none"/>
        </w:rPr>
        <w:t>投标人全称（公章</w:t>
      </w:r>
      <w:r>
        <w:rPr>
          <w:rFonts w:hint="eastAsia"/>
          <w:color w:val="auto"/>
          <w:sz w:val="24"/>
          <w:szCs w:val="24"/>
          <w:highlight w:val="none"/>
        </w:rPr>
        <w:t>）</w:t>
      </w:r>
      <w:r>
        <w:rPr>
          <w:color w:val="auto"/>
          <w:sz w:val="24"/>
          <w:szCs w:val="24"/>
          <w:highlight w:val="none"/>
        </w:rPr>
        <w:t xml:space="preserve">: </w:t>
      </w:r>
    </w:p>
    <w:p>
      <w:pPr>
        <w:spacing w:line="360" w:lineRule="auto"/>
        <w:rPr>
          <w:color w:val="auto"/>
          <w:highlight w:val="none"/>
        </w:rPr>
      </w:pPr>
      <w:r>
        <w:rPr>
          <w:rFonts w:hint="eastAsia"/>
          <w:color w:val="auto"/>
          <w:sz w:val="24"/>
          <w:szCs w:val="24"/>
          <w:highlight w:val="none"/>
        </w:rPr>
        <w:t>项目名称：</w:t>
      </w:r>
      <w:r>
        <w:rPr>
          <w:rFonts w:hint="eastAsia"/>
          <w:color w:val="auto"/>
          <w:sz w:val="24"/>
          <w:szCs w:val="24"/>
          <w:highlight w:val="none"/>
          <w:lang w:eastAsia="zh-CN"/>
        </w:rPr>
        <w:t>南京铁路公安处一键点调系统</w:t>
      </w:r>
      <w:r>
        <w:rPr>
          <w:rFonts w:hint="eastAsia"/>
          <w:color w:val="auto"/>
          <w:sz w:val="24"/>
          <w:szCs w:val="24"/>
          <w:highlight w:val="none"/>
        </w:rPr>
        <w:t>项目</w:t>
      </w:r>
      <w:r>
        <w:rPr>
          <w:color w:val="auto"/>
          <w:sz w:val="24"/>
          <w:szCs w:val="24"/>
          <w:highlight w:val="none"/>
        </w:rPr>
        <w:t xml:space="preserve">  </w:t>
      </w:r>
      <w:r>
        <w:rPr>
          <w:color w:val="auto"/>
          <w:highlight w:val="none"/>
        </w:rPr>
        <w:t xml:space="preserve">        </w:t>
      </w:r>
    </w:p>
    <w:tbl>
      <w:tblPr>
        <w:tblStyle w:val="30"/>
        <w:tblW w:w="91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2094"/>
        <w:gridCol w:w="1092"/>
        <w:gridCol w:w="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采购文件要求</w:t>
            </w:r>
          </w:p>
        </w:tc>
        <w:tc>
          <w:tcPr>
            <w:tcW w:w="20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供应商响应</w:t>
            </w:r>
            <w:r>
              <w:rPr>
                <w:rFonts w:hint="eastAsia" w:ascii="Times New Roman" w:hAnsi="Times New Roman" w:eastAsia="宋体" w:cs="Times New Roman"/>
                <w:color w:val="auto"/>
                <w:sz w:val="24"/>
                <w:szCs w:val="24"/>
                <w:highlight w:val="none"/>
                <w:lang w:val="en-US" w:eastAsia="zh-CN"/>
              </w:rPr>
              <w:t>情况</w:t>
            </w:r>
          </w:p>
          <w:p>
            <w:pPr>
              <w:pStyle w:val="2"/>
              <w:keepNext w:val="0"/>
              <w:keepLines w:val="0"/>
              <w:suppressLineNumbers w:val="0"/>
              <w:spacing w:before="0" w:beforeAutospacing="0" w:afterAutospacing="0"/>
              <w:ind w:left="0" w:right="0"/>
              <w:rPr>
                <w:rFonts w:hint="eastAsia"/>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（超出/符合/偏离）</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证明材料页码</w:t>
            </w:r>
          </w:p>
        </w:tc>
        <w:tc>
          <w:tcPr>
            <w:tcW w:w="9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shd w:val="clear" w:color="auto" w:fill="FFFFFF"/>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408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shd w:val="clear" w:color="auto" w:fill="FFFFFF"/>
              </w:rPr>
            </w:pPr>
          </w:p>
        </w:tc>
        <w:tc>
          <w:tcPr>
            <w:tcW w:w="20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 w:val="24"/>
                <w:szCs w:val="24"/>
                <w:highlight w:val="none"/>
                <w:shd w:val="clear" w:color="auto" w:fill="FFFFFF"/>
              </w:rPr>
            </w:pPr>
          </w:p>
        </w:tc>
        <w:tc>
          <w:tcPr>
            <w:tcW w:w="10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91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widowControl/>
        <w:shd w:val="clear" w:color="auto" w:fill="FFFFFF"/>
        <w:snapToGrid w:val="0"/>
        <w:jc w:val="left"/>
        <w:rPr>
          <w:rFonts w:ascii="Times New Roman" w:hAnsi="Times New Roman" w:eastAsia="宋体" w:cs="Times New Roman"/>
          <w:color w:val="auto"/>
          <w:kern w:val="0"/>
          <w:sz w:val="24"/>
          <w:szCs w:val="24"/>
          <w:highlight w:val="none"/>
        </w:rPr>
      </w:pPr>
    </w:p>
    <w:p>
      <w:pPr>
        <w:widowControl/>
        <w:shd w:val="clear" w:color="auto" w:fill="FFFFFF"/>
        <w:snapToGrid w:val="0"/>
        <w:ind w:firstLine="5400" w:firstLineChars="225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法定代表人（授权代表）签字：</w:t>
      </w:r>
    </w:p>
    <w:p>
      <w:pPr>
        <w:spacing w:line="400" w:lineRule="exact"/>
        <w:ind w:firstLine="480" w:firstLineChars="20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日</w:t>
      </w:r>
    </w:p>
    <w:p>
      <w:pPr>
        <w:widowControl/>
        <w:shd w:val="clear" w:color="auto" w:fill="FFFFFF"/>
        <w:snapToGrid w:val="0"/>
        <w:jc w:val="left"/>
        <w:rPr>
          <w:rFonts w:ascii="Times New Roman" w:hAnsi="Times New Roman" w:eastAsia="宋体" w:cs="Times New Roman"/>
          <w:color w:val="auto"/>
          <w:kern w:val="0"/>
          <w:sz w:val="24"/>
          <w:szCs w:val="24"/>
          <w:highlight w:val="none"/>
        </w:rPr>
      </w:pPr>
    </w:p>
    <w:p>
      <w:pPr>
        <w:topLinePunct/>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w:t>
      </w:r>
    </w:p>
    <w:p>
      <w:pPr>
        <w:topLinePunct/>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1．投标人应当逐条对照招标文件技术条款，就投标文件对技术条款存在的偏差与例外逐条做出说明；</w:t>
      </w:r>
    </w:p>
    <w:p>
      <w:pPr>
        <w:topLinePunct/>
        <w:spacing w:line="40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rPr>
        <w:t>.投标人未对实质性要求逐条作出明确响应的，或未按招标文件要求提供证明材料的，该分包作无效投标处理。</w:t>
      </w:r>
    </w:p>
    <w:p>
      <w:pPr>
        <w:widowControl/>
        <w:spacing w:before="156" w:beforeLines="50" w:after="156" w:afterLines="50"/>
        <w:jc w:val="center"/>
        <w:rPr>
          <w:rFonts w:ascii="Times New Roman" w:hAnsi="Times New Roman" w:eastAsia="黑体" w:cs="Times New Roman"/>
          <w:b/>
          <w:color w:val="auto"/>
          <w:kern w:val="0"/>
          <w:sz w:val="36"/>
          <w:szCs w:val="24"/>
          <w:highlight w:val="none"/>
        </w:rPr>
      </w:pPr>
      <w:r>
        <w:rPr>
          <w:rFonts w:ascii="Times New Roman" w:hAnsi="Times New Roman" w:eastAsia="黑体" w:cs="Times New Roman"/>
          <w:b/>
          <w:color w:val="auto"/>
          <w:kern w:val="0"/>
          <w:sz w:val="36"/>
          <w:szCs w:val="24"/>
          <w:highlight w:val="none"/>
        </w:rPr>
        <w:br w:type="page"/>
      </w:r>
      <w:bookmarkStart w:id="50" w:name="_Hlt26955054"/>
      <w:bookmarkEnd w:id="50"/>
    </w:p>
    <w:p>
      <w:pPr>
        <w:widowControl/>
        <w:spacing w:before="156" w:beforeLines="50" w:after="156" w:afterLines="50"/>
        <w:outlineLvl w:val="2"/>
        <w:rPr>
          <w:rFonts w:ascii="黑体" w:hAnsi="黑体" w:eastAsia="黑体" w:cs="黑体"/>
          <w:color w:val="auto"/>
          <w:kern w:val="0"/>
          <w:sz w:val="24"/>
          <w:szCs w:val="24"/>
          <w:highlight w:val="none"/>
          <w:u w:color="000000"/>
        </w:rPr>
      </w:pPr>
      <w:bookmarkStart w:id="51" w:name="_Toc25026"/>
      <w:bookmarkStart w:id="52" w:name="_Toc73708348"/>
      <w:bookmarkStart w:id="53" w:name="_Toc32263"/>
      <w:bookmarkStart w:id="54" w:name="_Toc14048"/>
      <w:r>
        <w:rPr>
          <w:rFonts w:hint="eastAsia" w:ascii="黑体" w:hAnsi="黑体" w:eastAsia="黑体" w:cs="黑体"/>
          <w:color w:val="auto"/>
          <w:kern w:val="0"/>
          <w:sz w:val="24"/>
          <w:szCs w:val="24"/>
          <w:highlight w:val="none"/>
          <w:u w:color="000000"/>
        </w:rPr>
        <w:t>6.6 技术规范点对点应答</w:t>
      </w:r>
      <w:bookmarkEnd w:id="51"/>
      <w:bookmarkEnd w:id="52"/>
      <w:bookmarkEnd w:id="53"/>
      <w:bookmarkEnd w:id="54"/>
    </w:p>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 xml:space="preserve"> </w:t>
      </w:r>
    </w:p>
    <w:p>
      <w:pPr>
        <w:adjustRightInd w:val="0"/>
        <w:snapToGrid w:val="0"/>
        <w:spacing w:line="360" w:lineRule="auto"/>
        <w:jc w:val="center"/>
        <w:rPr>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br w:type="page"/>
      </w:r>
    </w:p>
    <w:p>
      <w:pPr>
        <w:widowControl/>
        <w:jc w:val="left"/>
        <w:outlineLvl w:val="2"/>
        <w:rPr>
          <w:rFonts w:ascii="黑体" w:hAnsi="黑体" w:eastAsia="黑体" w:cs="黑体"/>
          <w:bCs/>
          <w:color w:val="auto"/>
          <w:kern w:val="0"/>
          <w:sz w:val="24"/>
          <w:szCs w:val="24"/>
          <w:highlight w:val="none"/>
        </w:rPr>
      </w:pPr>
      <w:bookmarkStart w:id="55" w:name="_Toc197181362"/>
      <w:bookmarkEnd w:id="55"/>
      <w:bookmarkStart w:id="56" w:name="_Toc15986"/>
      <w:r>
        <w:rPr>
          <w:rFonts w:hint="eastAsia" w:ascii="黑体" w:hAnsi="黑体" w:eastAsia="黑体" w:cs="黑体"/>
          <w:bCs/>
          <w:color w:val="auto"/>
          <w:kern w:val="0"/>
          <w:sz w:val="24"/>
          <w:szCs w:val="24"/>
          <w:highlight w:val="none"/>
        </w:rPr>
        <w:t>6.</w:t>
      </w:r>
      <w:r>
        <w:rPr>
          <w:rFonts w:hint="eastAsia" w:ascii="黑体" w:hAnsi="黑体" w:eastAsia="黑体" w:cs="黑体"/>
          <w:bCs/>
          <w:color w:val="auto"/>
          <w:kern w:val="0"/>
          <w:sz w:val="24"/>
          <w:szCs w:val="24"/>
          <w:highlight w:val="none"/>
          <w:lang w:val="en-US" w:eastAsia="zh-CN"/>
        </w:rPr>
        <w:t>7</w:t>
      </w:r>
      <w:r>
        <w:rPr>
          <w:rFonts w:hint="eastAsia" w:ascii="黑体" w:hAnsi="黑体" w:eastAsia="黑体" w:cs="黑体"/>
          <w:bCs/>
          <w:color w:val="auto"/>
          <w:kern w:val="0"/>
          <w:sz w:val="24"/>
          <w:szCs w:val="24"/>
          <w:highlight w:val="none"/>
        </w:rPr>
        <w:t xml:space="preserve"> 投标人业绩情况表</w:t>
      </w:r>
      <w:bookmarkEnd w:id="56"/>
    </w:p>
    <w:p>
      <w:pPr>
        <w:ind w:left="420" w:leftChars="200"/>
        <w:jc w:val="cente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近年（</w:t>
      </w:r>
      <w:r>
        <w:rPr>
          <w:rFonts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rPr>
        <w:t>年</w:t>
      </w:r>
      <w:r>
        <w:rPr>
          <w:rFonts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rPr>
        <w:t>月</w:t>
      </w:r>
      <w:r>
        <w:rPr>
          <w:rFonts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rPr>
        <w:t>日至</w:t>
      </w:r>
      <w:r>
        <w:rPr>
          <w:rFonts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rPr>
        <w:t>年</w:t>
      </w:r>
      <w:r>
        <w:rPr>
          <w:rFonts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rPr>
        <w:t>月</w:t>
      </w:r>
      <w:r>
        <w:rPr>
          <w:rFonts w:ascii="宋体" w:hAnsi="宋体" w:eastAsia="宋体" w:cs="宋体"/>
          <w:bCs/>
          <w:color w:val="auto"/>
          <w:sz w:val="24"/>
          <w:szCs w:val="24"/>
          <w:highlight w:val="none"/>
          <w:u w:val="single"/>
        </w:rPr>
        <w:t xml:space="preserve">  </w:t>
      </w:r>
      <w:r>
        <w:rPr>
          <w:rFonts w:ascii="宋体" w:hAnsi="宋体" w:eastAsia="宋体" w:cs="宋体"/>
          <w:bCs/>
          <w:color w:val="auto"/>
          <w:sz w:val="24"/>
          <w:szCs w:val="24"/>
          <w:highlight w:val="none"/>
        </w:rPr>
        <w:t>日）业绩情况表</w:t>
      </w:r>
    </w:p>
    <w:tbl>
      <w:tblPr>
        <w:tblStyle w:val="30"/>
        <w:tblW w:w="9003"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095"/>
        <w:gridCol w:w="1095"/>
        <w:gridCol w:w="1003"/>
        <w:gridCol w:w="913"/>
        <w:gridCol w:w="731"/>
        <w:gridCol w:w="913"/>
        <w:gridCol w:w="913"/>
        <w:gridCol w:w="1005"/>
        <w:gridCol w:w="69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序号</w:t>
            </w:r>
          </w:p>
        </w:tc>
        <w:tc>
          <w:tcPr>
            <w:tcW w:w="1095"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合同名称</w:t>
            </w:r>
          </w:p>
        </w:tc>
        <w:tc>
          <w:tcPr>
            <w:tcW w:w="1095"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合同编号</w:t>
            </w:r>
          </w:p>
        </w:tc>
        <w:tc>
          <w:tcPr>
            <w:tcW w:w="1003"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合同签订时间</w:t>
            </w:r>
          </w:p>
        </w:tc>
        <w:tc>
          <w:tcPr>
            <w:tcW w:w="913"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采购内容</w:t>
            </w:r>
          </w:p>
        </w:tc>
        <w:tc>
          <w:tcPr>
            <w:tcW w:w="731"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合同金额（万元）</w:t>
            </w:r>
          </w:p>
        </w:tc>
        <w:tc>
          <w:tcPr>
            <w:tcW w:w="913"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合同卖方</w:t>
            </w:r>
          </w:p>
        </w:tc>
        <w:tc>
          <w:tcPr>
            <w:tcW w:w="913"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合同买方</w:t>
            </w:r>
          </w:p>
        </w:tc>
        <w:tc>
          <w:tcPr>
            <w:tcW w:w="1005"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合同买方联系人及联系电话</w:t>
            </w:r>
          </w:p>
        </w:tc>
        <w:tc>
          <w:tcPr>
            <w:tcW w:w="697" w:type="dxa"/>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38"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9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9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0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731"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0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697"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38"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9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9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0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731"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0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697"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38"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9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9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0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731"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913"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1005"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c>
          <w:tcPr>
            <w:tcW w:w="697" w:type="dxa"/>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475" w:type="dxa"/>
            <w:gridSpan w:val="6"/>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合同金额合计：</w:t>
            </w:r>
          </w:p>
        </w:tc>
        <w:tc>
          <w:tcPr>
            <w:tcW w:w="3528" w:type="dxa"/>
            <w:gridSpan w:val="4"/>
            <w:vAlign w:val="center"/>
          </w:tcPr>
          <w:p>
            <w:pPr>
              <w:keepNext w:val="0"/>
              <w:keepLines w:val="0"/>
              <w:widowControl/>
              <w:suppressLineNumbers w:val="0"/>
              <w:spacing w:before="124" w:beforeLines="40" w:beforeAutospacing="0" w:after="124" w:afterLines="40" w:afterAutospacing="0"/>
              <w:ind w:left="0" w:right="0"/>
              <w:jc w:val="center"/>
              <w:rPr>
                <w:rFonts w:hint="default" w:ascii="宋体" w:hAnsi="宋体" w:eastAsia="宋体" w:cs="宋体"/>
                <w:color w:val="auto"/>
                <w:sz w:val="24"/>
                <w:szCs w:val="21"/>
                <w:highlight w:val="none"/>
                <w:u w:val="single"/>
              </w:rPr>
            </w:pPr>
            <w:r>
              <w:rPr>
                <w:rFonts w:hint="default" w:ascii="宋体" w:hAnsi="宋体" w:eastAsia="宋体" w:cs="宋体"/>
                <w:color w:val="auto"/>
                <w:sz w:val="24"/>
                <w:szCs w:val="21"/>
                <w:highlight w:val="none"/>
              </w:rPr>
              <w:t>人民币</w:t>
            </w:r>
            <w:r>
              <w:rPr>
                <w:rFonts w:hint="default" w:ascii="宋体" w:hAnsi="宋体" w:eastAsia="宋体" w:cs="宋体"/>
                <w:color w:val="auto"/>
                <w:sz w:val="24"/>
                <w:szCs w:val="21"/>
                <w:highlight w:val="none"/>
                <w:u w:val="single"/>
              </w:rPr>
              <w:t xml:space="preserve">        </w:t>
            </w:r>
            <w:r>
              <w:rPr>
                <w:rFonts w:hint="default" w:ascii="宋体" w:hAnsi="宋体" w:eastAsia="宋体" w:cs="宋体"/>
                <w:color w:val="auto"/>
                <w:sz w:val="24"/>
                <w:szCs w:val="21"/>
                <w:highlight w:val="none"/>
              </w:rPr>
              <w:t>万元</w:t>
            </w:r>
          </w:p>
        </w:tc>
      </w:tr>
    </w:tbl>
    <w:p>
      <w:pPr>
        <w:topLinePunct/>
        <w:spacing w:line="360" w:lineRule="auto"/>
        <w:ind w:left="315" w:hanging="315" w:hanging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w:t>
      </w:r>
      <w:r>
        <w:rPr>
          <w:rFonts w:hint="eastAsia" w:ascii="Times New Roman" w:hAnsi="Times New Roman" w:eastAsia="宋体" w:cs="Times New Roman"/>
          <w:color w:val="auto"/>
          <w:szCs w:val="21"/>
          <w:highlight w:val="none"/>
        </w:rPr>
        <w:t>若</w:t>
      </w:r>
      <w:r>
        <w:rPr>
          <w:rFonts w:ascii="Times New Roman" w:hAnsi="Times New Roman" w:eastAsia="宋体" w:cs="Times New Roman"/>
          <w:color w:val="auto"/>
          <w:szCs w:val="21"/>
          <w:highlight w:val="none"/>
        </w:rPr>
        <w:t>本项目对</w:t>
      </w:r>
      <w:r>
        <w:rPr>
          <w:rFonts w:hint="eastAsia" w:ascii="Times New Roman" w:hAnsi="Times New Roman" w:eastAsia="宋体" w:cs="Times New Roman"/>
          <w:color w:val="auto"/>
          <w:szCs w:val="21"/>
          <w:highlight w:val="none"/>
        </w:rPr>
        <w:t>投标</w:t>
      </w:r>
      <w:r>
        <w:rPr>
          <w:rFonts w:ascii="Times New Roman" w:hAnsi="Times New Roman" w:eastAsia="宋体" w:cs="Times New Roman"/>
          <w:color w:val="auto"/>
          <w:szCs w:val="21"/>
          <w:highlight w:val="none"/>
        </w:rPr>
        <w:t>人业绩有要求，</w:t>
      </w:r>
      <w:r>
        <w:rPr>
          <w:rFonts w:hint="eastAsia" w:ascii="Times New Roman" w:hAnsi="Times New Roman" w:eastAsia="宋体" w:cs="Times New Roman"/>
          <w:color w:val="auto"/>
          <w:szCs w:val="21"/>
          <w:highlight w:val="none"/>
        </w:rPr>
        <w:t>投标</w:t>
      </w:r>
      <w:r>
        <w:rPr>
          <w:rFonts w:ascii="Times New Roman" w:hAnsi="Times New Roman" w:eastAsia="宋体" w:cs="Times New Roman"/>
          <w:color w:val="auto"/>
          <w:szCs w:val="21"/>
          <w:highlight w:val="none"/>
        </w:rPr>
        <w:t>人应当如实填写本表并根据</w:t>
      </w:r>
      <w:r>
        <w:rPr>
          <w:rFonts w:hint="eastAsia" w:ascii="Times New Roman" w:hAnsi="Times New Roman" w:eastAsia="宋体" w:cs="Times New Roman"/>
          <w:color w:val="auto"/>
          <w:szCs w:val="21"/>
          <w:highlight w:val="none"/>
        </w:rPr>
        <w:t>评分标准</w:t>
      </w:r>
      <w:r>
        <w:rPr>
          <w:rFonts w:ascii="Times New Roman" w:hAnsi="Times New Roman" w:eastAsia="宋体" w:cs="Times New Roman"/>
          <w:color w:val="auto"/>
          <w:szCs w:val="21"/>
          <w:highlight w:val="none"/>
        </w:rPr>
        <w:t>中的相关要求在本表后附相关合同关键页（须包括合同</w:t>
      </w:r>
      <w:r>
        <w:rPr>
          <w:rFonts w:hint="eastAsia" w:ascii="Times New Roman" w:hAnsi="Times New Roman" w:eastAsia="宋体" w:cs="Times New Roman"/>
          <w:color w:val="auto"/>
          <w:szCs w:val="21"/>
          <w:highlight w:val="none"/>
        </w:rPr>
        <w:t>名称</w:t>
      </w:r>
      <w:r>
        <w:rPr>
          <w:rFonts w:ascii="Times New Roman" w:hAnsi="Times New Roman" w:eastAsia="宋体" w:cs="Times New Roman"/>
          <w:color w:val="auto"/>
          <w:szCs w:val="21"/>
          <w:highlight w:val="none"/>
        </w:rPr>
        <w:t>、服务内容、实施时间、合同金额、合同签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盖章页，如果提供的是框架合同，需提供对应框架合同结算的订单或结算单据）的复印件（加盖公章）或者其他相关证明材料。</w:t>
      </w:r>
    </w:p>
    <w:p>
      <w:pPr>
        <w:widowControl/>
        <w:jc w:val="left"/>
        <w:rPr>
          <w:rFonts w:hint="eastAsia" w:ascii="黑体" w:hAnsi="黑体" w:eastAsia="黑体" w:cs="黑体"/>
          <w:bCs/>
          <w:color w:val="auto"/>
          <w:kern w:val="0"/>
          <w:sz w:val="24"/>
          <w:szCs w:val="24"/>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cs="黑体"/>
          <w:bCs/>
          <w:color w:val="auto"/>
          <w:kern w:val="0"/>
          <w:sz w:val="24"/>
          <w:szCs w:val="24"/>
          <w:highlight w:val="none"/>
        </w:rPr>
        <w:br w:type="page"/>
      </w:r>
    </w:p>
    <w:p>
      <w:pPr>
        <w:pStyle w:val="2"/>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lang w:val="en-US" w:eastAsia="zh-CN"/>
        </w:rPr>
        <w:t>6.8</w:t>
      </w:r>
      <w:r>
        <w:rPr>
          <w:rFonts w:hint="eastAsia" w:ascii="黑体" w:hAnsi="黑体" w:eastAsia="黑体" w:cs="黑体"/>
          <w:bCs/>
          <w:color w:val="auto"/>
          <w:sz w:val="24"/>
          <w:szCs w:val="24"/>
          <w:highlight w:val="none"/>
        </w:rPr>
        <w:t>企业认证能力</w:t>
      </w:r>
    </w:p>
    <w:p>
      <w:pPr>
        <w:pStyle w:val="3"/>
        <w:rPr>
          <w:rFonts w:hint="eastAsia"/>
          <w:color w:val="auto"/>
          <w:highlight w:val="none"/>
        </w:rPr>
      </w:pPr>
    </w:p>
    <w:p>
      <w:pPr>
        <w:pStyle w:val="2"/>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w:t>
      </w:r>
      <w:r>
        <w:rPr>
          <w:rFonts w:hint="eastAsia" w:ascii="黑体" w:hAnsi="黑体" w:eastAsia="黑体" w:cs="黑体"/>
          <w:bCs/>
          <w:color w:val="auto"/>
          <w:sz w:val="24"/>
          <w:szCs w:val="24"/>
          <w:highlight w:val="none"/>
          <w:lang w:val="en-US" w:eastAsia="zh-CN"/>
        </w:rPr>
        <w:t>9</w:t>
      </w:r>
      <w:r>
        <w:rPr>
          <w:rFonts w:hint="eastAsia" w:ascii="黑体" w:hAnsi="黑体" w:eastAsia="黑体" w:cs="黑体"/>
          <w:bCs/>
          <w:color w:val="auto"/>
          <w:sz w:val="24"/>
          <w:szCs w:val="24"/>
          <w:highlight w:val="none"/>
        </w:rPr>
        <w:t>企业项目经验</w:t>
      </w:r>
    </w:p>
    <w:p>
      <w:pPr>
        <w:pStyle w:val="3"/>
        <w:rPr>
          <w:rFonts w:hint="eastAsia"/>
          <w:color w:val="auto"/>
          <w:highlight w:val="none"/>
        </w:rPr>
      </w:pPr>
    </w:p>
    <w:p>
      <w:pPr>
        <w:pStyle w:val="2"/>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w:t>
      </w:r>
      <w:r>
        <w:rPr>
          <w:rFonts w:hint="eastAsia" w:ascii="黑体" w:hAnsi="黑体" w:eastAsia="黑体" w:cs="黑体"/>
          <w:bCs/>
          <w:color w:val="auto"/>
          <w:sz w:val="24"/>
          <w:szCs w:val="24"/>
          <w:highlight w:val="none"/>
          <w:lang w:val="en-US" w:eastAsia="zh-CN"/>
        </w:rPr>
        <w:t>10</w:t>
      </w:r>
      <w:r>
        <w:rPr>
          <w:rFonts w:hint="eastAsia" w:ascii="黑体" w:hAnsi="黑体" w:eastAsia="黑体" w:cs="黑体"/>
          <w:bCs/>
          <w:color w:val="auto"/>
          <w:sz w:val="24"/>
          <w:szCs w:val="24"/>
          <w:highlight w:val="none"/>
        </w:rPr>
        <w:t>技术参数点对点应答</w:t>
      </w:r>
    </w:p>
    <w:p>
      <w:pPr>
        <w:pStyle w:val="3"/>
        <w:rPr>
          <w:rFonts w:hint="eastAsia"/>
          <w:color w:val="auto"/>
          <w:highlight w:val="none"/>
        </w:rPr>
      </w:pPr>
    </w:p>
    <w:p>
      <w:pPr>
        <w:pStyle w:val="2"/>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w:t>
      </w:r>
      <w:r>
        <w:rPr>
          <w:rFonts w:hint="eastAsia" w:ascii="黑体" w:hAnsi="黑体" w:eastAsia="黑体" w:cs="黑体"/>
          <w:bCs/>
          <w:color w:val="auto"/>
          <w:sz w:val="24"/>
          <w:szCs w:val="24"/>
          <w:highlight w:val="none"/>
          <w:lang w:val="en-US" w:eastAsia="zh-CN"/>
        </w:rPr>
        <w:t>.11</w:t>
      </w:r>
      <w:r>
        <w:rPr>
          <w:rFonts w:hint="eastAsia" w:ascii="黑体" w:hAnsi="黑体" w:eastAsia="黑体" w:cs="黑体"/>
          <w:bCs/>
          <w:color w:val="auto"/>
          <w:sz w:val="24"/>
          <w:szCs w:val="24"/>
          <w:highlight w:val="none"/>
        </w:rPr>
        <w:t>改装方案</w:t>
      </w:r>
    </w:p>
    <w:p>
      <w:pPr>
        <w:pStyle w:val="3"/>
        <w:rPr>
          <w:rFonts w:hint="eastAsia"/>
          <w:color w:val="auto"/>
          <w:highlight w:val="none"/>
        </w:rPr>
      </w:pPr>
    </w:p>
    <w:p>
      <w:pPr>
        <w:pStyle w:val="2"/>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w:t>
      </w:r>
      <w:r>
        <w:rPr>
          <w:rFonts w:hint="eastAsia" w:ascii="黑体" w:hAnsi="黑体" w:eastAsia="黑体" w:cs="黑体"/>
          <w:bCs/>
          <w:color w:val="auto"/>
          <w:sz w:val="24"/>
          <w:szCs w:val="24"/>
          <w:highlight w:val="none"/>
          <w:lang w:val="en-US" w:eastAsia="zh-CN"/>
        </w:rPr>
        <w:t>12</w:t>
      </w:r>
      <w:r>
        <w:rPr>
          <w:rFonts w:hint="eastAsia" w:ascii="黑体" w:hAnsi="黑体" w:eastAsia="黑体" w:cs="黑体"/>
          <w:bCs/>
          <w:color w:val="auto"/>
          <w:sz w:val="24"/>
          <w:szCs w:val="24"/>
          <w:highlight w:val="none"/>
        </w:rPr>
        <w:t>项目实施方案</w:t>
      </w:r>
    </w:p>
    <w:p>
      <w:pPr>
        <w:pStyle w:val="3"/>
        <w:rPr>
          <w:rFonts w:hint="eastAsia" w:ascii="黑体" w:hAnsi="黑体" w:eastAsia="黑体" w:cs="黑体"/>
          <w:bCs/>
          <w:color w:val="auto"/>
          <w:sz w:val="24"/>
          <w:szCs w:val="24"/>
          <w:highlight w:val="none"/>
        </w:rPr>
      </w:pPr>
    </w:p>
    <w:p>
      <w:pPr>
        <w:pStyle w:val="2"/>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w:t>
      </w:r>
      <w:r>
        <w:rPr>
          <w:rFonts w:hint="eastAsia" w:ascii="黑体" w:hAnsi="黑体" w:eastAsia="黑体" w:cs="黑体"/>
          <w:bCs/>
          <w:color w:val="auto"/>
          <w:sz w:val="24"/>
          <w:szCs w:val="24"/>
          <w:highlight w:val="none"/>
          <w:lang w:val="en-US" w:eastAsia="zh-CN"/>
        </w:rPr>
        <w:t>13</w:t>
      </w:r>
      <w:r>
        <w:rPr>
          <w:rFonts w:hint="eastAsia" w:ascii="黑体" w:hAnsi="黑体" w:eastAsia="黑体" w:cs="黑体"/>
          <w:bCs/>
          <w:color w:val="auto"/>
          <w:sz w:val="24"/>
          <w:szCs w:val="24"/>
          <w:highlight w:val="none"/>
        </w:rPr>
        <w:t>进度方案</w:t>
      </w:r>
    </w:p>
    <w:p>
      <w:pPr>
        <w:pStyle w:val="3"/>
        <w:rPr>
          <w:rFonts w:hint="eastAsia"/>
          <w:color w:val="auto"/>
          <w:highlight w:val="none"/>
        </w:rPr>
      </w:pPr>
    </w:p>
    <w:p>
      <w:pPr>
        <w:pStyle w:val="2"/>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w:t>
      </w:r>
      <w:r>
        <w:rPr>
          <w:rFonts w:hint="eastAsia" w:ascii="黑体" w:hAnsi="黑体" w:eastAsia="黑体" w:cs="黑体"/>
          <w:bCs/>
          <w:color w:val="auto"/>
          <w:sz w:val="24"/>
          <w:szCs w:val="24"/>
          <w:highlight w:val="none"/>
          <w:lang w:val="en-US" w:eastAsia="zh-CN"/>
        </w:rPr>
        <w:t>14</w:t>
      </w:r>
      <w:r>
        <w:rPr>
          <w:rFonts w:hint="eastAsia" w:ascii="黑体" w:hAnsi="黑体" w:eastAsia="黑体" w:cs="黑体"/>
          <w:bCs/>
          <w:color w:val="auto"/>
          <w:sz w:val="24"/>
          <w:szCs w:val="24"/>
          <w:highlight w:val="none"/>
        </w:rPr>
        <w:t>培训方案</w:t>
      </w:r>
    </w:p>
    <w:p>
      <w:pPr>
        <w:pStyle w:val="3"/>
        <w:rPr>
          <w:rFonts w:hint="eastAsia" w:ascii="黑体" w:hAnsi="黑体" w:eastAsia="黑体" w:cs="黑体"/>
          <w:bCs/>
          <w:color w:val="auto"/>
          <w:sz w:val="24"/>
          <w:szCs w:val="24"/>
          <w:highlight w:val="none"/>
        </w:rPr>
      </w:pPr>
    </w:p>
    <w:p>
      <w:pPr>
        <w:pStyle w:val="2"/>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w:t>
      </w:r>
      <w:r>
        <w:rPr>
          <w:rFonts w:hint="eastAsia" w:ascii="黑体" w:hAnsi="黑体" w:eastAsia="黑体" w:cs="黑体"/>
          <w:bCs/>
          <w:color w:val="auto"/>
          <w:sz w:val="24"/>
          <w:szCs w:val="24"/>
          <w:highlight w:val="none"/>
          <w:lang w:val="en-US" w:eastAsia="zh-CN"/>
        </w:rPr>
        <w:t>15</w:t>
      </w:r>
      <w:r>
        <w:rPr>
          <w:rFonts w:hint="eastAsia" w:ascii="黑体" w:hAnsi="黑体" w:eastAsia="黑体" w:cs="黑体"/>
          <w:bCs/>
          <w:color w:val="auto"/>
          <w:sz w:val="24"/>
          <w:szCs w:val="24"/>
          <w:highlight w:val="none"/>
        </w:rPr>
        <w:t>售后服务方案</w:t>
      </w:r>
    </w:p>
    <w:p>
      <w:pPr>
        <w:pStyle w:val="3"/>
        <w:rPr>
          <w:rFonts w:hint="eastAsia"/>
          <w:color w:val="auto"/>
          <w:highlight w:val="none"/>
        </w:rPr>
      </w:pPr>
    </w:p>
    <w:p>
      <w:pPr>
        <w:pStyle w:val="2"/>
        <w:rPr>
          <w:rFonts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6.</w:t>
      </w:r>
      <w:r>
        <w:rPr>
          <w:rFonts w:hint="eastAsia" w:ascii="黑体" w:hAnsi="黑体" w:eastAsia="黑体" w:cs="黑体"/>
          <w:bCs/>
          <w:color w:val="auto"/>
          <w:sz w:val="24"/>
          <w:szCs w:val="24"/>
          <w:highlight w:val="none"/>
          <w:lang w:val="en-US" w:eastAsia="zh-CN"/>
        </w:rPr>
        <w:t>16</w:t>
      </w:r>
      <w:r>
        <w:rPr>
          <w:rFonts w:hint="eastAsia" w:ascii="黑体" w:hAnsi="黑体" w:eastAsia="黑体" w:cs="黑体"/>
          <w:bCs/>
          <w:color w:val="auto"/>
          <w:sz w:val="24"/>
          <w:szCs w:val="24"/>
          <w:highlight w:val="none"/>
        </w:rPr>
        <w:t>保修增值服务</w:t>
      </w:r>
    </w:p>
    <w:p>
      <w:pPr>
        <w:widowControl/>
        <w:jc w:val="left"/>
        <w:rPr>
          <w:rFonts w:ascii="黑体" w:hAnsi="黑体" w:eastAsia="黑体" w:cs="黑体"/>
          <w:bCs/>
          <w:color w:val="auto"/>
          <w:kern w:val="0"/>
          <w:sz w:val="24"/>
          <w:szCs w:val="24"/>
          <w:highlight w:val="none"/>
        </w:rPr>
      </w:pPr>
      <w:r>
        <w:rPr>
          <w:rFonts w:hint="eastAsia" w:ascii="黑体" w:hAnsi="黑体" w:eastAsia="黑体" w:cs="黑体"/>
          <w:bCs/>
          <w:color w:val="auto"/>
          <w:kern w:val="0"/>
          <w:sz w:val="24"/>
          <w:szCs w:val="24"/>
          <w:highlight w:val="none"/>
        </w:rPr>
        <w:br w:type="page"/>
      </w:r>
    </w:p>
    <w:p>
      <w:pPr>
        <w:spacing w:line="360" w:lineRule="auto"/>
        <w:ind w:right="181"/>
        <w:outlineLvl w:val="2"/>
        <w:rPr>
          <w:rFonts w:ascii="黑体" w:hAnsi="黑体" w:eastAsia="黑体" w:cs="黑体"/>
          <w:bCs/>
          <w:color w:val="auto"/>
          <w:sz w:val="24"/>
          <w:szCs w:val="24"/>
          <w:highlight w:val="none"/>
        </w:rPr>
      </w:pPr>
      <w:bookmarkStart w:id="57" w:name="_Toc14491"/>
      <w:r>
        <w:rPr>
          <w:rFonts w:hint="eastAsia" w:ascii="黑体" w:hAnsi="黑体" w:eastAsia="黑体" w:cs="黑体"/>
          <w:bCs/>
          <w:color w:val="auto"/>
          <w:sz w:val="24"/>
          <w:szCs w:val="24"/>
          <w:highlight w:val="none"/>
        </w:rPr>
        <w:t>6.1</w:t>
      </w:r>
      <w:r>
        <w:rPr>
          <w:rFonts w:hint="eastAsia" w:ascii="黑体" w:hAnsi="黑体" w:eastAsia="黑体" w:cs="黑体"/>
          <w:bCs/>
          <w:color w:val="auto"/>
          <w:sz w:val="24"/>
          <w:szCs w:val="24"/>
          <w:highlight w:val="none"/>
          <w:lang w:val="en-US" w:eastAsia="zh-CN"/>
        </w:rPr>
        <w:t>7</w:t>
      </w:r>
      <w:r>
        <w:rPr>
          <w:rFonts w:hint="eastAsia" w:ascii="黑体" w:hAnsi="黑体" w:eastAsia="黑体" w:cs="黑体"/>
          <w:bCs/>
          <w:color w:val="auto"/>
          <w:sz w:val="24"/>
          <w:szCs w:val="24"/>
          <w:highlight w:val="none"/>
        </w:rPr>
        <w:t xml:space="preserve"> </w:t>
      </w:r>
      <w:r>
        <w:rPr>
          <w:rFonts w:ascii="Times New Roman" w:hAnsi="Times New Roman" w:eastAsia="黑体" w:cs="Times New Roman"/>
          <w:color w:val="auto"/>
          <w:sz w:val="24"/>
          <w:szCs w:val="24"/>
          <w:highlight w:val="none"/>
          <w:u w:color="000000"/>
        </w:rPr>
        <w:t>资格证明文件</w:t>
      </w:r>
      <w:bookmarkEnd w:id="57"/>
    </w:p>
    <w:p>
      <w:pPr>
        <w:widowControl/>
        <w:spacing w:line="460" w:lineRule="exact"/>
        <w:ind w:firstLine="480" w:firstLineChars="200"/>
        <w:jc w:val="left"/>
        <w:rPr>
          <w:rFonts w:hint="eastAsia" w:ascii="Times New Roman" w:hAnsi="Times New Roman" w:eastAsia="宋体" w:cs="Times New Roman"/>
          <w:color w:val="auto"/>
          <w:kern w:val="0"/>
          <w:sz w:val="24"/>
          <w:szCs w:val="24"/>
          <w:highlight w:val="none"/>
          <w:u w:color="FF0000"/>
        </w:rPr>
      </w:pPr>
      <w:r>
        <w:rPr>
          <w:rFonts w:hint="eastAsia" w:ascii="Times New Roman" w:hAnsi="Times New Roman" w:eastAsia="宋体" w:cs="Times New Roman"/>
          <w:color w:val="auto"/>
          <w:kern w:val="0"/>
          <w:sz w:val="24"/>
          <w:szCs w:val="24"/>
          <w:highlight w:val="none"/>
          <w:u w:color="FF0000"/>
        </w:rPr>
        <w:t>（1）具有独立承担民事责任的能力（提供法人或者其他组织的营业执照等证明文件，如投标人为自然人的，提供其身份证明）；</w:t>
      </w:r>
    </w:p>
    <w:p>
      <w:pPr>
        <w:pStyle w:val="2"/>
        <w:rPr>
          <w:rFonts w:hint="eastAsia"/>
          <w:color w:val="auto"/>
          <w:highlight w:val="none"/>
        </w:rPr>
      </w:pPr>
    </w:p>
    <w:p>
      <w:pPr>
        <w:widowControl/>
        <w:numPr>
          <w:ilvl w:val="0"/>
          <w:numId w:val="5"/>
        </w:numPr>
        <w:spacing w:line="460" w:lineRule="exact"/>
        <w:ind w:firstLine="480" w:firstLineChars="200"/>
        <w:jc w:val="left"/>
        <w:rPr>
          <w:rFonts w:hint="eastAsia" w:ascii="Times New Roman" w:hAnsi="Times New Roman" w:eastAsia="宋体" w:cs="Times New Roman"/>
          <w:color w:val="auto"/>
          <w:kern w:val="0"/>
          <w:sz w:val="24"/>
          <w:szCs w:val="24"/>
          <w:highlight w:val="none"/>
          <w:u w:color="FF0000"/>
        </w:rPr>
      </w:pPr>
      <w:r>
        <w:rPr>
          <w:rFonts w:hint="eastAsia" w:ascii="Times New Roman" w:hAnsi="Times New Roman" w:eastAsia="宋体" w:cs="Times New Roman"/>
          <w:color w:val="auto"/>
          <w:kern w:val="0"/>
          <w:sz w:val="24"/>
          <w:szCs w:val="24"/>
          <w:highlight w:val="none"/>
          <w:u w:color="FF0000"/>
        </w:rPr>
        <w:t>供应商须具有良好的商业信誉和健全的财务会计制度（提供提交投标文件截止时间前1年内的经审计的财务报告或银行出具的资信证明或其他会计报表等，成立不满一个月不需提供）；</w:t>
      </w:r>
    </w:p>
    <w:p>
      <w:pPr>
        <w:pStyle w:val="2"/>
        <w:numPr>
          <w:ilvl w:val="0"/>
          <w:numId w:val="0"/>
        </w:numPr>
        <w:rPr>
          <w:rFonts w:hint="eastAsia"/>
          <w:color w:val="auto"/>
          <w:highlight w:val="none"/>
        </w:rPr>
      </w:pPr>
    </w:p>
    <w:p>
      <w:pPr>
        <w:widowControl/>
        <w:numPr>
          <w:ilvl w:val="0"/>
          <w:numId w:val="5"/>
        </w:numPr>
        <w:spacing w:line="460" w:lineRule="exact"/>
        <w:ind w:left="0" w:leftChars="0" w:firstLine="480" w:firstLineChars="200"/>
        <w:jc w:val="left"/>
        <w:rPr>
          <w:rFonts w:hint="eastAsia" w:ascii="Times New Roman" w:hAnsi="Times New Roman" w:eastAsia="宋体" w:cs="Times New Roman"/>
          <w:color w:val="auto"/>
          <w:kern w:val="0"/>
          <w:sz w:val="24"/>
          <w:szCs w:val="24"/>
          <w:highlight w:val="none"/>
          <w:u w:color="FF0000"/>
        </w:rPr>
      </w:pPr>
      <w:r>
        <w:rPr>
          <w:rFonts w:hint="eastAsia" w:ascii="Times New Roman" w:hAnsi="Times New Roman" w:eastAsia="宋体" w:cs="Times New Roman"/>
          <w:color w:val="auto"/>
          <w:kern w:val="0"/>
          <w:sz w:val="24"/>
          <w:szCs w:val="24"/>
          <w:highlight w:val="none"/>
          <w:u w:color="FF0000"/>
        </w:rPr>
        <w:t>供应商需提供依法缴纳税收和社会保障资金的相关材料（在提交投标文件截止时间前半年内（至少一个月）依法缴纳税收和社会保障资金的有效证明材料（投标人依法享受缓缴、免缴税收或社会保障资金的，须提供有效证明材料））；</w:t>
      </w:r>
    </w:p>
    <w:p>
      <w:pPr>
        <w:pStyle w:val="2"/>
        <w:numPr>
          <w:ilvl w:val="0"/>
          <w:numId w:val="0"/>
        </w:numPr>
        <w:ind w:leftChars="200"/>
        <w:rPr>
          <w:rFonts w:hint="eastAsia"/>
          <w:color w:val="auto"/>
          <w:highlight w:val="none"/>
        </w:rPr>
      </w:pPr>
    </w:p>
    <w:p>
      <w:pPr>
        <w:widowControl/>
        <w:numPr>
          <w:ilvl w:val="0"/>
          <w:numId w:val="5"/>
        </w:numPr>
        <w:spacing w:line="460" w:lineRule="exact"/>
        <w:ind w:left="0" w:leftChars="0" w:firstLine="480" w:firstLineChars="200"/>
        <w:jc w:val="left"/>
        <w:rPr>
          <w:rFonts w:hint="eastAsia" w:ascii="Times New Roman" w:hAnsi="Times New Roman" w:eastAsia="宋体" w:cs="Times New Roman"/>
          <w:color w:val="auto"/>
          <w:kern w:val="0"/>
          <w:sz w:val="24"/>
          <w:szCs w:val="24"/>
          <w:highlight w:val="none"/>
          <w:u w:color="FF0000"/>
        </w:rPr>
      </w:pPr>
      <w:r>
        <w:rPr>
          <w:rFonts w:hint="eastAsia" w:ascii="Times New Roman" w:hAnsi="Times New Roman" w:eastAsia="宋体" w:cs="Times New Roman"/>
          <w:color w:val="auto"/>
          <w:kern w:val="0"/>
          <w:sz w:val="24"/>
          <w:szCs w:val="24"/>
          <w:highlight w:val="none"/>
          <w:u w:color="FF0000"/>
        </w:rPr>
        <w:t>供应商具有履行合同所必需的设备和专业技术能力的书面声明；</w:t>
      </w:r>
    </w:p>
    <w:p>
      <w:pPr>
        <w:pStyle w:val="2"/>
        <w:numPr>
          <w:ilvl w:val="0"/>
          <w:numId w:val="0"/>
        </w:numPr>
        <w:ind w:leftChars="200"/>
        <w:rPr>
          <w:rFonts w:hint="eastAsia"/>
          <w:color w:val="auto"/>
          <w:highlight w:val="none"/>
        </w:rPr>
      </w:pPr>
    </w:p>
    <w:p>
      <w:pPr>
        <w:widowControl/>
        <w:numPr>
          <w:ilvl w:val="0"/>
          <w:numId w:val="5"/>
        </w:numPr>
        <w:spacing w:line="460" w:lineRule="exact"/>
        <w:ind w:left="0" w:leftChars="0" w:firstLine="480" w:firstLineChars="200"/>
        <w:jc w:val="left"/>
        <w:rPr>
          <w:rFonts w:hint="eastAsia" w:ascii="Times New Roman" w:hAnsi="Times New Roman" w:eastAsia="宋体" w:cs="Times New Roman"/>
          <w:color w:val="auto"/>
          <w:kern w:val="0"/>
          <w:sz w:val="24"/>
          <w:szCs w:val="24"/>
          <w:highlight w:val="none"/>
          <w:u w:color="FF0000"/>
        </w:rPr>
      </w:pPr>
      <w:r>
        <w:rPr>
          <w:rFonts w:hint="eastAsia" w:ascii="Times New Roman" w:hAnsi="Times New Roman" w:eastAsia="宋体" w:cs="Times New Roman"/>
          <w:color w:val="auto"/>
          <w:kern w:val="0"/>
          <w:sz w:val="24"/>
          <w:szCs w:val="24"/>
          <w:highlight w:val="none"/>
          <w:u w:color="FF0000"/>
        </w:rPr>
        <w:t>供应商参加政府采购活动前3年内在经营活动中没有重大违法记录的书面声明；</w:t>
      </w:r>
    </w:p>
    <w:p>
      <w:pPr>
        <w:pStyle w:val="2"/>
        <w:numPr>
          <w:ilvl w:val="0"/>
          <w:numId w:val="0"/>
        </w:numPr>
        <w:ind w:leftChars="200"/>
        <w:rPr>
          <w:rFonts w:hint="eastAsia"/>
          <w:color w:val="auto"/>
          <w:highlight w:val="none"/>
        </w:rPr>
      </w:pPr>
    </w:p>
    <w:p>
      <w:pPr>
        <w:widowControl/>
        <w:numPr>
          <w:ilvl w:val="0"/>
          <w:numId w:val="5"/>
        </w:numPr>
        <w:spacing w:line="460" w:lineRule="exact"/>
        <w:ind w:left="0" w:leftChars="0" w:firstLine="480" w:firstLineChars="200"/>
        <w:jc w:val="left"/>
        <w:rPr>
          <w:rFonts w:hint="eastAsia" w:ascii="Times New Roman" w:hAnsi="Times New Roman" w:eastAsia="宋体" w:cs="Times New Roman"/>
          <w:color w:val="auto"/>
          <w:kern w:val="0"/>
          <w:sz w:val="24"/>
          <w:szCs w:val="24"/>
          <w:highlight w:val="none"/>
          <w:u w:color="FF0000"/>
        </w:rPr>
      </w:pPr>
      <w:r>
        <w:rPr>
          <w:rFonts w:hint="eastAsia" w:ascii="Times New Roman" w:hAnsi="Times New Roman" w:eastAsia="宋体" w:cs="Times New Roman"/>
          <w:color w:val="auto"/>
          <w:kern w:val="0"/>
          <w:sz w:val="24"/>
          <w:szCs w:val="24"/>
          <w:highlight w:val="none"/>
          <w:u w:color="FF0000"/>
        </w:rPr>
        <w:t>供应商须提供在“信用中国”（www.creditchina.gov.cn）</w:t>
      </w:r>
      <w:r>
        <w:rPr>
          <w:rFonts w:hint="eastAsia" w:ascii="Times New Roman" w:hAnsi="Times New Roman" w:eastAsia="宋体" w:cs="Times New Roman"/>
          <w:color w:val="auto"/>
          <w:kern w:val="0"/>
          <w:sz w:val="24"/>
          <w:szCs w:val="24"/>
          <w:highlight w:val="none"/>
          <w:u w:color="FF0000"/>
          <w:lang w:eastAsia="zh-CN"/>
        </w:rPr>
        <w:t>或中国政府采购网</w:t>
      </w:r>
      <w:r>
        <w:rPr>
          <w:rFonts w:hint="eastAsia" w:ascii="Times New Roman" w:hAnsi="Times New Roman" w:eastAsia="宋体" w:cs="Times New Roman"/>
          <w:color w:val="auto"/>
          <w:kern w:val="0"/>
          <w:sz w:val="24"/>
          <w:szCs w:val="24"/>
          <w:highlight w:val="none"/>
          <w:u w:color="FF0000"/>
        </w:rPr>
        <w:t>（www.ccgp.gov.cn）查询的、自本招标公告发布之日至投标截止前的信用记录的截图（截图须加盖公章）。</w:t>
      </w:r>
    </w:p>
    <w:p>
      <w:pPr>
        <w:widowControl/>
        <w:numPr>
          <w:ilvl w:val="0"/>
          <w:numId w:val="0"/>
        </w:numPr>
        <w:spacing w:line="460" w:lineRule="exact"/>
        <w:ind w:leftChars="200"/>
        <w:jc w:val="left"/>
        <w:rPr>
          <w:rFonts w:ascii="Times New Roman" w:hAnsi="Times New Roman" w:eastAsia="宋体" w:cs="Times New Roman"/>
          <w:bCs/>
          <w:color w:val="auto"/>
          <w:kern w:val="0"/>
          <w:sz w:val="24"/>
          <w:szCs w:val="24"/>
          <w:highlight w:val="none"/>
        </w:rPr>
      </w:pPr>
    </w:p>
    <w:p>
      <w:pPr>
        <w:widowControl/>
        <w:numPr>
          <w:ilvl w:val="0"/>
          <w:numId w:val="5"/>
        </w:numPr>
        <w:spacing w:line="460" w:lineRule="exact"/>
        <w:ind w:left="0" w:leftChars="0" w:firstLine="480" w:firstLineChars="200"/>
        <w:jc w:val="left"/>
        <w:rPr>
          <w:rFonts w:ascii="Times New Roman" w:hAnsi="Times New Roman" w:eastAsia="宋体" w:cs="Times New Roman"/>
          <w:bCs/>
          <w:color w:val="auto"/>
          <w:kern w:val="0"/>
          <w:sz w:val="24"/>
          <w:szCs w:val="24"/>
          <w:highlight w:val="none"/>
        </w:rPr>
      </w:pPr>
      <w:r>
        <w:rPr>
          <w:rFonts w:hint="eastAsia" w:ascii="Times New Roman" w:hAnsi="Times New Roman" w:eastAsia="宋体" w:cs="Times New Roman"/>
          <w:color w:val="auto"/>
          <w:kern w:val="0"/>
          <w:sz w:val="24"/>
          <w:szCs w:val="24"/>
          <w:highlight w:val="none"/>
          <w:u w:color="FF0000"/>
        </w:rPr>
        <w:t xml:space="preserve"> 招标文件中的其他实质性要求</w:t>
      </w:r>
    </w:p>
    <w:p>
      <w:pPr>
        <w:widowControl/>
        <w:spacing w:line="460" w:lineRule="exact"/>
        <w:jc w:val="left"/>
        <w:rPr>
          <w:rFonts w:ascii="Times New Roman" w:hAnsi="Times New Roman" w:eastAsia="宋体" w:cs="Times New Roman"/>
          <w:bCs/>
          <w:color w:val="auto"/>
          <w:kern w:val="0"/>
          <w:sz w:val="24"/>
          <w:szCs w:val="24"/>
          <w:highlight w:val="none"/>
        </w:rPr>
      </w:pPr>
    </w:p>
    <w:p>
      <w:pPr>
        <w:widowControl/>
        <w:spacing w:line="460" w:lineRule="exact"/>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br w:type="page"/>
      </w:r>
      <w:bookmarkStart w:id="58" w:name="_Toc198954448"/>
      <w:bookmarkEnd w:id="58"/>
      <w:bookmarkStart w:id="59" w:name="_Toc197181359"/>
      <w:bookmarkEnd w:id="59"/>
    </w:p>
    <w:p>
      <w:pPr>
        <w:widowControl/>
        <w:spacing w:before="312" w:beforeLines="100" w:after="312" w:afterLines="100" w:line="360" w:lineRule="auto"/>
        <w:jc w:val="center"/>
        <w:rPr>
          <w:rFonts w:ascii="黑体" w:hAnsi="黑体" w:eastAsia="黑体" w:cs="Times New Roman"/>
          <w:color w:val="auto"/>
          <w:kern w:val="0"/>
          <w:sz w:val="28"/>
          <w:szCs w:val="28"/>
          <w:highlight w:val="none"/>
          <w:u w:color="000000"/>
        </w:rPr>
      </w:pPr>
      <w:bookmarkStart w:id="60" w:name="_Toc26673"/>
      <w:bookmarkStart w:id="61" w:name="_Toc24629"/>
      <w:r>
        <w:rPr>
          <w:rFonts w:hint="eastAsia" w:ascii="黑体" w:hAnsi="黑体" w:eastAsia="黑体" w:cs="宋体"/>
          <w:bCs/>
          <w:color w:val="auto"/>
          <w:kern w:val="0"/>
          <w:sz w:val="28"/>
          <w:szCs w:val="28"/>
          <w:highlight w:val="none"/>
          <w:u w:color="000000"/>
          <w:lang w:val="zh-TW"/>
        </w:rPr>
        <w:t>法定</w:t>
      </w:r>
      <w:r>
        <w:rPr>
          <w:rFonts w:ascii="黑体" w:hAnsi="黑体" w:eastAsia="黑体" w:cs="宋体"/>
          <w:bCs/>
          <w:color w:val="auto"/>
          <w:kern w:val="0"/>
          <w:sz w:val="28"/>
          <w:szCs w:val="28"/>
          <w:highlight w:val="none"/>
          <w:u w:color="000000"/>
          <w:lang w:val="zh-TW"/>
        </w:rPr>
        <w:t>代表人</w:t>
      </w:r>
      <w:r>
        <w:rPr>
          <w:rFonts w:hint="eastAsia" w:ascii="黑体" w:hAnsi="黑体" w:eastAsia="黑体" w:cs="宋体"/>
          <w:bCs/>
          <w:color w:val="auto"/>
          <w:kern w:val="0"/>
          <w:sz w:val="28"/>
          <w:szCs w:val="28"/>
          <w:highlight w:val="none"/>
          <w:u w:color="000000"/>
          <w:lang w:val="zh-TW" w:eastAsia="zh-TW"/>
        </w:rPr>
        <w:t>授权</w:t>
      </w:r>
      <w:r>
        <w:rPr>
          <w:rFonts w:hint="eastAsia" w:ascii="黑体" w:hAnsi="黑体" w:eastAsia="黑体" w:cs="宋体"/>
          <w:bCs/>
          <w:color w:val="auto"/>
          <w:kern w:val="0"/>
          <w:sz w:val="28"/>
          <w:szCs w:val="28"/>
          <w:highlight w:val="none"/>
          <w:u w:color="000000"/>
          <w:lang w:val="zh-TW"/>
        </w:rPr>
        <w:t>委托</w:t>
      </w:r>
      <w:r>
        <w:rPr>
          <w:rFonts w:hint="eastAsia" w:ascii="黑体" w:hAnsi="黑体" w:eastAsia="黑体" w:cs="宋体"/>
          <w:bCs/>
          <w:color w:val="auto"/>
          <w:kern w:val="0"/>
          <w:sz w:val="28"/>
          <w:szCs w:val="28"/>
          <w:highlight w:val="none"/>
          <w:u w:color="000000"/>
          <w:lang w:val="zh-TW" w:eastAsia="zh-TW"/>
        </w:rPr>
        <w:t>书</w:t>
      </w:r>
    </w:p>
    <w:p>
      <w:pPr>
        <w:widowControl/>
        <w:shd w:val="clear" w:color="auto" w:fill="FFFFFF"/>
        <w:snapToGrid w:val="0"/>
        <w:spacing w:line="360" w:lineRule="auto"/>
        <w:ind w:firstLine="482"/>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本授权书声明：____________（</w:t>
      </w:r>
      <w:r>
        <w:rPr>
          <w:rFonts w:hint="eastAsia" w:ascii="Times New Roman" w:hAnsi="Times New Roman" w:eastAsia="宋体" w:cs="Times New Roman"/>
          <w:bCs/>
          <w:color w:val="auto"/>
          <w:kern w:val="0"/>
          <w:sz w:val="24"/>
          <w:szCs w:val="24"/>
          <w:highlight w:val="none"/>
        </w:rPr>
        <w:t>投标人</w:t>
      </w:r>
      <w:r>
        <w:rPr>
          <w:rFonts w:ascii="Times New Roman" w:hAnsi="Times New Roman" w:eastAsia="宋体" w:cs="Times New Roman"/>
          <w:bCs/>
          <w:color w:val="auto"/>
          <w:kern w:val="0"/>
          <w:sz w:val="24"/>
          <w:szCs w:val="24"/>
          <w:highlight w:val="none"/>
        </w:rPr>
        <w:t>名称）授权________________（被授权人的姓名、职务）为我方就</w:t>
      </w:r>
      <w:r>
        <w:rPr>
          <w:rFonts w:hint="eastAsia" w:ascii="Times New Roman" w:hAnsi="Times New Roman" w:eastAsia="宋体" w:cs="Times New Roman"/>
          <w:bCs/>
          <w:color w:val="auto"/>
          <w:kern w:val="0"/>
          <w:sz w:val="24"/>
          <w:szCs w:val="24"/>
          <w:highlight w:val="none"/>
          <w:u w:val="single"/>
          <w:lang w:eastAsia="zh-CN"/>
        </w:rPr>
        <w:t>南京铁路公安处一键点调系统</w:t>
      </w:r>
      <w:r>
        <w:rPr>
          <w:rFonts w:hint="eastAsia" w:ascii="Times New Roman" w:hAnsi="Times New Roman" w:eastAsia="宋体" w:cs="Times New Roman"/>
          <w:bCs/>
          <w:color w:val="auto"/>
          <w:kern w:val="0"/>
          <w:sz w:val="24"/>
          <w:szCs w:val="24"/>
          <w:highlight w:val="none"/>
          <w:u w:val="single"/>
        </w:rPr>
        <w:t>项目</w:t>
      </w:r>
      <w:r>
        <w:rPr>
          <w:rFonts w:ascii="Times New Roman" w:hAnsi="Times New Roman" w:eastAsia="宋体" w:cs="Times New Roman"/>
          <w:bCs/>
          <w:color w:val="auto"/>
          <w:kern w:val="0"/>
          <w:sz w:val="24"/>
          <w:szCs w:val="24"/>
          <w:highlight w:val="none"/>
        </w:rPr>
        <w:t>（</w:t>
      </w:r>
      <w:r>
        <w:rPr>
          <w:rFonts w:hint="eastAsia" w:ascii="Times New Roman" w:hAnsi="Times New Roman" w:eastAsia="宋体" w:cs="Times New Roman"/>
          <w:bCs/>
          <w:color w:val="auto"/>
          <w:kern w:val="0"/>
          <w:sz w:val="24"/>
          <w:szCs w:val="24"/>
          <w:highlight w:val="none"/>
        </w:rPr>
        <w:t>项目</w:t>
      </w:r>
      <w:r>
        <w:rPr>
          <w:rFonts w:ascii="Times New Roman" w:hAnsi="Times New Roman" w:eastAsia="宋体" w:cs="Times New Roman"/>
          <w:bCs/>
          <w:color w:val="auto"/>
          <w:kern w:val="0"/>
          <w:sz w:val="24"/>
          <w:szCs w:val="24"/>
          <w:highlight w:val="none"/>
        </w:rPr>
        <w:t>编号</w:t>
      </w:r>
      <w:r>
        <w:rPr>
          <w:rFonts w:hint="eastAsia" w:ascii="Times New Roman" w:hAnsi="Times New Roman" w:eastAsia="宋体" w:cs="Times New Roman"/>
          <w:bCs/>
          <w:color w:val="auto"/>
          <w:kern w:val="0"/>
          <w:sz w:val="24"/>
          <w:szCs w:val="24"/>
          <w:highlight w:val="none"/>
        </w:rPr>
        <w:t>：</w:t>
      </w:r>
      <w:r>
        <w:rPr>
          <w:rFonts w:hint="eastAsia" w:ascii="Times New Roman" w:hAnsi="Times New Roman" w:eastAsia="宋体" w:cs="Times New Roman"/>
          <w:bCs/>
          <w:color w:val="auto"/>
          <w:kern w:val="0"/>
          <w:sz w:val="24"/>
          <w:szCs w:val="24"/>
          <w:highlight w:val="none"/>
          <w:lang w:val="en-US" w:eastAsia="zh-CN"/>
        </w:rPr>
        <w:t xml:space="preserve">    </w:t>
      </w:r>
      <w:r>
        <w:rPr>
          <w:rFonts w:ascii="Times New Roman" w:hAnsi="Times New Roman" w:eastAsia="宋体" w:cs="Times New Roman"/>
          <w:bCs/>
          <w:color w:val="auto"/>
          <w:kern w:val="0"/>
          <w:sz w:val="24"/>
          <w:szCs w:val="24"/>
          <w:highlight w:val="none"/>
        </w:rPr>
        <w:t>）采购活动的合法代理人，以本单位名义全权处理一切与该项目采购有关的事务。</w:t>
      </w:r>
    </w:p>
    <w:p>
      <w:pPr>
        <w:widowControl/>
        <w:shd w:val="clear" w:color="auto" w:fill="FFFFFF"/>
        <w:snapToGrid w:val="0"/>
        <w:spacing w:line="360" w:lineRule="auto"/>
        <w:ind w:firstLine="482"/>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本授权书于______年____月____日起生效，特此声明。</w:t>
      </w:r>
    </w:p>
    <w:p>
      <w:pPr>
        <w:widowControl/>
        <w:shd w:val="clear" w:color="auto" w:fill="FFFFFF"/>
        <w:snapToGrid w:val="0"/>
        <w:spacing w:line="360" w:lineRule="auto"/>
        <w:ind w:firstLine="480"/>
        <w:jc w:val="left"/>
        <w:rPr>
          <w:rFonts w:ascii="Times New Roman" w:hAnsi="Times New Roman" w:eastAsia="宋体" w:cs="Times New Roman"/>
          <w:bCs/>
          <w:color w:val="auto"/>
          <w:kern w:val="0"/>
          <w:sz w:val="24"/>
          <w:szCs w:val="24"/>
          <w:highlight w:val="none"/>
        </w:rPr>
      </w:pPr>
    </w:p>
    <w:p>
      <w:pPr>
        <w:widowControl/>
        <w:shd w:val="clear" w:color="auto" w:fill="FFFFFF"/>
        <w:snapToGrid w:val="0"/>
        <w:spacing w:line="360" w:lineRule="auto"/>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 xml:space="preserve">         授权单位盖章：_________________________________</w:t>
      </w:r>
    </w:p>
    <w:p>
      <w:pPr>
        <w:widowControl/>
        <w:shd w:val="clear" w:color="auto" w:fill="FFFFFF"/>
        <w:snapToGrid w:val="0"/>
        <w:spacing w:line="360" w:lineRule="auto"/>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 xml:space="preserve">         单位名称：_____________________________________</w:t>
      </w:r>
    </w:p>
    <w:p>
      <w:pPr>
        <w:widowControl/>
        <w:shd w:val="clear" w:color="auto" w:fill="FFFFFF"/>
        <w:snapToGrid w:val="0"/>
        <w:spacing w:line="360" w:lineRule="auto"/>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 xml:space="preserve">         法人签字：_____________________________________</w:t>
      </w:r>
    </w:p>
    <w:p>
      <w:pPr>
        <w:widowControl/>
        <w:shd w:val="clear" w:color="auto" w:fill="FFFFFF"/>
        <w:snapToGrid w:val="0"/>
        <w:spacing w:line="360" w:lineRule="auto"/>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 xml:space="preserve">         代理人（被授权人）签字：_______________________</w:t>
      </w:r>
    </w:p>
    <w:p>
      <w:pPr>
        <w:widowControl/>
        <w:shd w:val="clear" w:color="auto" w:fill="FFFFFF"/>
        <w:snapToGrid w:val="0"/>
        <w:spacing w:line="360" w:lineRule="auto"/>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 xml:space="preserve">         职    务：_____________________________________</w:t>
      </w:r>
    </w:p>
    <w:p>
      <w:pPr>
        <w:widowControl/>
        <w:shd w:val="clear" w:color="auto" w:fill="FFFFFF"/>
        <w:snapToGrid w:val="0"/>
        <w:spacing w:line="360" w:lineRule="auto"/>
        <w:ind w:firstLine="1200" w:firstLineChars="500"/>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地址：</w:t>
      </w:r>
    </w:p>
    <w:p>
      <w:pPr>
        <w:widowControl/>
        <w:shd w:val="clear" w:color="auto" w:fill="FFFFFF"/>
        <w:snapToGrid w:val="0"/>
        <w:spacing w:line="360" w:lineRule="auto"/>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bCs/>
          <w:color w:val="auto"/>
          <w:kern w:val="0"/>
          <w:sz w:val="24"/>
          <w:szCs w:val="24"/>
          <w:highlight w:val="none"/>
        </w:rPr>
        <w:t xml:space="preserve">         日期：______年____月____日</w:t>
      </w:r>
    </w:p>
    <w:p>
      <w:pPr>
        <w:widowControl/>
        <w:spacing w:line="360" w:lineRule="auto"/>
        <w:jc w:val="left"/>
        <w:rPr>
          <w:rFonts w:ascii="宋体" w:hAnsi="宋体" w:eastAsia="宋体" w:cs="宋体"/>
          <w:b/>
          <w:bCs/>
          <w:color w:val="auto"/>
          <w:kern w:val="11"/>
          <w:sz w:val="24"/>
          <w:szCs w:val="21"/>
          <w:highlight w:val="none"/>
          <w:u w:val="single" w:color="000000"/>
          <w:lang w:val="zh-TW"/>
        </w:rPr>
      </w:pPr>
    </w:p>
    <w:p>
      <w:pPr>
        <w:widowControl/>
        <w:spacing w:line="360" w:lineRule="auto"/>
        <w:ind w:right="420"/>
        <w:jc w:val="left"/>
        <w:rPr>
          <w:rFonts w:ascii="宋体" w:hAnsi="宋体" w:eastAsia="Microsoft JhengHei UI" w:cs="宋体"/>
          <w:color w:val="auto"/>
          <w:kern w:val="0"/>
          <w:sz w:val="24"/>
          <w:szCs w:val="21"/>
          <w:highlight w:val="none"/>
          <w:u w:color="000000"/>
          <w:lang w:val="zh-TW" w:eastAsia="zh-TW"/>
        </w:rPr>
      </w:pPr>
    </w:p>
    <w:p>
      <w:pPr>
        <w:rPr>
          <w:rFonts w:ascii="Times New Roman" w:hAnsi="Times New Roman" w:eastAsia="宋体" w:cs="Times New Roman"/>
          <w:color w:val="auto"/>
          <w:sz w:val="24"/>
          <w:szCs w:val="24"/>
          <w:highlight w:val="none"/>
        </w:rPr>
      </w:pPr>
      <w:r>
        <w:rPr>
          <w:rFonts w:hint="eastAsia" w:ascii="宋体" w:hAnsi="宋体" w:eastAsia="宋体" w:cs="宋体"/>
          <w:b/>
          <w:color w:val="auto"/>
          <w:sz w:val="24"/>
          <w:szCs w:val="21"/>
          <w:highlight w:val="none"/>
          <w:u w:color="000000"/>
          <w:lang w:val="zh-TW" w:eastAsia="zh-TW"/>
        </w:rPr>
        <w:t>注：</w:t>
      </w:r>
      <w:r>
        <w:rPr>
          <w:rFonts w:hint="eastAsia" w:ascii="宋体" w:hAnsi="宋体" w:eastAsia="宋体" w:cs="宋体"/>
          <w:b/>
          <w:color w:val="auto"/>
          <w:sz w:val="24"/>
          <w:szCs w:val="21"/>
          <w:highlight w:val="none"/>
          <w:u w:color="000000"/>
          <w:lang w:val="zh-TW"/>
        </w:rPr>
        <w:t>代理</w:t>
      </w:r>
      <w:r>
        <w:rPr>
          <w:rFonts w:hint="eastAsia" w:ascii="宋体" w:hAnsi="宋体" w:eastAsia="宋体" w:cs="宋体"/>
          <w:b/>
          <w:color w:val="auto"/>
          <w:sz w:val="24"/>
          <w:szCs w:val="21"/>
          <w:highlight w:val="none"/>
          <w:u w:color="000000"/>
          <w:lang w:val="zh-TW" w:eastAsia="zh-TW"/>
        </w:rPr>
        <w:t>人应持本</w:t>
      </w:r>
      <w:r>
        <w:rPr>
          <w:rFonts w:hint="eastAsia" w:ascii="宋体" w:hAnsi="宋体" w:eastAsia="宋体" w:cs="宋体"/>
          <w:b/>
          <w:color w:val="auto"/>
          <w:sz w:val="24"/>
          <w:szCs w:val="21"/>
          <w:highlight w:val="none"/>
          <w:u w:color="000000"/>
          <w:lang w:val="zh-TW"/>
        </w:rPr>
        <w:t>授权书</w:t>
      </w:r>
      <w:r>
        <w:rPr>
          <w:rFonts w:hint="eastAsia" w:ascii="宋体" w:hAnsi="宋体" w:eastAsia="宋体" w:cs="宋体"/>
          <w:b/>
          <w:color w:val="auto"/>
          <w:sz w:val="24"/>
          <w:szCs w:val="21"/>
          <w:highlight w:val="none"/>
          <w:u w:color="000000"/>
          <w:lang w:val="zh-TW" w:eastAsia="zh-TW"/>
        </w:rPr>
        <w:t>参加</w:t>
      </w:r>
      <w:r>
        <w:rPr>
          <w:rFonts w:hint="eastAsia" w:ascii="宋体" w:hAnsi="宋体" w:eastAsia="宋体" w:cs="宋体"/>
          <w:b/>
          <w:color w:val="auto"/>
          <w:sz w:val="24"/>
          <w:szCs w:val="21"/>
          <w:highlight w:val="none"/>
          <w:u w:color="000000"/>
          <w:lang w:val="zh-TW"/>
        </w:rPr>
        <w:t>投标</w:t>
      </w:r>
      <w:r>
        <w:rPr>
          <w:rFonts w:hint="eastAsia" w:ascii="宋体" w:hAnsi="宋体" w:eastAsia="宋体" w:cs="宋体"/>
          <w:b/>
          <w:color w:val="auto"/>
          <w:sz w:val="24"/>
          <w:szCs w:val="21"/>
          <w:highlight w:val="none"/>
          <w:u w:color="000000"/>
          <w:lang w:val="zh-TW" w:eastAsia="zh-TW"/>
        </w:rPr>
        <w:t>，并提供一份原件在</w:t>
      </w:r>
      <w:r>
        <w:rPr>
          <w:rFonts w:hint="eastAsia" w:ascii="宋体" w:hAnsi="宋体" w:eastAsia="宋体" w:cs="宋体"/>
          <w:b/>
          <w:color w:val="auto"/>
          <w:sz w:val="24"/>
          <w:szCs w:val="21"/>
          <w:highlight w:val="none"/>
          <w:u w:color="000000"/>
          <w:lang w:val="zh-TW"/>
        </w:rPr>
        <w:t>投标</w:t>
      </w:r>
      <w:r>
        <w:rPr>
          <w:rFonts w:hint="eastAsia" w:ascii="宋体" w:hAnsi="宋体" w:eastAsia="宋体" w:cs="宋体"/>
          <w:b/>
          <w:color w:val="auto"/>
          <w:sz w:val="24"/>
          <w:szCs w:val="21"/>
          <w:highlight w:val="none"/>
          <w:u w:color="000000"/>
          <w:lang w:val="zh-TW" w:eastAsia="zh-TW"/>
        </w:rPr>
        <w:t>文件中</w:t>
      </w:r>
      <w:r>
        <w:rPr>
          <w:rFonts w:hint="eastAsia" w:ascii="宋体" w:hAnsi="宋体" w:eastAsia="宋体" w:cs="宋体"/>
          <w:b/>
          <w:color w:val="auto"/>
          <w:sz w:val="24"/>
          <w:szCs w:val="21"/>
          <w:highlight w:val="none"/>
          <w:u w:color="000000"/>
          <w:lang w:val="zh-TW"/>
        </w:rPr>
        <w:t>。</w:t>
      </w: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宋体" w:cs="宋体"/>
          <w:color w:val="auto"/>
          <w:kern w:val="0"/>
          <w:sz w:val="24"/>
          <w:szCs w:val="24"/>
          <w:highlight w:val="none"/>
          <w:u w:color="000000"/>
          <w:lang w:val="zh-TW" w:eastAsia="zh-TW"/>
        </w:rPr>
      </w:pPr>
    </w:p>
    <w:p>
      <w:pPr>
        <w:widowControl/>
        <w:snapToGrid w:val="0"/>
        <w:spacing w:line="360" w:lineRule="auto"/>
        <w:jc w:val="left"/>
        <w:rPr>
          <w:rFonts w:ascii="宋体" w:hAnsi="宋体" w:eastAsia="Microsoft JhengHei UI" w:cs="宋体"/>
          <w:color w:val="auto"/>
          <w:kern w:val="0"/>
          <w:sz w:val="24"/>
          <w:szCs w:val="24"/>
          <w:highlight w:val="none"/>
          <w:u w:color="000000"/>
          <w:lang w:val="zh-TW"/>
        </w:rPr>
      </w:pPr>
      <w:r>
        <w:rPr>
          <w:rFonts w:hint="eastAsia" w:ascii="宋体" w:hAnsi="宋体" w:eastAsia="宋体" w:cs="宋体"/>
          <w:color w:val="auto"/>
          <w:kern w:val="0"/>
          <w:sz w:val="24"/>
          <w:szCs w:val="24"/>
          <w:highlight w:val="none"/>
          <w:u w:color="000000"/>
          <w:lang w:val="zh-TW" w:eastAsia="zh-TW"/>
        </w:rPr>
        <w:t>附：</w:t>
      </w:r>
      <w:r>
        <w:rPr>
          <w:rFonts w:ascii="Times New Roman" w:hAnsi="Times New Roman" w:eastAsia="宋体" w:cs="Times New Roman"/>
          <w:bCs/>
          <w:color w:val="auto"/>
          <w:kern w:val="0"/>
          <w:sz w:val="24"/>
          <w:szCs w:val="24"/>
          <w:highlight w:val="none"/>
        </w:rPr>
        <w:t>法人</w:t>
      </w:r>
      <w:r>
        <w:rPr>
          <w:rFonts w:hint="eastAsia" w:ascii="宋体" w:hAnsi="宋体" w:eastAsia="宋体" w:cs="宋体"/>
          <w:color w:val="auto"/>
          <w:kern w:val="0"/>
          <w:sz w:val="24"/>
          <w:szCs w:val="24"/>
          <w:highlight w:val="none"/>
          <w:u w:color="000000"/>
          <w:lang w:val="zh-TW" w:eastAsia="zh-TW"/>
        </w:rPr>
        <w:t>身份证复印件</w:t>
      </w:r>
      <w:r>
        <w:rPr>
          <w:rFonts w:hint="eastAsia" w:ascii="宋体" w:hAnsi="宋体" w:eastAsia="宋体" w:cs="宋体"/>
          <w:color w:val="auto"/>
          <w:kern w:val="0"/>
          <w:sz w:val="24"/>
          <w:szCs w:val="24"/>
          <w:highlight w:val="none"/>
          <w:u w:color="000000"/>
          <w:lang w:val="zh-TW"/>
        </w:rPr>
        <w:t>（</w:t>
      </w:r>
      <w:r>
        <w:rPr>
          <w:rFonts w:hint="eastAsia" w:ascii="宋体" w:hAnsi="宋体" w:eastAsia="宋体" w:cs="宋体"/>
          <w:color w:val="auto"/>
          <w:kern w:val="0"/>
          <w:sz w:val="24"/>
          <w:szCs w:val="24"/>
          <w:highlight w:val="none"/>
          <w:u w:color="000000"/>
          <w:lang w:val="zh-TW" w:eastAsia="zh-TW"/>
        </w:rPr>
        <w:t>需同时提供正面及背面</w:t>
      </w:r>
      <w:r>
        <w:rPr>
          <w:rFonts w:hint="eastAsia" w:ascii="宋体" w:hAnsi="宋体" w:eastAsia="宋体" w:cs="宋体"/>
          <w:color w:val="auto"/>
          <w:kern w:val="0"/>
          <w:sz w:val="24"/>
          <w:szCs w:val="24"/>
          <w:highlight w:val="none"/>
          <w:u w:color="000000"/>
          <w:lang w:val="zh-TW"/>
        </w:rPr>
        <w:t>）</w:t>
      </w:r>
    </w:p>
    <w:tbl>
      <w:tblPr>
        <w:tblStyle w:val="30"/>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00" w:hRule="atLeast"/>
          <w:jc w:val="center"/>
        </w:trPr>
        <w:tc>
          <w:tcPr>
            <w:tcW w:w="400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default" w:ascii="Times New Roman" w:hAnsi="Times New Roman" w:eastAsia="宋体" w:cs="Times New Roman"/>
                <w:bCs/>
                <w:color w:val="auto"/>
                <w:sz w:val="24"/>
                <w:szCs w:val="24"/>
                <w:highlight w:val="none"/>
              </w:rPr>
              <w:t>法人</w:t>
            </w:r>
            <w:r>
              <w:rPr>
                <w:rFonts w:hint="eastAsia" w:ascii="宋体" w:hAnsi="宋体" w:eastAsia="宋体" w:cs="宋体"/>
                <w:color w:val="auto"/>
                <w:sz w:val="24"/>
                <w:szCs w:val="24"/>
                <w:highlight w:val="none"/>
              </w:rPr>
              <w:t>身份证复印件正面</w:t>
            </w:r>
          </w:p>
        </w:tc>
        <w:tc>
          <w:tcPr>
            <w:tcW w:w="400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default" w:ascii="Times New Roman" w:hAnsi="Times New Roman" w:eastAsia="宋体" w:cs="Times New Roman"/>
                <w:bCs/>
                <w:color w:val="auto"/>
                <w:sz w:val="24"/>
                <w:szCs w:val="24"/>
                <w:highlight w:val="none"/>
              </w:rPr>
              <w:t>法人</w:t>
            </w:r>
            <w:r>
              <w:rPr>
                <w:rFonts w:hint="eastAsia" w:ascii="宋体" w:hAnsi="宋体" w:eastAsia="宋体" w:cs="宋体"/>
                <w:color w:val="auto"/>
                <w:sz w:val="24"/>
                <w:szCs w:val="24"/>
                <w:highlight w:val="none"/>
              </w:rPr>
              <w:t>身份证复印件背面</w:t>
            </w:r>
          </w:p>
        </w:tc>
      </w:tr>
    </w:tbl>
    <w:p>
      <w:pPr>
        <w:widowControl/>
        <w:snapToGrid w:val="0"/>
        <w:spacing w:line="360" w:lineRule="auto"/>
        <w:ind w:firstLine="482"/>
        <w:jc w:val="left"/>
        <w:rPr>
          <w:rFonts w:ascii="宋体" w:hAnsi="宋体" w:eastAsia="Microsoft JhengHei UI" w:cs="宋体"/>
          <w:color w:val="auto"/>
          <w:kern w:val="0"/>
          <w:sz w:val="24"/>
          <w:szCs w:val="24"/>
          <w:highlight w:val="none"/>
          <w:u w:color="000000"/>
          <w:lang w:eastAsia="zh-TW"/>
        </w:rPr>
      </w:pPr>
    </w:p>
    <w:p>
      <w:pPr>
        <w:widowControl/>
        <w:snapToGrid w:val="0"/>
        <w:spacing w:line="360" w:lineRule="auto"/>
        <w:ind w:firstLine="482"/>
        <w:jc w:val="left"/>
        <w:rPr>
          <w:rFonts w:ascii="宋体" w:hAnsi="宋体" w:eastAsia="Microsoft JhengHei UI" w:cs="宋体"/>
          <w:color w:val="auto"/>
          <w:kern w:val="0"/>
          <w:sz w:val="24"/>
          <w:szCs w:val="24"/>
          <w:highlight w:val="none"/>
          <w:u w:color="000000"/>
          <w:lang w:eastAsia="zh-TW"/>
        </w:rPr>
      </w:pPr>
    </w:p>
    <w:p>
      <w:pPr>
        <w:widowControl/>
        <w:snapToGrid w:val="0"/>
        <w:spacing w:line="360" w:lineRule="auto"/>
        <w:ind w:firstLine="482"/>
        <w:jc w:val="left"/>
        <w:rPr>
          <w:rFonts w:ascii="宋体" w:hAnsi="宋体" w:eastAsia="Microsoft JhengHei UI" w:cs="宋体"/>
          <w:color w:val="auto"/>
          <w:kern w:val="0"/>
          <w:sz w:val="24"/>
          <w:szCs w:val="24"/>
          <w:highlight w:val="none"/>
          <w:u w:color="000000"/>
          <w:lang w:val="zh-TW"/>
        </w:rPr>
      </w:pPr>
      <w:r>
        <w:rPr>
          <w:rFonts w:hint="eastAsia" w:ascii="宋体" w:hAnsi="宋体" w:eastAsia="宋体" w:cs="宋体"/>
          <w:color w:val="auto"/>
          <w:kern w:val="0"/>
          <w:sz w:val="24"/>
          <w:szCs w:val="24"/>
          <w:highlight w:val="none"/>
          <w:u w:color="000000"/>
          <w:lang w:val="zh-TW" w:eastAsia="zh-TW"/>
        </w:rPr>
        <w:t>附：委托代理人身份证复印件</w:t>
      </w:r>
      <w:r>
        <w:rPr>
          <w:rFonts w:hint="eastAsia" w:ascii="宋体" w:hAnsi="宋体" w:eastAsia="宋体" w:cs="宋体"/>
          <w:color w:val="auto"/>
          <w:kern w:val="0"/>
          <w:sz w:val="24"/>
          <w:szCs w:val="24"/>
          <w:highlight w:val="none"/>
          <w:u w:color="000000"/>
          <w:lang w:val="zh-TW"/>
        </w:rPr>
        <w:t>（</w:t>
      </w:r>
      <w:r>
        <w:rPr>
          <w:rFonts w:hint="eastAsia" w:ascii="宋体" w:hAnsi="宋体" w:eastAsia="宋体" w:cs="宋体"/>
          <w:color w:val="auto"/>
          <w:kern w:val="0"/>
          <w:sz w:val="24"/>
          <w:szCs w:val="24"/>
          <w:highlight w:val="none"/>
          <w:u w:color="000000"/>
          <w:lang w:val="zh-TW" w:eastAsia="zh-TW"/>
        </w:rPr>
        <w:t>需同时提供正面及背面</w:t>
      </w:r>
      <w:r>
        <w:rPr>
          <w:rFonts w:hint="eastAsia" w:ascii="宋体" w:hAnsi="宋体" w:eastAsia="宋体" w:cs="宋体"/>
          <w:color w:val="auto"/>
          <w:kern w:val="0"/>
          <w:sz w:val="24"/>
          <w:szCs w:val="24"/>
          <w:highlight w:val="none"/>
          <w:u w:color="000000"/>
          <w:lang w:val="zh-TW"/>
        </w:rPr>
        <w:t>）</w:t>
      </w:r>
    </w:p>
    <w:tbl>
      <w:tblPr>
        <w:tblStyle w:val="30"/>
        <w:tblW w:w="8002"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001"/>
        <w:gridCol w:w="400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93" w:hRule="atLeast"/>
          <w:jc w:val="center"/>
        </w:trPr>
        <w:tc>
          <w:tcPr>
            <w:tcW w:w="400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u w:color="000000"/>
                <w:lang w:val="zh-TW" w:eastAsia="zh-TW"/>
              </w:rPr>
              <w:t>代理人</w:t>
            </w:r>
            <w:r>
              <w:rPr>
                <w:rFonts w:hint="eastAsia" w:ascii="宋体" w:hAnsi="宋体" w:eastAsia="宋体" w:cs="宋体"/>
                <w:color w:val="auto"/>
                <w:sz w:val="24"/>
                <w:szCs w:val="24"/>
                <w:highlight w:val="none"/>
              </w:rPr>
              <w:t>身份证复印件正面</w:t>
            </w:r>
          </w:p>
        </w:tc>
        <w:tc>
          <w:tcPr>
            <w:tcW w:w="400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u w:color="000000"/>
                <w:lang w:val="zh-TW" w:eastAsia="zh-TW"/>
              </w:rPr>
              <w:t>代理人</w:t>
            </w:r>
            <w:r>
              <w:rPr>
                <w:rFonts w:hint="eastAsia" w:ascii="宋体" w:hAnsi="宋体" w:eastAsia="宋体" w:cs="宋体"/>
                <w:color w:val="auto"/>
                <w:sz w:val="24"/>
                <w:szCs w:val="24"/>
                <w:highlight w:val="none"/>
              </w:rPr>
              <w:t>身份证复印件背面</w:t>
            </w:r>
          </w:p>
        </w:tc>
      </w:tr>
    </w:tbl>
    <w:p>
      <w:pPr>
        <w:widowControl/>
        <w:jc w:val="left"/>
        <w:rPr>
          <w:rFonts w:ascii="宋体" w:hAnsi="宋体" w:eastAsia="宋体" w:cs="宋体"/>
          <w:color w:val="auto"/>
          <w:kern w:val="0"/>
          <w:sz w:val="24"/>
          <w:szCs w:val="24"/>
          <w:highlight w:val="none"/>
        </w:rPr>
      </w:pPr>
    </w:p>
    <w:p>
      <w:pPr>
        <w:widowControl/>
        <w:spacing w:before="156" w:beforeLines="50" w:after="156" w:afterLines="50" w:line="360" w:lineRule="auto"/>
        <w:jc w:val="center"/>
        <w:rPr>
          <w:rFonts w:ascii="宋体" w:hAnsi="宋体" w:eastAsia="宋体" w:cs="宋体"/>
          <w:color w:val="auto"/>
          <w:kern w:val="0"/>
          <w:sz w:val="24"/>
          <w:szCs w:val="24"/>
          <w:highlight w:val="none"/>
          <w:u w:color="000000"/>
        </w:rPr>
      </w:pPr>
    </w:p>
    <w:p>
      <w:pPr>
        <w:widowControl/>
        <w:spacing w:before="156" w:beforeLines="50" w:after="156" w:afterLines="50" w:line="360" w:lineRule="auto"/>
        <w:jc w:val="center"/>
        <w:rPr>
          <w:rFonts w:ascii="宋体" w:hAnsi="宋体" w:eastAsia="宋体" w:cs="宋体"/>
          <w:color w:val="auto"/>
          <w:kern w:val="0"/>
          <w:sz w:val="24"/>
          <w:szCs w:val="24"/>
          <w:highlight w:val="none"/>
          <w:u w:color="000000"/>
        </w:rPr>
      </w:pPr>
    </w:p>
    <w:p>
      <w:pPr>
        <w:widowControl/>
        <w:spacing w:before="156" w:beforeLines="50" w:after="156" w:afterLines="50" w:line="360" w:lineRule="auto"/>
        <w:jc w:val="center"/>
        <w:rPr>
          <w:rFonts w:ascii="宋体" w:hAnsi="宋体" w:eastAsia="宋体" w:cs="宋体"/>
          <w:color w:val="auto"/>
          <w:kern w:val="0"/>
          <w:sz w:val="24"/>
          <w:szCs w:val="24"/>
          <w:highlight w:val="none"/>
          <w:u w:color="000000"/>
        </w:rPr>
      </w:pPr>
    </w:p>
    <w:p>
      <w:pPr>
        <w:widowControl/>
        <w:spacing w:before="156" w:beforeLines="50" w:after="156" w:afterLines="50" w:line="360" w:lineRule="auto"/>
        <w:jc w:val="center"/>
        <w:rPr>
          <w:rFonts w:ascii="宋体" w:hAnsi="宋体" w:eastAsia="宋体" w:cs="宋体"/>
          <w:color w:val="auto"/>
          <w:kern w:val="0"/>
          <w:sz w:val="24"/>
          <w:szCs w:val="24"/>
          <w:highlight w:val="none"/>
          <w:u w:color="000000"/>
        </w:rPr>
      </w:pPr>
    </w:p>
    <w:p>
      <w:pPr>
        <w:widowControl/>
        <w:spacing w:before="156" w:beforeLines="50" w:after="156" w:afterLines="50" w:line="360" w:lineRule="auto"/>
        <w:jc w:val="center"/>
        <w:rPr>
          <w:rFonts w:ascii="宋体" w:hAnsi="宋体" w:eastAsia="宋体" w:cs="宋体"/>
          <w:color w:val="auto"/>
          <w:kern w:val="0"/>
          <w:sz w:val="24"/>
          <w:szCs w:val="24"/>
          <w:highlight w:val="none"/>
          <w:u w:color="000000"/>
        </w:rPr>
      </w:pPr>
    </w:p>
    <w:p>
      <w:pPr>
        <w:widowControl/>
        <w:spacing w:before="156" w:beforeLines="50" w:after="156" w:afterLines="50" w:line="360" w:lineRule="auto"/>
        <w:jc w:val="center"/>
        <w:rPr>
          <w:rFonts w:ascii="宋体" w:hAnsi="宋体" w:eastAsia="宋体" w:cs="宋体"/>
          <w:color w:val="auto"/>
          <w:kern w:val="0"/>
          <w:sz w:val="24"/>
          <w:szCs w:val="24"/>
          <w:highlight w:val="none"/>
          <w:u w:color="000000"/>
        </w:rPr>
      </w:pPr>
    </w:p>
    <w:p>
      <w:pPr>
        <w:widowControl/>
        <w:spacing w:before="156" w:beforeLines="50" w:after="156" w:afterLines="50" w:line="360" w:lineRule="auto"/>
        <w:rPr>
          <w:rFonts w:ascii="宋体" w:hAnsi="宋体" w:eastAsia="宋体" w:cs="宋体"/>
          <w:color w:val="auto"/>
          <w:kern w:val="0"/>
          <w:sz w:val="24"/>
          <w:szCs w:val="24"/>
          <w:highlight w:val="none"/>
          <w:u w:color="000000"/>
        </w:rPr>
      </w:pPr>
    </w:p>
    <w:p>
      <w:pPr>
        <w:rPr>
          <w:rFonts w:ascii="黑体" w:hAnsi="黑体" w:eastAsia="黑体" w:cs="Times New Roman"/>
          <w:color w:val="auto"/>
          <w:kern w:val="0"/>
          <w:sz w:val="28"/>
          <w:szCs w:val="21"/>
          <w:highlight w:val="none"/>
          <w:u w:color="FF0000"/>
        </w:rPr>
      </w:pPr>
      <w:r>
        <w:rPr>
          <w:rFonts w:hint="eastAsia" w:ascii="黑体" w:hAnsi="黑体" w:eastAsia="黑体" w:cs="Times New Roman"/>
          <w:color w:val="auto"/>
          <w:kern w:val="0"/>
          <w:sz w:val="28"/>
          <w:szCs w:val="21"/>
          <w:highlight w:val="none"/>
          <w:u w:color="FF0000"/>
        </w:rPr>
        <w:br w:type="page"/>
      </w:r>
    </w:p>
    <w:p>
      <w:pPr>
        <w:widowControl/>
        <w:spacing w:before="156" w:beforeLines="50" w:after="156" w:afterLines="50" w:line="360" w:lineRule="auto"/>
        <w:jc w:val="center"/>
        <w:rPr>
          <w:rFonts w:ascii="黑体" w:hAnsi="黑体" w:eastAsia="黑体" w:cs="Times New Roman"/>
          <w:color w:val="auto"/>
          <w:kern w:val="0"/>
          <w:sz w:val="28"/>
          <w:szCs w:val="21"/>
          <w:highlight w:val="none"/>
          <w:u w:color="FF0000"/>
        </w:rPr>
      </w:pPr>
      <w:r>
        <w:rPr>
          <w:rFonts w:hint="eastAsia" w:ascii="黑体" w:hAnsi="黑体" w:eastAsia="黑体" w:cs="Times New Roman"/>
          <w:color w:val="auto"/>
          <w:kern w:val="0"/>
          <w:sz w:val="28"/>
          <w:szCs w:val="21"/>
          <w:highlight w:val="none"/>
          <w:u w:color="FF0000"/>
        </w:rPr>
        <w:t>具备履行合同所必需的设备和专业技术能力的书面声明</w:t>
      </w:r>
      <w:bookmarkEnd w:id="60"/>
      <w:bookmarkEnd w:id="61"/>
    </w:p>
    <w:p>
      <w:pPr>
        <w:widowControl/>
        <w:spacing w:line="460" w:lineRule="exact"/>
        <w:ind w:firstLine="492"/>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我公司郑重声明：我公司具备履行本项采购合同所必需的设备和专业技术能力，为履行本项采购合同我公司具备如下主要设备和主要专业技术能力：</w:t>
      </w:r>
    </w:p>
    <w:p>
      <w:pPr>
        <w:widowControl/>
        <w:spacing w:line="460" w:lineRule="exact"/>
        <w:ind w:firstLine="492"/>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主要设备有：  。</w:t>
      </w:r>
    </w:p>
    <w:p>
      <w:pPr>
        <w:widowControl/>
        <w:spacing w:line="460" w:lineRule="exact"/>
        <w:ind w:firstLine="492"/>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主要专业技术能力有：   。</w:t>
      </w:r>
    </w:p>
    <w:p>
      <w:pPr>
        <w:widowControl/>
        <w:spacing w:line="460" w:lineRule="exact"/>
        <w:ind w:firstLine="492"/>
        <w:jc w:val="left"/>
        <w:rPr>
          <w:rFonts w:ascii="Times New Roman" w:hAnsi="Times New Roman" w:eastAsia="宋体" w:cs="Times New Roman"/>
          <w:bCs/>
          <w:color w:val="auto"/>
          <w:kern w:val="0"/>
          <w:sz w:val="24"/>
          <w:szCs w:val="24"/>
          <w:highlight w:val="none"/>
        </w:rPr>
      </w:pPr>
    </w:p>
    <w:p>
      <w:pPr>
        <w:widowControl/>
        <w:adjustRightInd w:val="0"/>
        <w:snapToGrid w:val="0"/>
        <w:spacing w:line="420" w:lineRule="exact"/>
        <w:ind w:firstLine="4320" w:firstLineChars="18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声明人：</w:t>
      </w:r>
    </w:p>
    <w:p>
      <w:pPr>
        <w:widowControl/>
        <w:adjustRightInd w:val="0"/>
        <w:snapToGrid w:val="0"/>
        <w:spacing w:line="420" w:lineRule="exact"/>
        <w:ind w:firstLine="4320" w:firstLineChars="1800"/>
        <w:jc w:val="left"/>
        <w:rPr>
          <w:rFonts w:ascii="Times New Roman" w:hAnsi="Times New Roman" w:eastAsia="宋体" w:cs="Times New Roman"/>
          <w:color w:val="auto"/>
          <w:kern w:val="0"/>
          <w:sz w:val="24"/>
          <w:szCs w:val="24"/>
          <w:highlight w:val="none"/>
          <w:u w:val="single"/>
        </w:rPr>
      </w:pPr>
      <w:r>
        <w:rPr>
          <w:rFonts w:ascii="Times New Roman" w:hAnsi="Times New Roman" w:eastAsia="宋体" w:cs="Times New Roman"/>
          <w:color w:val="auto"/>
          <w:kern w:val="0"/>
          <w:sz w:val="24"/>
          <w:szCs w:val="24"/>
          <w:highlight w:val="none"/>
        </w:rPr>
        <w:t>法定代表人</w:t>
      </w:r>
      <w:r>
        <w:rPr>
          <w:rFonts w:ascii="Times New Roman" w:hAnsi="Times New Roman" w:eastAsia="宋体" w:cs="Times New Roman"/>
          <w:bCs/>
          <w:color w:val="auto"/>
          <w:kern w:val="0"/>
          <w:sz w:val="24"/>
          <w:szCs w:val="24"/>
          <w:highlight w:val="none"/>
        </w:rPr>
        <w:t>（被授权人）</w:t>
      </w:r>
      <w:r>
        <w:rPr>
          <w:rFonts w:ascii="Times New Roman" w:hAnsi="Times New Roman" w:eastAsia="宋体" w:cs="Times New Roman"/>
          <w:color w:val="auto"/>
          <w:kern w:val="0"/>
          <w:sz w:val="24"/>
          <w:szCs w:val="24"/>
          <w:highlight w:val="none"/>
        </w:rPr>
        <w:t>签字：</w:t>
      </w:r>
    </w:p>
    <w:p>
      <w:pPr>
        <w:widowControl/>
        <w:adjustRightInd w:val="0"/>
        <w:snapToGrid w:val="0"/>
        <w:spacing w:line="420" w:lineRule="exact"/>
        <w:ind w:firstLine="4320" w:firstLineChars="18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bCs/>
          <w:color w:val="auto"/>
          <w:kern w:val="0"/>
          <w:sz w:val="24"/>
          <w:szCs w:val="24"/>
          <w:highlight w:val="none"/>
        </w:rPr>
        <w:t>日期：年月日</w:t>
      </w:r>
    </w:p>
    <w:p>
      <w:pPr>
        <w:widowControl/>
        <w:spacing w:line="460" w:lineRule="exact"/>
        <w:jc w:val="center"/>
        <w:rPr>
          <w:rFonts w:ascii="Times New Roman" w:hAnsi="Times New Roman" w:eastAsia="宋体" w:cs="Times New Roman"/>
          <w:b/>
          <w:color w:val="auto"/>
          <w:kern w:val="0"/>
          <w:sz w:val="32"/>
          <w:szCs w:val="32"/>
          <w:highlight w:val="none"/>
        </w:rPr>
      </w:pPr>
      <w:r>
        <w:rPr>
          <w:rFonts w:ascii="Times New Roman" w:hAnsi="Times New Roman" w:eastAsia="宋体" w:cs="Times New Roman"/>
          <w:b/>
          <w:color w:val="auto"/>
          <w:kern w:val="0"/>
          <w:sz w:val="32"/>
          <w:szCs w:val="32"/>
          <w:highlight w:val="none"/>
        </w:rPr>
        <w:br w:type="page"/>
      </w:r>
    </w:p>
    <w:p>
      <w:pPr>
        <w:widowControl/>
        <w:adjustRightInd w:val="0"/>
        <w:snapToGrid w:val="0"/>
        <w:spacing w:before="156" w:beforeLines="50" w:after="156" w:afterLines="50" w:line="360" w:lineRule="auto"/>
        <w:jc w:val="center"/>
        <w:rPr>
          <w:rFonts w:ascii="黑体" w:hAnsi="黑体" w:eastAsia="黑体" w:cs="Times New Roman"/>
          <w:color w:val="auto"/>
          <w:kern w:val="0"/>
          <w:sz w:val="28"/>
          <w:szCs w:val="28"/>
          <w:highlight w:val="none"/>
        </w:rPr>
      </w:pPr>
      <w:bookmarkStart w:id="62" w:name="_Toc18196"/>
      <w:bookmarkStart w:id="63" w:name="_Toc26774"/>
      <w:r>
        <w:rPr>
          <w:rFonts w:ascii="黑体" w:hAnsi="黑体" w:eastAsia="黑体" w:cs="Times New Roman"/>
          <w:color w:val="auto"/>
          <w:kern w:val="0"/>
          <w:sz w:val="28"/>
          <w:szCs w:val="28"/>
          <w:highlight w:val="none"/>
        </w:rPr>
        <w:t>无违法违规记录声明</w:t>
      </w:r>
      <w:bookmarkEnd w:id="62"/>
      <w:bookmarkEnd w:id="63"/>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本单位参加政府采购活动近三年内，在经营活动中没有因违法经营受到刑事处罚或责令停产停业、吊销许可证或者执照、较大数额等行政处罚。</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特此声明</w:t>
      </w:r>
      <w:r>
        <w:rPr>
          <w:rFonts w:hint="eastAsia" w:ascii="Times New Roman" w:hAnsi="Times New Roman" w:eastAsia="宋体" w:cs="Times New Roman"/>
          <w:color w:val="auto"/>
          <w:kern w:val="0"/>
          <w:sz w:val="24"/>
          <w:szCs w:val="24"/>
          <w:highlight w:val="none"/>
        </w:rPr>
        <w:t>。</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p>
    <w:p>
      <w:pPr>
        <w:widowControl/>
        <w:adjustRightInd w:val="0"/>
        <w:snapToGrid w:val="0"/>
        <w:spacing w:line="420" w:lineRule="exact"/>
        <w:ind w:firstLine="4080" w:firstLineChars="17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声明人：</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                             </w:t>
      </w:r>
      <w:r>
        <w:rPr>
          <w:rFonts w:hint="eastAsia" w:ascii="Times New Roman" w:hAnsi="Times New Roman" w:eastAsia="宋体" w:cs="Times New Roman"/>
          <w:color w:val="auto"/>
          <w:kern w:val="0"/>
          <w:sz w:val="24"/>
          <w:szCs w:val="24"/>
          <w:highlight w:val="none"/>
        </w:rPr>
        <w:t xml:space="preserve"> </w:t>
      </w:r>
      <w:r>
        <w:rPr>
          <w:rFonts w:ascii="Times New Roman" w:hAnsi="Times New Roman" w:eastAsia="宋体" w:cs="Times New Roman"/>
          <w:color w:val="auto"/>
          <w:kern w:val="0"/>
          <w:sz w:val="24"/>
          <w:szCs w:val="24"/>
          <w:highlight w:val="none"/>
        </w:rPr>
        <w:t>法定代表人</w:t>
      </w:r>
      <w:r>
        <w:rPr>
          <w:rFonts w:ascii="Times New Roman" w:hAnsi="Times New Roman" w:eastAsia="宋体" w:cs="Times New Roman"/>
          <w:bCs/>
          <w:color w:val="auto"/>
          <w:kern w:val="0"/>
          <w:sz w:val="24"/>
          <w:szCs w:val="24"/>
          <w:highlight w:val="none"/>
        </w:rPr>
        <w:t>（被授权人）</w:t>
      </w:r>
      <w:r>
        <w:rPr>
          <w:rFonts w:ascii="Times New Roman" w:hAnsi="Times New Roman" w:eastAsia="宋体" w:cs="Times New Roman"/>
          <w:color w:val="auto"/>
          <w:kern w:val="0"/>
          <w:sz w:val="24"/>
          <w:szCs w:val="24"/>
          <w:highlight w:val="none"/>
        </w:rPr>
        <w:t>签字：</w:t>
      </w:r>
    </w:p>
    <w:p>
      <w:pPr>
        <w:widowControl/>
        <w:spacing w:line="460" w:lineRule="exact"/>
        <w:ind w:firstLine="4080" w:firstLineChars="1700"/>
        <w:jc w:val="left"/>
        <w:rPr>
          <w:rFonts w:ascii="Times New Roman" w:hAnsi="Times New Roman" w:eastAsia="宋体" w:cs="Times New Roman"/>
          <w:bCs/>
          <w:color w:val="auto"/>
          <w:kern w:val="0"/>
          <w:sz w:val="24"/>
          <w:szCs w:val="24"/>
          <w:highlight w:val="none"/>
        </w:rPr>
      </w:pPr>
      <w:r>
        <w:rPr>
          <w:rFonts w:ascii="Times New Roman" w:hAnsi="Times New Roman" w:eastAsia="宋体" w:cs="Times New Roman"/>
          <w:bCs/>
          <w:color w:val="auto"/>
          <w:kern w:val="0"/>
          <w:sz w:val="24"/>
          <w:szCs w:val="24"/>
          <w:highlight w:val="none"/>
        </w:rPr>
        <w:t>日期：年月日</w:t>
      </w:r>
    </w:p>
    <w:p>
      <w:pPr>
        <w:widowControl/>
        <w:spacing w:line="460" w:lineRule="exact"/>
        <w:rPr>
          <w:rFonts w:ascii="Times New Roman" w:hAnsi="Times New Roman" w:eastAsia="宋体" w:cs="Times New Roman"/>
          <w:b/>
          <w:color w:val="auto"/>
          <w:kern w:val="0"/>
          <w:sz w:val="32"/>
          <w:szCs w:val="32"/>
          <w:highlight w:val="none"/>
        </w:rPr>
      </w:pPr>
    </w:p>
    <w:p>
      <w:pPr>
        <w:widowControl/>
        <w:shd w:val="clear" w:color="auto" w:fill="FFFFFF"/>
        <w:snapToGrid w:val="0"/>
        <w:jc w:val="left"/>
        <w:rPr>
          <w:rFonts w:ascii="Times New Roman" w:hAnsi="Times New Roman" w:eastAsia="宋体" w:cs="Times New Roman"/>
          <w:color w:val="auto"/>
          <w:kern w:val="0"/>
          <w:sz w:val="24"/>
          <w:szCs w:val="24"/>
          <w:highlight w:val="none"/>
        </w:rPr>
      </w:pPr>
    </w:p>
    <w:p>
      <w:pPr>
        <w:widowControl/>
        <w:jc w:val="left"/>
        <w:rPr>
          <w:rFonts w:ascii="宋体" w:hAnsi="宋体" w:eastAsia="宋体" w:cs="宋体"/>
          <w:color w:val="auto"/>
          <w:kern w:val="0"/>
          <w:sz w:val="24"/>
          <w:szCs w:val="24"/>
          <w:highlight w:val="none"/>
        </w:rPr>
      </w:pPr>
    </w:p>
    <w:p>
      <w:pPr>
        <w:widowControl/>
        <w:spacing w:line="460" w:lineRule="exact"/>
        <w:jc w:val="center"/>
        <w:rPr>
          <w:rFonts w:ascii="Times New Roman" w:hAnsi="Times New Roman" w:eastAsia="黑体" w:cs="Times New Roman"/>
          <w:color w:val="auto"/>
          <w:kern w:val="0"/>
          <w:sz w:val="24"/>
          <w:szCs w:val="24"/>
          <w:highlight w:val="none"/>
          <w:u w:color="000000"/>
        </w:rPr>
      </w:pPr>
      <w:r>
        <w:rPr>
          <w:rFonts w:ascii="Times New Roman" w:hAnsi="Times New Roman" w:eastAsia="仿宋_GB2312" w:cs="Times New Roman"/>
          <w:color w:val="auto"/>
          <w:kern w:val="0"/>
          <w:sz w:val="32"/>
          <w:szCs w:val="28"/>
          <w:highlight w:val="none"/>
        </w:rPr>
        <w:br w:type="page"/>
      </w:r>
      <w:bookmarkStart w:id="64" w:name="_Toc322444605"/>
      <w:bookmarkEnd w:id="64"/>
      <w:bookmarkStart w:id="65" w:name="_Toc231787673"/>
      <w:bookmarkEnd w:id="65"/>
      <w:bookmarkStart w:id="66" w:name="_Toc164497044"/>
      <w:bookmarkEnd w:id="66"/>
      <w:bookmarkStart w:id="67" w:name="_Toc264974211"/>
      <w:bookmarkEnd w:id="67"/>
    </w:p>
    <w:p>
      <w:pPr>
        <w:widowControl/>
        <w:tabs>
          <w:tab w:val="left" w:pos="576"/>
        </w:tabs>
        <w:spacing w:before="156" w:beforeLines="50" w:after="156" w:afterLines="50" w:line="360" w:lineRule="auto"/>
        <w:ind w:firstLine="2640" w:firstLineChars="1100"/>
        <w:jc w:val="left"/>
        <w:rPr>
          <w:rFonts w:ascii="Times New Roman" w:hAnsi="Times New Roman" w:eastAsia="黑体" w:cs="Times New Roman"/>
          <w:color w:val="auto"/>
          <w:kern w:val="0"/>
          <w:sz w:val="24"/>
          <w:szCs w:val="24"/>
          <w:highlight w:val="none"/>
          <w:u w:color="000000"/>
        </w:rPr>
      </w:pPr>
      <w:bookmarkStart w:id="68" w:name="_Toc28247"/>
      <w:r>
        <w:rPr>
          <w:rFonts w:hint="eastAsia" w:ascii="Times New Roman" w:hAnsi="Times New Roman" w:eastAsia="黑体" w:cs="Times New Roman"/>
          <w:color w:val="auto"/>
          <w:kern w:val="0"/>
          <w:sz w:val="24"/>
          <w:szCs w:val="24"/>
          <w:highlight w:val="none"/>
          <w:u w:color="000000"/>
        </w:rPr>
        <w:t>非联合体投标声明</w:t>
      </w:r>
      <w:bookmarkEnd w:id="68"/>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本次投标非联合体投标。</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特此声明</w:t>
      </w:r>
      <w:r>
        <w:rPr>
          <w:rFonts w:hint="eastAsia" w:ascii="Times New Roman" w:hAnsi="Times New Roman" w:eastAsia="宋体" w:cs="Times New Roman"/>
          <w:color w:val="auto"/>
          <w:kern w:val="0"/>
          <w:sz w:val="24"/>
          <w:szCs w:val="24"/>
          <w:highlight w:val="none"/>
        </w:rPr>
        <w:t>。</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p>
    <w:p>
      <w:pPr>
        <w:widowControl/>
        <w:adjustRightInd w:val="0"/>
        <w:snapToGrid w:val="0"/>
        <w:spacing w:line="420" w:lineRule="exact"/>
        <w:ind w:firstLine="480" w:firstLineChars="20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声明人：</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                             法定代表人</w:t>
      </w:r>
      <w:r>
        <w:rPr>
          <w:rFonts w:ascii="Times New Roman" w:hAnsi="Times New Roman" w:eastAsia="宋体" w:cs="Times New Roman"/>
          <w:bCs/>
          <w:color w:val="auto"/>
          <w:kern w:val="0"/>
          <w:sz w:val="24"/>
          <w:szCs w:val="24"/>
          <w:highlight w:val="none"/>
        </w:rPr>
        <w:t>（被授权人）</w:t>
      </w:r>
      <w:r>
        <w:rPr>
          <w:rFonts w:ascii="Times New Roman" w:hAnsi="Times New Roman" w:eastAsia="宋体" w:cs="Times New Roman"/>
          <w:color w:val="auto"/>
          <w:kern w:val="0"/>
          <w:sz w:val="24"/>
          <w:szCs w:val="24"/>
          <w:highlight w:val="none"/>
        </w:rPr>
        <w:t>签字：</w:t>
      </w:r>
    </w:p>
    <w:p>
      <w:pPr>
        <w:widowControl/>
        <w:tabs>
          <w:tab w:val="left" w:pos="576"/>
        </w:tabs>
        <w:spacing w:before="156" w:beforeLines="50" w:after="156" w:afterLines="50" w:line="360" w:lineRule="auto"/>
        <w:ind w:firstLine="4080" w:firstLineChars="1700"/>
        <w:jc w:val="left"/>
        <w:rPr>
          <w:rFonts w:ascii="Times New Roman" w:hAnsi="Times New Roman" w:eastAsia="宋体" w:cs="Times New Roman"/>
          <w:bCs/>
          <w:color w:val="auto"/>
          <w:kern w:val="0"/>
          <w:sz w:val="24"/>
          <w:szCs w:val="24"/>
          <w:highlight w:val="none"/>
        </w:rPr>
      </w:pPr>
      <w:bookmarkStart w:id="69" w:name="_Toc21265"/>
      <w:r>
        <w:rPr>
          <w:rFonts w:ascii="Times New Roman" w:hAnsi="Times New Roman" w:eastAsia="宋体" w:cs="Times New Roman"/>
          <w:bCs/>
          <w:color w:val="auto"/>
          <w:kern w:val="0"/>
          <w:sz w:val="24"/>
          <w:szCs w:val="24"/>
          <w:highlight w:val="none"/>
        </w:rPr>
        <w:t>日期：年月日</w:t>
      </w:r>
      <w:bookmarkEnd w:id="69"/>
    </w:p>
    <w:p>
      <w:pPr>
        <w:spacing w:line="360" w:lineRule="auto"/>
        <w:ind w:right="181" w:firstLine="480"/>
        <w:rPr>
          <w:rFonts w:ascii="Times New Roman" w:hAnsi="Times New Roman" w:eastAsia="宋体" w:cs="Times New Roman"/>
          <w:bCs/>
          <w:color w:val="auto"/>
          <w:sz w:val="24"/>
          <w:szCs w:val="24"/>
          <w:highlight w:val="none"/>
        </w:rPr>
      </w:pPr>
    </w:p>
    <w:p>
      <w:pPr>
        <w:spacing w:line="360" w:lineRule="auto"/>
        <w:ind w:right="181" w:firstLine="480"/>
        <w:rPr>
          <w:rFonts w:ascii="Times New Roman" w:hAnsi="Times New Roman" w:eastAsia="宋体" w:cs="Times New Roman"/>
          <w:bCs/>
          <w:color w:val="auto"/>
          <w:sz w:val="24"/>
          <w:szCs w:val="24"/>
          <w:highlight w:val="none"/>
        </w:rPr>
      </w:pPr>
    </w:p>
    <w:p>
      <w:pPr>
        <w:spacing w:line="360" w:lineRule="auto"/>
        <w:ind w:right="181" w:firstLine="480"/>
        <w:rPr>
          <w:rFonts w:ascii="Times New Roman" w:hAnsi="Times New Roman" w:eastAsia="宋体" w:cs="Times New Roman"/>
          <w:bCs/>
          <w:color w:val="auto"/>
          <w:sz w:val="24"/>
          <w:szCs w:val="24"/>
          <w:highlight w:val="none"/>
        </w:rPr>
      </w:pPr>
    </w:p>
    <w:p>
      <w:pPr>
        <w:spacing w:line="360" w:lineRule="auto"/>
        <w:ind w:right="181" w:firstLine="480"/>
        <w:rPr>
          <w:rFonts w:ascii="Times New Roman" w:hAnsi="Times New Roman" w:eastAsia="宋体" w:cs="Times New Roman"/>
          <w:bCs/>
          <w:color w:val="auto"/>
          <w:sz w:val="24"/>
          <w:szCs w:val="24"/>
          <w:highlight w:val="none"/>
        </w:rPr>
      </w:pPr>
    </w:p>
    <w:p>
      <w:pPr>
        <w:widowControl/>
        <w:tabs>
          <w:tab w:val="left" w:pos="576"/>
        </w:tabs>
        <w:spacing w:before="156" w:beforeLines="50" w:after="156" w:afterLines="50" w:line="360" w:lineRule="auto"/>
        <w:ind w:firstLine="2640" w:firstLineChars="1100"/>
        <w:jc w:val="left"/>
        <w:rPr>
          <w:rFonts w:ascii="Times New Roman" w:hAnsi="Times New Roman" w:eastAsia="黑体" w:cs="Times New Roman"/>
          <w:color w:val="auto"/>
          <w:kern w:val="0"/>
          <w:sz w:val="24"/>
          <w:szCs w:val="24"/>
          <w:highlight w:val="none"/>
          <w:u w:color="000000"/>
        </w:rPr>
      </w:pPr>
      <w:r>
        <w:rPr>
          <w:rFonts w:hint="eastAsia" w:ascii="Times New Roman" w:hAnsi="Times New Roman" w:eastAsia="黑体" w:cs="Times New Roman"/>
          <w:color w:val="auto"/>
          <w:kern w:val="0"/>
          <w:sz w:val="24"/>
          <w:szCs w:val="24"/>
          <w:highlight w:val="none"/>
          <w:u w:color="000000"/>
        </w:rPr>
        <w:t>非进口产品投标声明</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本次投标非进口产品。</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特此声明</w:t>
      </w:r>
      <w:r>
        <w:rPr>
          <w:rFonts w:hint="eastAsia" w:ascii="Times New Roman" w:hAnsi="Times New Roman" w:eastAsia="宋体" w:cs="Times New Roman"/>
          <w:color w:val="auto"/>
          <w:kern w:val="0"/>
          <w:sz w:val="24"/>
          <w:szCs w:val="24"/>
          <w:highlight w:val="none"/>
        </w:rPr>
        <w:t>。</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p>
    <w:p>
      <w:pPr>
        <w:widowControl/>
        <w:adjustRightInd w:val="0"/>
        <w:snapToGrid w:val="0"/>
        <w:spacing w:line="420" w:lineRule="exact"/>
        <w:ind w:firstLine="480" w:firstLineChars="20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声明人：</w:t>
      </w:r>
    </w:p>
    <w:p>
      <w:pPr>
        <w:widowControl/>
        <w:adjustRightInd w:val="0"/>
        <w:snapToGrid w:val="0"/>
        <w:spacing w:line="420" w:lineRule="exact"/>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                             法定代表人</w:t>
      </w:r>
      <w:r>
        <w:rPr>
          <w:rFonts w:ascii="Times New Roman" w:hAnsi="Times New Roman" w:eastAsia="宋体" w:cs="Times New Roman"/>
          <w:bCs/>
          <w:color w:val="auto"/>
          <w:kern w:val="0"/>
          <w:sz w:val="24"/>
          <w:szCs w:val="24"/>
          <w:highlight w:val="none"/>
        </w:rPr>
        <w:t>（被授权人）</w:t>
      </w:r>
      <w:r>
        <w:rPr>
          <w:rFonts w:ascii="Times New Roman" w:hAnsi="Times New Roman" w:eastAsia="宋体" w:cs="Times New Roman"/>
          <w:color w:val="auto"/>
          <w:kern w:val="0"/>
          <w:sz w:val="24"/>
          <w:szCs w:val="24"/>
          <w:highlight w:val="none"/>
        </w:rPr>
        <w:t>签字：</w:t>
      </w:r>
    </w:p>
    <w:p>
      <w:pPr>
        <w:spacing w:line="360" w:lineRule="auto"/>
        <w:ind w:right="181" w:firstLine="480"/>
        <w:jc w:val="center"/>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 xml:space="preserve"> </w:t>
      </w:r>
      <w:r>
        <w:rPr>
          <w:rFonts w:ascii="Times New Roman" w:hAnsi="Times New Roman" w:eastAsia="宋体" w:cs="Times New Roman"/>
          <w:bCs/>
          <w:color w:val="auto"/>
          <w:sz w:val="24"/>
          <w:szCs w:val="24"/>
          <w:highlight w:val="none"/>
        </w:rPr>
        <w:t>日期：年月日</w:t>
      </w:r>
    </w:p>
    <w:p>
      <w:pPr>
        <w:widowControl/>
        <w:tabs>
          <w:tab w:val="left" w:pos="576"/>
        </w:tabs>
        <w:spacing w:before="156" w:beforeLines="50" w:after="156" w:afterLines="50" w:line="360" w:lineRule="auto"/>
        <w:jc w:val="left"/>
        <w:rPr>
          <w:rFonts w:ascii="Times New Roman" w:hAnsi="Times New Roman" w:eastAsia="黑体" w:cs="Times New Roman"/>
          <w:color w:val="auto"/>
          <w:kern w:val="0"/>
          <w:sz w:val="24"/>
          <w:szCs w:val="24"/>
          <w:highlight w:val="none"/>
          <w:u w:color="000000"/>
        </w:rPr>
      </w:pPr>
    </w:p>
    <w:p>
      <w:pPr>
        <w:widowControl/>
        <w:jc w:val="left"/>
        <w:rPr>
          <w:rFonts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br w:type="page"/>
      </w:r>
    </w:p>
    <w:p>
      <w:pPr>
        <w:spacing w:line="3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供应商若符合相关要求，请提供企业声明函。</w:t>
      </w:r>
    </w:p>
    <w:p>
      <w:pPr>
        <w:widowControl/>
        <w:tabs>
          <w:tab w:val="left" w:pos="576"/>
        </w:tabs>
        <w:spacing w:before="156" w:beforeLines="50" w:after="156" w:afterLines="50" w:line="360" w:lineRule="auto"/>
        <w:jc w:val="left"/>
        <w:outlineLvl w:val="2"/>
        <w:rPr>
          <w:rFonts w:ascii="Times New Roman" w:hAnsi="Times New Roman" w:eastAsia="黑体" w:cs="Times New Roman"/>
          <w:color w:val="auto"/>
          <w:kern w:val="0"/>
          <w:sz w:val="24"/>
          <w:szCs w:val="24"/>
          <w:highlight w:val="none"/>
        </w:rPr>
      </w:pPr>
      <w:bookmarkStart w:id="70" w:name="_Toc14243"/>
      <w:r>
        <w:rPr>
          <w:rFonts w:ascii="Times New Roman" w:hAnsi="Times New Roman" w:eastAsia="黑体" w:cs="Times New Roman"/>
          <w:color w:val="auto"/>
          <w:kern w:val="0"/>
          <w:sz w:val="24"/>
          <w:szCs w:val="24"/>
          <w:highlight w:val="none"/>
          <w:lang w:bidi="ar"/>
        </w:rPr>
        <w:t>6.1</w:t>
      </w:r>
      <w:r>
        <w:rPr>
          <w:rFonts w:hint="eastAsia" w:ascii="Times New Roman" w:hAnsi="Times New Roman" w:eastAsia="黑体" w:cs="Times New Roman"/>
          <w:color w:val="auto"/>
          <w:kern w:val="0"/>
          <w:sz w:val="24"/>
          <w:szCs w:val="24"/>
          <w:highlight w:val="none"/>
          <w:lang w:val="en-US" w:eastAsia="zh-CN" w:bidi="ar"/>
        </w:rPr>
        <w:t>8</w:t>
      </w:r>
      <w:r>
        <w:rPr>
          <w:rFonts w:hint="eastAsia" w:ascii="Times New Roman" w:hAnsi="Times New Roman" w:eastAsia="黑体" w:cs="Times New Roman"/>
          <w:color w:val="auto"/>
          <w:kern w:val="0"/>
          <w:sz w:val="24"/>
          <w:szCs w:val="24"/>
          <w:highlight w:val="none"/>
          <w:lang w:bidi="ar"/>
        </w:rPr>
        <w:t>企业声明函格式</w:t>
      </w:r>
      <w:bookmarkEnd w:id="70"/>
    </w:p>
    <w:p>
      <w:pPr>
        <w:spacing w:line="560" w:lineRule="exact"/>
        <w:ind w:firstLine="241"/>
        <w:jc w:val="center"/>
        <w:rPr>
          <w:rFonts w:hint="default"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中小微企业声明函（货物类项目）</w:t>
      </w:r>
    </w:p>
    <w:p>
      <w:pPr>
        <w:spacing w:line="400" w:lineRule="exact"/>
        <w:ind w:firstLine="36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Times New Roman"/>
          <w:color w:val="auto"/>
          <w:kern w:val="0"/>
          <w:sz w:val="24"/>
          <w:szCs w:val="24"/>
          <w:highlight w:val="none"/>
          <w:lang w:val="en-US" w:eastAsia="zh-CN"/>
        </w:rPr>
        <w:t>中通服咨询设计研究院有限公司</w:t>
      </w:r>
      <w:r>
        <w:rPr>
          <w:rFonts w:hint="eastAsia" w:ascii="宋体" w:hAnsi="宋体" w:eastAsia="宋体" w:cs="Times New Roman"/>
          <w:color w:val="auto"/>
          <w:kern w:val="0"/>
          <w:sz w:val="24"/>
          <w:szCs w:val="24"/>
          <w:highlight w:val="none"/>
        </w:rPr>
        <w:t>组织的</w:t>
      </w:r>
      <w:r>
        <w:rPr>
          <w:rFonts w:hint="eastAsia" w:ascii="宋体" w:hAnsi="宋体" w:eastAsia="宋体" w:cs="Times New Roman"/>
          <w:color w:val="auto"/>
          <w:kern w:val="0"/>
          <w:sz w:val="24"/>
          <w:szCs w:val="24"/>
          <w:highlight w:val="none"/>
          <w:u w:val="single"/>
        </w:rPr>
        <w:t>（单位名称）</w:t>
      </w:r>
      <w:r>
        <w:rPr>
          <w:rFonts w:hint="eastAsia" w:ascii="宋体" w:hAnsi="宋体" w:eastAsia="宋体" w:cs="Times New Roman"/>
          <w:color w:val="auto"/>
          <w:kern w:val="0"/>
          <w:sz w:val="24"/>
          <w:szCs w:val="24"/>
          <w:highlight w:val="none"/>
        </w:rPr>
        <w:t>采购编号为</w:t>
      </w:r>
      <w:r>
        <w:rPr>
          <w:rFonts w:hint="eastAsia" w:ascii="宋体" w:hAnsi="宋体" w:eastAsia="宋体" w:cs="Times New Roman"/>
          <w:color w:val="auto"/>
          <w:kern w:val="0"/>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u w:val="single"/>
        </w:rPr>
        <w:t>（项目名称）（分包号：**）</w:t>
      </w:r>
      <w:r>
        <w:rPr>
          <w:rFonts w:hint="eastAsia" w:ascii="宋体" w:hAnsi="宋体" w:eastAsia="宋体" w:cs="Times New Roman"/>
          <w:color w:val="auto"/>
          <w:kern w:val="0"/>
          <w:sz w:val="24"/>
          <w:szCs w:val="24"/>
          <w:highlight w:val="none"/>
        </w:rPr>
        <w:t>的采购活动，提供的货物全部由符合政策要求的中小微企业制造。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pPr>
        <w:spacing w:line="400" w:lineRule="exact"/>
        <w:ind w:firstLine="360"/>
        <w:rPr>
          <w:rFonts w:hint="default" w:ascii="宋体" w:hAnsi="宋体" w:eastAsia="宋体" w:cs="Times New Roman"/>
          <w:i/>
          <w:color w:val="auto"/>
          <w:kern w:val="0"/>
          <w:sz w:val="24"/>
          <w:szCs w:val="24"/>
          <w:highlight w:val="none"/>
          <w:u w:val="singl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u w:val="single"/>
        </w:rPr>
        <w:t>（标的名称）</w:t>
      </w:r>
      <w:r>
        <w:rPr>
          <w:rFonts w:hint="eastAsia" w:ascii="宋体" w:hAnsi="宋体" w:eastAsia="宋体" w:cs="Times New Roman"/>
          <w:i/>
          <w:color w:val="auto"/>
          <w:kern w:val="0"/>
          <w:sz w:val="24"/>
          <w:szCs w:val="24"/>
          <w:highlight w:val="none"/>
        </w:rPr>
        <w:t>，</w:t>
      </w:r>
      <w:r>
        <w:rPr>
          <w:rFonts w:hint="eastAsia" w:ascii="宋体" w:hAnsi="宋体" w:eastAsia="宋体" w:cs="Times New Roman"/>
          <w:color w:val="auto"/>
          <w:kern w:val="0"/>
          <w:sz w:val="24"/>
          <w:szCs w:val="24"/>
          <w:highlight w:val="none"/>
        </w:rPr>
        <w:t>属于</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行业；制造商为</w:t>
      </w:r>
      <w:r>
        <w:rPr>
          <w:rFonts w:hint="eastAsia" w:ascii="宋体" w:hAnsi="宋体" w:eastAsia="宋体" w:cs="Times New Roman"/>
          <w:color w:val="auto"/>
          <w:kern w:val="0"/>
          <w:sz w:val="24"/>
          <w:szCs w:val="24"/>
          <w:highlight w:val="none"/>
          <w:u w:val="single"/>
        </w:rPr>
        <w:t>（企业名称）</w:t>
      </w:r>
      <w:r>
        <w:rPr>
          <w:rFonts w:hint="eastAsia" w:ascii="宋体" w:hAnsi="宋体" w:eastAsia="宋体" w:cs="Times New Roman"/>
          <w:color w:val="auto"/>
          <w:kern w:val="0"/>
          <w:sz w:val="24"/>
          <w:szCs w:val="24"/>
          <w:highlight w:val="none"/>
        </w:rPr>
        <w:t>，从业人员</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人，营业收入为</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万元，资产总额为</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万元，属于</w:t>
      </w:r>
      <w:r>
        <w:rPr>
          <w:rFonts w:hint="eastAsia" w:ascii="宋体" w:hAnsi="宋体" w:eastAsia="宋体" w:cs="Times New Roman"/>
          <w:color w:val="auto"/>
          <w:kern w:val="0"/>
          <w:sz w:val="24"/>
          <w:szCs w:val="24"/>
          <w:highlight w:val="none"/>
          <w:u w:val="single"/>
        </w:rPr>
        <w:t>（□中型企业 □小型企业 □微型企业）；</w:t>
      </w:r>
    </w:p>
    <w:p>
      <w:pPr>
        <w:spacing w:line="400" w:lineRule="exact"/>
        <w:ind w:firstLine="360"/>
        <w:rPr>
          <w:rFonts w:hint="default" w:ascii="宋体" w:hAnsi="宋体" w:eastAsia="宋体" w:cs="Times New Roman"/>
          <w:i/>
          <w:color w:val="auto"/>
          <w:kern w:val="0"/>
          <w:sz w:val="24"/>
          <w:szCs w:val="24"/>
          <w:highlight w:val="none"/>
          <w:u w:val="single"/>
        </w:rPr>
      </w:pPr>
      <w:r>
        <w:rPr>
          <w:rFonts w:hint="eastAsia"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u w:val="single"/>
        </w:rPr>
        <w:t>（标的名称）</w:t>
      </w:r>
      <w:r>
        <w:rPr>
          <w:rFonts w:hint="eastAsia" w:ascii="宋体" w:hAnsi="宋体" w:eastAsia="宋体" w:cs="Times New Roman"/>
          <w:i/>
          <w:color w:val="auto"/>
          <w:kern w:val="0"/>
          <w:sz w:val="24"/>
          <w:szCs w:val="24"/>
          <w:highlight w:val="none"/>
        </w:rPr>
        <w:t>，</w:t>
      </w:r>
      <w:r>
        <w:rPr>
          <w:rFonts w:hint="eastAsia" w:ascii="宋体" w:hAnsi="宋体" w:eastAsia="宋体" w:cs="Times New Roman"/>
          <w:color w:val="auto"/>
          <w:kern w:val="0"/>
          <w:sz w:val="24"/>
          <w:szCs w:val="24"/>
          <w:highlight w:val="none"/>
        </w:rPr>
        <w:t>属于</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行业；制造商为</w:t>
      </w:r>
      <w:r>
        <w:rPr>
          <w:rFonts w:hint="eastAsia" w:ascii="宋体" w:hAnsi="宋体" w:eastAsia="宋体" w:cs="Times New Roman"/>
          <w:color w:val="auto"/>
          <w:kern w:val="0"/>
          <w:sz w:val="24"/>
          <w:szCs w:val="24"/>
          <w:highlight w:val="none"/>
          <w:u w:val="single"/>
        </w:rPr>
        <w:t>（企业名称）</w:t>
      </w:r>
      <w:r>
        <w:rPr>
          <w:rFonts w:hint="eastAsia" w:ascii="宋体" w:hAnsi="宋体" w:eastAsia="宋体" w:cs="Times New Roman"/>
          <w:color w:val="auto"/>
          <w:kern w:val="0"/>
          <w:sz w:val="24"/>
          <w:szCs w:val="24"/>
          <w:highlight w:val="none"/>
        </w:rPr>
        <w:t>，从业人员</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人，营业收入为</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万元，资产总额为</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万元，属于</w:t>
      </w:r>
      <w:r>
        <w:rPr>
          <w:rFonts w:hint="eastAsia" w:ascii="宋体" w:hAnsi="宋体" w:eastAsia="宋体" w:cs="Times New Roman"/>
          <w:color w:val="auto"/>
          <w:kern w:val="0"/>
          <w:sz w:val="24"/>
          <w:szCs w:val="24"/>
          <w:highlight w:val="none"/>
          <w:u w:val="single"/>
        </w:rPr>
        <w:t>（□中型企业 □小型企业 □微型企业）；</w:t>
      </w:r>
    </w:p>
    <w:p>
      <w:pPr>
        <w:spacing w:line="400" w:lineRule="exact"/>
        <w:ind w:firstLine="36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p>
    <w:p>
      <w:pPr>
        <w:spacing w:line="400" w:lineRule="exact"/>
        <w:ind w:firstLine="36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以上企业，不属于大企业的分支机构，不存在控股股东为大企业的情形，也不存在与大企业的负责人为同一人的情形。</w:t>
      </w:r>
    </w:p>
    <w:p>
      <w:pPr>
        <w:spacing w:line="400" w:lineRule="exact"/>
        <w:ind w:firstLine="36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本企业对上述声明内容的真实性负责。如有虚假，将依法承担相应责任</w:t>
      </w:r>
    </w:p>
    <w:p>
      <w:pPr>
        <w:spacing w:line="400" w:lineRule="exact"/>
        <w:ind w:right="720"/>
        <w:rPr>
          <w:rFonts w:hint="default" w:ascii="宋体" w:hAnsi="宋体" w:eastAsia="宋体" w:cs="Times New Roman"/>
          <w:color w:val="auto"/>
          <w:kern w:val="0"/>
          <w:sz w:val="24"/>
          <w:szCs w:val="24"/>
          <w:highlight w:val="none"/>
        </w:rPr>
      </w:pPr>
    </w:p>
    <w:p>
      <w:pPr>
        <w:spacing w:line="400" w:lineRule="exact"/>
        <w:ind w:right="180" w:firstLine="360"/>
        <w:jc w:val="righ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企业名称（加盖公章）：</w:t>
      </w:r>
    </w:p>
    <w:p>
      <w:pPr>
        <w:spacing w:line="400" w:lineRule="exact"/>
        <w:ind w:right="480" w:firstLine="6648" w:firstLineChars="277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日  期：</w:t>
      </w:r>
    </w:p>
    <w:p>
      <w:pPr>
        <w:spacing w:line="400" w:lineRule="exact"/>
        <w:rPr>
          <w:rFonts w:hint="default" w:ascii="宋体" w:hAnsi="宋体" w:eastAsia="宋体" w:cs="Times New Roman"/>
          <w:color w:val="auto"/>
          <w:kern w:val="0"/>
          <w:sz w:val="24"/>
          <w:szCs w:val="24"/>
          <w:highlight w:val="none"/>
        </w:rPr>
      </w:pPr>
    </w:p>
    <w:p>
      <w:pPr>
        <w:spacing w:line="400" w:lineRule="exact"/>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备注：</w:t>
      </w:r>
    </w:p>
    <w:p>
      <w:pPr>
        <w:spacing w:line="400" w:lineRule="exact"/>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1.从业人员、营业收入、资产总额填报上一年度数据，无上一年度数据的新成立企业可不填报。</w:t>
      </w:r>
    </w:p>
    <w:p>
      <w:pPr>
        <w:spacing w:line="400" w:lineRule="exact"/>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2.专门</w:t>
      </w:r>
      <w:r>
        <w:rPr>
          <w:rFonts w:hint="default" w:ascii="宋体" w:hAnsi="宋体" w:eastAsia="宋体" w:cs="Times New Roman"/>
          <w:color w:val="auto"/>
          <w:kern w:val="0"/>
          <w:sz w:val="24"/>
          <w:szCs w:val="24"/>
          <w:highlight w:val="none"/>
        </w:rPr>
        <w:t>面向中小微型企业</w:t>
      </w:r>
      <w:r>
        <w:rPr>
          <w:rFonts w:hint="eastAsia" w:ascii="宋体" w:hAnsi="宋体" w:eastAsia="宋体" w:cs="Times New Roman"/>
          <w:color w:val="auto"/>
          <w:kern w:val="0"/>
          <w:sz w:val="24"/>
          <w:szCs w:val="24"/>
          <w:highlight w:val="none"/>
        </w:rPr>
        <w:t>采购</w:t>
      </w:r>
      <w:r>
        <w:rPr>
          <w:rFonts w:hint="default" w:ascii="宋体" w:hAnsi="宋体" w:eastAsia="宋体" w:cs="Times New Roman"/>
          <w:color w:val="auto"/>
          <w:kern w:val="0"/>
          <w:sz w:val="24"/>
          <w:szCs w:val="24"/>
          <w:highlight w:val="none"/>
        </w:rPr>
        <w:t>的项目，</w:t>
      </w:r>
      <w:r>
        <w:rPr>
          <w:rFonts w:hint="eastAsia" w:ascii="宋体" w:hAnsi="宋体" w:eastAsia="宋体" w:cs="Times New Roman"/>
          <w:color w:val="auto"/>
          <w:kern w:val="0"/>
          <w:sz w:val="24"/>
          <w:szCs w:val="24"/>
          <w:highlight w:val="none"/>
        </w:rPr>
        <w:t>供应商如不提供此声明函，则</w:t>
      </w:r>
      <w:r>
        <w:rPr>
          <w:rFonts w:hint="default" w:ascii="宋体" w:hAnsi="宋体" w:eastAsia="宋体" w:cs="Times New Roman"/>
          <w:color w:val="auto"/>
          <w:kern w:val="0"/>
          <w:sz w:val="24"/>
          <w:szCs w:val="24"/>
          <w:highlight w:val="none"/>
        </w:rPr>
        <w:t>不能通过资格审查；</w:t>
      </w:r>
      <w:r>
        <w:rPr>
          <w:rFonts w:hint="eastAsia" w:ascii="宋体" w:hAnsi="宋体" w:eastAsia="宋体" w:cs="Times New Roman"/>
          <w:color w:val="auto"/>
          <w:kern w:val="0"/>
          <w:sz w:val="24"/>
          <w:szCs w:val="24"/>
          <w:highlight w:val="none"/>
        </w:rPr>
        <w:t>非专门</w:t>
      </w:r>
      <w:r>
        <w:rPr>
          <w:rFonts w:hint="default" w:ascii="宋体" w:hAnsi="宋体" w:eastAsia="宋体" w:cs="Times New Roman"/>
          <w:color w:val="auto"/>
          <w:kern w:val="0"/>
          <w:sz w:val="24"/>
          <w:szCs w:val="24"/>
          <w:highlight w:val="none"/>
        </w:rPr>
        <w:t>面向中小微型企业</w:t>
      </w:r>
      <w:r>
        <w:rPr>
          <w:rFonts w:hint="eastAsia" w:ascii="宋体" w:hAnsi="宋体" w:eastAsia="宋体" w:cs="Times New Roman"/>
          <w:color w:val="auto"/>
          <w:kern w:val="0"/>
          <w:sz w:val="24"/>
          <w:szCs w:val="24"/>
          <w:highlight w:val="none"/>
        </w:rPr>
        <w:t>采购</w:t>
      </w:r>
      <w:r>
        <w:rPr>
          <w:rFonts w:hint="default" w:ascii="宋体" w:hAnsi="宋体" w:eastAsia="宋体" w:cs="Times New Roman"/>
          <w:color w:val="auto"/>
          <w:kern w:val="0"/>
          <w:sz w:val="24"/>
          <w:szCs w:val="24"/>
          <w:highlight w:val="none"/>
        </w:rPr>
        <w:t>的项目，</w:t>
      </w:r>
      <w:r>
        <w:rPr>
          <w:rFonts w:hint="eastAsia" w:ascii="宋体" w:hAnsi="宋体" w:eastAsia="宋体" w:cs="Times New Roman"/>
          <w:color w:val="auto"/>
          <w:kern w:val="0"/>
          <w:sz w:val="24"/>
          <w:szCs w:val="24"/>
          <w:highlight w:val="none"/>
        </w:rPr>
        <w:t>供应商如不提供此声明函，价格将不做相应扣除。</w:t>
      </w:r>
    </w:p>
    <w:p>
      <w:pPr>
        <w:spacing w:line="360" w:lineRule="exact"/>
        <w:ind w:firstLine="480" w:firstLineChars="200"/>
        <w:rPr>
          <w:rFonts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rPr>
        <w:t>3.供应商</w:t>
      </w:r>
      <w:r>
        <w:rPr>
          <w:rFonts w:hint="default" w:ascii="宋体" w:hAnsi="宋体" w:eastAsia="宋体" w:cs="Times New Roman"/>
          <w:color w:val="auto"/>
          <w:kern w:val="0"/>
          <w:sz w:val="24"/>
          <w:szCs w:val="24"/>
          <w:highlight w:val="none"/>
        </w:rPr>
        <w:t>自行勾选</w:t>
      </w:r>
      <w:r>
        <w:rPr>
          <w:rFonts w:hint="eastAsia" w:ascii="宋体" w:hAnsi="宋体" w:eastAsia="宋体" w:cs="Times New Roman"/>
          <w:color w:val="auto"/>
          <w:kern w:val="0"/>
          <w:sz w:val="24"/>
          <w:szCs w:val="24"/>
          <w:highlight w:val="none"/>
        </w:rPr>
        <w:t>制造商</w:t>
      </w:r>
      <w:r>
        <w:rPr>
          <w:rFonts w:hint="default" w:ascii="宋体" w:hAnsi="宋体" w:eastAsia="宋体" w:cs="Times New Roman"/>
          <w:color w:val="auto"/>
          <w:kern w:val="0"/>
          <w:sz w:val="24"/>
          <w:szCs w:val="24"/>
          <w:highlight w:val="none"/>
        </w:rPr>
        <w:t>的企业</w:t>
      </w:r>
      <w:r>
        <w:rPr>
          <w:rFonts w:hint="eastAsia" w:ascii="宋体" w:hAnsi="宋体" w:eastAsia="宋体" w:cs="Times New Roman"/>
          <w:color w:val="auto"/>
          <w:kern w:val="0"/>
          <w:sz w:val="24"/>
          <w:szCs w:val="24"/>
          <w:highlight w:val="none"/>
        </w:rPr>
        <w:t>规模类型</w:t>
      </w:r>
      <w:r>
        <w:rPr>
          <w:rFonts w:hint="default"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 xml:space="preserve">  </w:t>
      </w:r>
      <w:r>
        <w:rPr>
          <w:rFonts w:hint="default" w:ascii="宋体" w:hAnsi="宋体" w:eastAsia="宋体" w:cs="Times New Roman"/>
          <w:color w:val="auto"/>
          <w:kern w:val="0"/>
          <w:sz w:val="24"/>
          <w:szCs w:val="24"/>
          <w:highlight w:val="none"/>
        </w:rPr>
        <w:t xml:space="preserve">  </w:t>
      </w:r>
    </w:p>
    <w:p>
      <w:pPr>
        <w:widowControl/>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br w:type="page"/>
      </w:r>
    </w:p>
    <w:p>
      <w:pPr>
        <w:spacing w:line="360" w:lineRule="exact"/>
        <w:ind w:firstLine="482" w:firstLineChars="200"/>
        <w:rPr>
          <w:rFonts w:ascii="宋体" w:hAnsi="宋体" w:eastAsia="宋体" w:cs="宋体"/>
          <w:b/>
          <w:bCs/>
          <w:color w:val="auto"/>
          <w:sz w:val="24"/>
          <w:szCs w:val="24"/>
          <w:highlight w:val="none"/>
        </w:rPr>
      </w:pPr>
      <w:bookmarkStart w:id="71" w:name="_Toc253"/>
      <w:r>
        <w:rPr>
          <w:rFonts w:hint="eastAsia" w:ascii="宋体" w:hAnsi="宋体" w:eastAsia="宋体" w:cs="宋体"/>
          <w:b/>
          <w:bCs/>
          <w:color w:val="auto"/>
          <w:sz w:val="24"/>
          <w:szCs w:val="24"/>
          <w:highlight w:val="none"/>
          <w:lang w:bidi="ar"/>
        </w:rPr>
        <w:t>残疾人福利性单位声明函</w:t>
      </w:r>
      <w:bookmarkEnd w:id="71"/>
    </w:p>
    <w:p>
      <w:pPr>
        <w:spacing w:line="360" w:lineRule="exact"/>
        <w:ind w:firstLine="448" w:firstLineChars="200"/>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bidi="ar"/>
        </w:rPr>
        <w:t xml:space="preserve">本单位郑重声明，根据《财政部 </w:t>
      </w:r>
      <w:r>
        <w:rPr>
          <w:rFonts w:hint="eastAsia" w:ascii="宋体" w:hAnsi="宋体" w:eastAsia="宋体" w:cs="宋体"/>
          <w:color w:val="auto"/>
          <w:sz w:val="24"/>
          <w:szCs w:val="24"/>
          <w:highlight w:val="none"/>
          <w:lang w:bidi="ar"/>
        </w:rPr>
        <w:t>民政部中国残疾人联合会关于促进残疾人就业政府采</w:t>
      </w:r>
      <w:r>
        <w:rPr>
          <w:rFonts w:hint="eastAsia" w:ascii="宋体" w:hAnsi="宋体" w:eastAsia="宋体" w:cs="宋体"/>
          <w:color w:val="auto"/>
          <w:spacing w:val="-3"/>
          <w:sz w:val="24"/>
          <w:szCs w:val="24"/>
          <w:highlight w:val="none"/>
          <w:lang w:bidi="ar"/>
        </w:rPr>
        <w:t>购政策的通知》（财库〔2017〕</w:t>
      </w:r>
      <w:r>
        <w:rPr>
          <w:rFonts w:hint="eastAsia" w:ascii="宋体" w:hAnsi="宋体" w:eastAsia="宋体" w:cs="宋体"/>
          <w:color w:val="auto"/>
          <w:sz w:val="24"/>
          <w:szCs w:val="24"/>
          <w:highlight w:val="none"/>
          <w:lang w:bidi="ar"/>
        </w:rPr>
        <w:t>141号）的规定，本单位为符合条件的残疾人福利性单位，</w:t>
      </w:r>
      <w:r>
        <w:rPr>
          <w:rFonts w:hint="eastAsia" w:ascii="宋体" w:hAnsi="宋体" w:eastAsia="宋体" w:cs="宋体"/>
          <w:color w:val="auto"/>
          <w:spacing w:val="-2"/>
          <w:sz w:val="24"/>
          <w:szCs w:val="24"/>
          <w:highlight w:val="none"/>
          <w:lang w:bidi="ar"/>
        </w:rPr>
        <w:t>且本单位参加</w:t>
      </w:r>
      <w:r>
        <w:rPr>
          <w:rFonts w:hint="eastAsia" w:ascii="宋体" w:hAnsi="宋体" w:eastAsia="宋体" w:cs="宋体"/>
          <w:color w:val="auto"/>
          <w:spacing w:val="-2"/>
          <w:sz w:val="24"/>
          <w:szCs w:val="24"/>
          <w:highlight w:val="none"/>
          <w:u w:val="single"/>
          <w:lang w:bidi="ar"/>
        </w:rPr>
        <w:tab/>
      </w:r>
      <w:r>
        <w:rPr>
          <w:rFonts w:hint="eastAsia" w:ascii="宋体" w:hAnsi="宋体" w:eastAsia="宋体" w:cs="宋体"/>
          <w:color w:val="auto"/>
          <w:spacing w:val="-1"/>
          <w:sz w:val="24"/>
          <w:szCs w:val="24"/>
          <w:highlight w:val="none"/>
          <w:lang w:bidi="ar"/>
        </w:rPr>
        <w:t>单位的</w:t>
      </w:r>
      <w:r>
        <w:rPr>
          <w:rFonts w:hint="eastAsia" w:ascii="宋体" w:hAnsi="宋体" w:eastAsia="宋体" w:cs="宋体"/>
          <w:color w:val="auto"/>
          <w:spacing w:val="-1"/>
          <w:sz w:val="24"/>
          <w:szCs w:val="24"/>
          <w:highlight w:val="none"/>
          <w:u w:val="single"/>
          <w:lang w:bidi="ar"/>
        </w:rPr>
        <w:tab/>
      </w:r>
      <w:r>
        <w:rPr>
          <w:rFonts w:hint="eastAsia" w:ascii="宋体" w:hAnsi="宋体" w:eastAsia="宋体" w:cs="宋体"/>
          <w:color w:val="auto"/>
          <w:spacing w:val="-5"/>
          <w:sz w:val="24"/>
          <w:szCs w:val="24"/>
          <w:highlight w:val="none"/>
          <w:lang w:bidi="ar"/>
        </w:rPr>
        <w:t>项目采购活动提供本单位制造的货物（由本单位承担工程</w:t>
      </w:r>
      <w:r>
        <w:rPr>
          <w:rFonts w:hint="eastAsia" w:ascii="宋体" w:hAnsi="宋体" w:eastAsia="宋体" w:cs="宋体"/>
          <w:color w:val="auto"/>
          <w:sz w:val="24"/>
          <w:szCs w:val="24"/>
          <w:highlight w:val="none"/>
          <w:lang w:bidi="ar"/>
        </w:rPr>
        <w:t>/提供服务），或者提供其他残疾人福利性单位制造的货物（不包括使用非残疾人福利性单位注册商标的货物）。</w:t>
      </w:r>
    </w:p>
    <w:p>
      <w:pPr>
        <w:spacing w:line="3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pPr>
        <w:spacing w:line="360" w:lineRule="exact"/>
        <w:ind w:firstLine="480" w:firstLineChars="200"/>
        <w:rPr>
          <w:rFonts w:ascii="宋体" w:hAnsi="宋体" w:eastAsia="宋体" w:cs="宋体"/>
          <w:color w:val="auto"/>
          <w:sz w:val="24"/>
          <w:szCs w:val="24"/>
          <w:highlight w:val="none"/>
        </w:rPr>
      </w:pPr>
    </w:p>
    <w:p>
      <w:pPr>
        <w:spacing w:line="3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供应商（盖章）：</w:t>
      </w:r>
    </w:p>
    <w:p>
      <w:pPr>
        <w:spacing w:line="3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日期：年月</w:t>
      </w:r>
      <w:r>
        <w:rPr>
          <w:rFonts w:hint="eastAsia" w:ascii="宋体" w:hAnsi="宋体" w:eastAsia="宋体" w:cs="宋体"/>
          <w:color w:val="auto"/>
          <w:spacing w:val="-3"/>
          <w:sz w:val="24"/>
          <w:szCs w:val="24"/>
          <w:highlight w:val="none"/>
          <w:lang w:bidi="ar"/>
        </w:rPr>
        <w:t>日</w:t>
      </w:r>
    </w:p>
    <w:p>
      <w:pPr>
        <w:spacing w:line="360" w:lineRule="exact"/>
        <w:ind w:firstLine="480" w:firstLineChars="200"/>
        <w:rPr>
          <w:rFonts w:ascii="宋体" w:hAnsi="宋体" w:eastAsia="宋体" w:cs="宋体"/>
          <w:color w:val="auto"/>
          <w:sz w:val="24"/>
          <w:szCs w:val="24"/>
          <w:highlight w:val="none"/>
        </w:rPr>
      </w:pPr>
    </w:p>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br w:type="page"/>
      </w:r>
    </w:p>
    <w:p>
      <w:pPr>
        <w:spacing w:line="360" w:lineRule="exact"/>
        <w:ind w:firstLine="480" w:firstLineChars="200"/>
        <w:rPr>
          <w:rFonts w:ascii="宋体" w:hAnsi="宋体" w:eastAsia="宋体" w:cs="宋体"/>
          <w:color w:val="auto"/>
          <w:sz w:val="24"/>
          <w:szCs w:val="24"/>
          <w:highlight w:val="none"/>
        </w:rPr>
      </w:pPr>
      <w:bookmarkStart w:id="72" w:name="_Toc9297"/>
      <w:r>
        <w:rPr>
          <w:rFonts w:hint="eastAsia" w:ascii="宋体" w:hAnsi="宋体" w:eastAsia="宋体" w:cs="宋体"/>
          <w:color w:val="auto"/>
          <w:sz w:val="24"/>
          <w:szCs w:val="24"/>
          <w:highlight w:val="none"/>
          <w:lang w:bidi="ar"/>
        </w:rPr>
        <w:t>属于监狱企业的证明文件</w:t>
      </w:r>
      <w:bookmarkEnd w:id="72"/>
    </w:p>
    <w:p>
      <w:pPr>
        <w:spacing w:line="3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（提供由省级以上监狱管理局、戒毒管理局(含新疆生产建设兵团)出具的属于监狱企业的证 明文件）</w:t>
      </w:r>
    </w:p>
    <w:p>
      <w:pPr>
        <w:spacing w:line="360" w:lineRule="exact"/>
        <w:ind w:firstLine="480" w:firstLineChars="200"/>
        <w:rPr>
          <w:rFonts w:ascii="宋体" w:hAnsi="宋体" w:eastAsia="宋体" w:cs="宋体"/>
          <w:color w:val="auto"/>
          <w:sz w:val="24"/>
          <w:szCs w:val="24"/>
          <w:highlight w:val="none"/>
        </w:rPr>
      </w:pPr>
    </w:p>
    <w:p>
      <w:pPr>
        <w:spacing w:line="360" w:lineRule="exact"/>
        <w:ind w:firstLine="480" w:firstLineChars="200"/>
        <w:rPr>
          <w:rFonts w:ascii="宋体" w:hAnsi="宋体" w:eastAsia="宋体" w:cs="宋体"/>
          <w:color w:val="auto"/>
          <w:sz w:val="24"/>
          <w:szCs w:val="24"/>
          <w:highlight w:val="none"/>
        </w:rPr>
      </w:pPr>
    </w:p>
    <w:p>
      <w:pPr>
        <w:spacing w:line="360" w:lineRule="exact"/>
        <w:ind w:firstLine="480" w:firstLineChars="200"/>
        <w:rPr>
          <w:rFonts w:ascii="宋体" w:hAnsi="宋体" w:eastAsia="宋体" w:cs="宋体"/>
          <w:color w:val="auto"/>
          <w:sz w:val="24"/>
          <w:szCs w:val="24"/>
          <w:highlight w:val="none"/>
        </w:rPr>
      </w:pPr>
      <w:bookmarkStart w:id="73" w:name="_Toc27518"/>
      <w:r>
        <w:rPr>
          <w:rFonts w:hint="eastAsia" w:ascii="宋体" w:hAnsi="宋体" w:eastAsia="宋体" w:cs="宋体"/>
          <w:color w:val="auto"/>
          <w:sz w:val="24"/>
          <w:szCs w:val="24"/>
          <w:highlight w:val="none"/>
          <w:lang w:bidi="ar"/>
        </w:rPr>
        <w:t>节能产品认证文件</w:t>
      </w:r>
      <w:bookmarkEnd w:id="73"/>
    </w:p>
    <w:p>
      <w:pPr>
        <w:spacing w:line="3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（提供产品在《节能产品政府采购清单》中相应的页面）</w:t>
      </w:r>
    </w:p>
    <w:p>
      <w:pPr>
        <w:spacing w:line="360" w:lineRule="exact"/>
        <w:ind w:firstLine="480" w:firstLineChars="200"/>
        <w:rPr>
          <w:rFonts w:ascii="宋体" w:hAnsi="宋体" w:eastAsia="宋体" w:cs="宋体"/>
          <w:color w:val="auto"/>
          <w:sz w:val="24"/>
          <w:szCs w:val="24"/>
          <w:highlight w:val="none"/>
        </w:rPr>
      </w:pPr>
    </w:p>
    <w:p>
      <w:pPr>
        <w:spacing w:line="360" w:lineRule="exact"/>
        <w:ind w:firstLine="480" w:firstLineChars="200"/>
        <w:rPr>
          <w:rFonts w:ascii="宋体" w:hAnsi="宋体" w:eastAsia="宋体" w:cs="宋体"/>
          <w:color w:val="auto"/>
          <w:sz w:val="24"/>
          <w:szCs w:val="24"/>
          <w:highlight w:val="none"/>
        </w:rPr>
      </w:pPr>
    </w:p>
    <w:p>
      <w:pPr>
        <w:spacing w:line="360" w:lineRule="exact"/>
        <w:ind w:firstLine="480" w:firstLineChars="200"/>
        <w:rPr>
          <w:rFonts w:ascii="宋体" w:hAnsi="宋体" w:eastAsia="宋体" w:cs="宋体"/>
          <w:color w:val="auto"/>
          <w:sz w:val="24"/>
          <w:szCs w:val="24"/>
          <w:highlight w:val="none"/>
        </w:rPr>
      </w:pPr>
      <w:bookmarkStart w:id="74" w:name="_Toc12203"/>
      <w:r>
        <w:rPr>
          <w:rFonts w:hint="eastAsia" w:ascii="宋体" w:hAnsi="宋体" w:eastAsia="宋体" w:cs="宋体"/>
          <w:color w:val="auto"/>
          <w:sz w:val="24"/>
          <w:szCs w:val="24"/>
          <w:highlight w:val="none"/>
          <w:lang w:bidi="ar"/>
        </w:rPr>
        <w:t>环境标志产品认证文件</w:t>
      </w:r>
      <w:bookmarkEnd w:id="74"/>
    </w:p>
    <w:p>
      <w:pPr>
        <w:widowControl/>
        <w:jc w:val="left"/>
        <w:rPr>
          <w:rFonts w:hint="eastAsia" w:ascii="宋体" w:hAnsi="宋体" w:eastAsia="宋体" w:cs="宋体"/>
          <w:color w:val="auto"/>
          <w:kern w:val="0"/>
          <w:sz w:val="24"/>
          <w:szCs w:val="24"/>
          <w:highlight w:val="none"/>
          <w:lang w:bidi="ar"/>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kern w:val="0"/>
          <w:sz w:val="24"/>
          <w:szCs w:val="24"/>
          <w:highlight w:val="none"/>
          <w:lang w:bidi="ar"/>
        </w:rPr>
        <w:t>（提供产品在《环境标志产品政府采购清单》中相应的页面）</w:t>
      </w:r>
    </w:p>
    <w:p>
      <w:pPr>
        <w:jc w:val="center"/>
        <w:rPr>
          <w:rFonts w:hint="default" w:ascii="宋体" w:hAnsi="宋体" w:eastAsia="宋体" w:cs="仿宋"/>
          <w:b/>
          <w:bCs/>
          <w:color w:val="auto"/>
          <w:kern w:val="0"/>
          <w:sz w:val="32"/>
          <w:szCs w:val="32"/>
          <w:highlight w:val="none"/>
        </w:rPr>
      </w:pPr>
      <w:r>
        <w:rPr>
          <w:rFonts w:hint="eastAsia" w:ascii="宋体" w:hAnsi="宋体" w:eastAsia="宋体" w:cs="仿宋"/>
          <w:b/>
          <w:bCs/>
          <w:color w:val="auto"/>
          <w:kern w:val="0"/>
          <w:sz w:val="32"/>
          <w:szCs w:val="32"/>
          <w:highlight w:val="none"/>
        </w:rPr>
        <w:t>质疑函范本</w:t>
      </w:r>
    </w:p>
    <w:p>
      <w:pPr>
        <w:spacing w:before="290" w:line="360" w:lineRule="auto"/>
        <w:rPr>
          <w:rFonts w:hint="default" w:ascii="宋体" w:hAnsi="宋体" w:eastAsia="宋体" w:cs="仿宋"/>
          <w:bCs/>
          <w:color w:val="auto"/>
          <w:kern w:val="0"/>
          <w:sz w:val="24"/>
          <w:szCs w:val="24"/>
          <w:highlight w:val="none"/>
        </w:rPr>
      </w:pPr>
      <w:r>
        <w:rPr>
          <w:rFonts w:hint="eastAsia" w:ascii="宋体" w:hAnsi="宋体" w:eastAsia="宋体" w:cs="仿宋"/>
          <w:bCs/>
          <w:color w:val="auto"/>
          <w:kern w:val="0"/>
          <w:sz w:val="24"/>
          <w:szCs w:val="24"/>
          <w:highlight w:val="none"/>
        </w:rPr>
        <w:t>一、质疑供应商基本信息</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rPr>
        <w:t>质疑供应商：</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地址：</w:t>
      </w:r>
      <w:r>
        <w:rPr>
          <w:rFonts w:hint="eastAsia" w:ascii="宋体" w:hAnsi="宋体" w:eastAsia="宋体" w:cs="仿宋"/>
          <w:color w:val="auto"/>
          <w:kern w:val="0"/>
          <w:sz w:val="24"/>
          <w:szCs w:val="24"/>
          <w:highlight w:val="none"/>
          <w:u w:val="single"/>
        </w:rPr>
        <w:t xml:space="preserve">                             </w:t>
      </w:r>
      <w:r>
        <w:rPr>
          <w:rFonts w:hint="eastAsia" w:ascii="宋体" w:hAnsi="宋体" w:eastAsia="宋体" w:cs="仿宋"/>
          <w:color w:val="auto"/>
          <w:kern w:val="0"/>
          <w:sz w:val="24"/>
          <w:szCs w:val="24"/>
          <w:highlight w:val="none"/>
        </w:rPr>
        <w:t>邮编：</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联系人：</w:t>
      </w:r>
      <w:r>
        <w:rPr>
          <w:rFonts w:hint="eastAsia" w:ascii="宋体" w:hAnsi="宋体" w:eastAsia="宋体" w:cs="仿宋"/>
          <w:color w:val="auto"/>
          <w:kern w:val="0"/>
          <w:sz w:val="24"/>
          <w:szCs w:val="24"/>
          <w:highlight w:val="none"/>
          <w:u w:val="single"/>
        </w:rPr>
        <w:t xml:space="preserve">                      </w:t>
      </w:r>
      <w:r>
        <w:rPr>
          <w:rFonts w:hint="eastAsia" w:ascii="宋体" w:hAnsi="宋体" w:eastAsia="宋体" w:cs="仿宋"/>
          <w:color w:val="auto"/>
          <w:kern w:val="0"/>
          <w:sz w:val="24"/>
          <w:szCs w:val="24"/>
          <w:highlight w:val="none"/>
        </w:rPr>
        <w:t>联系电话：</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rPr>
        <w:t>授权代表：</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联系电话：</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地址：</w:t>
      </w:r>
      <w:r>
        <w:rPr>
          <w:rFonts w:hint="default" w:ascii="宋体" w:hAnsi="宋体" w:eastAsia="宋体" w:cs="仿宋"/>
          <w:color w:val="auto"/>
          <w:kern w:val="0"/>
          <w:sz w:val="24"/>
          <w:szCs w:val="24"/>
          <w:highlight w:val="none"/>
        </w:rPr>
        <w:t xml:space="preserve"> </w:t>
      </w:r>
      <w:r>
        <w:rPr>
          <w:rFonts w:hint="eastAsia" w:ascii="宋体" w:hAnsi="宋体" w:eastAsia="宋体" w:cs="仿宋"/>
          <w:color w:val="auto"/>
          <w:kern w:val="0"/>
          <w:sz w:val="24"/>
          <w:szCs w:val="24"/>
          <w:highlight w:val="none"/>
          <w:u w:val="single"/>
        </w:rPr>
        <w:t xml:space="preserve">                        </w:t>
      </w:r>
      <w:r>
        <w:rPr>
          <w:rFonts w:hint="eastAsia" w:ascii="宋体" w:hAnsi="宋体" w:eastAsia="宋体" w:cs="仿宋"/>
          <w:color w:val="auto"/>
          <w:kern w:val="0"/>
          <w:sz w:val="24"/>
          <w:szCs w:val="24"/>
          <w:highlight w:val="none"/>
        </w:rPr>
        <w:t>邮编：</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bCs/>
          <w:color w:val="auto"/>
          <w:kern w:val="0"/>
          <w:sz w:val="24"/>
          <w:szCs w:val="24"/>
          <w:highlight w:val="none"/>
        </w:rPr>
      </w:pPr>
      <w:r>
        <w:rPr>
          <w:rFonts w:hint="eastAsia" w:ascii="宋体" w:hAnsi="宋体" w:eastAsia="宋体" w:cs="仿宋"/>
          <w:bCs/>
          <w:color w:val="auto"/>
          <w:kern w:val="0"/>
          <w:sz w:val="24"/>
          <w:szCs w:val="24"/>
          <w:highlight w:val="none"/>
        </w:rPr>
        <w:t>二、质疑项目基本情况</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质疑项目的名称：</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质疑项目的编号：</w:t>
      </w:r>
      <w:r>
        <w:rPr>
          <w:rFonts w:hint="eastAsia" w:ascii="宋体" w:hAnsi="宋体" w:eastAsia="宋体" w:cs="仿宋"/>
          <w:color w:val="auto"/>
          <w:kern w:val="0"/>
          <w:sz w:val="24"/>
          <w:szCs w:val="24"/>
          <w:highlight w:val="none"/>
          <w:u w:val="single"/>
        </w:rPr>
        <w:t xml:space="preserve">                         </w:t>
      </w:r>
      <w:r>
        <w:rPr>
          <w:rFonts w:hint="eastAsia" w:ascii="宋体" w:hAnsi="宋体" w:eastAsia="宋体" w:cs="仿宋"/>
          <w:color w:val="auto"/>
          <w:kern w:val="0"/>
          <w:sz w:val="24"/>
          <w:szCs w:val="24"/>
          <w:highlight w:val="none"/>
        </w:rPr>
        <w:t>包号：</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rPr>
        <w:t>采购人名称：</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采购文件获取日期：</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bCs/>
          <w:color w:val="auto"/>
          <w:kern w:val="0"/>
          <w:sz w:val="24"/>
          <w:szCs w:val="24"/>
          <w:highlight w:val="none"/>
        </w:rPr>
      </w:pPr>
      <w:r>
        <w:rPr>
          <w:rFonts w:hint="eastAsia" w:ascii="宋体" w:hAnsi="宋体" w:eastAsia="宋体" w:cs="仿宋"/>
          <w:bCs/>
          <w:color w:val="auto"/>
          <w:kern w:val="0"/>
          <w:sz w:val="24"/>
          <w:szCs w:val="24"/>
          <w:highlight w:val="none"/>
        </w:rPr>
        <w:t>三、质疑事项具体内容</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rPr>
        <w:t>质疑事项1：</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rPr>
        <w:t>事实依据：</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rPr>
        <w:t>法律依据：</w:t>
      </w: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u w:val="single"/>
        </w:rPr>
        <w:t xml:space="preserve">                                                                           </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rPr>
        <w:t>质疑事项2</w:t>
      </w:r>
    </w:p>
    <w:p>
      <w:pPr>
        <w:spacing w:line="360" w:lineRule="auto"/>
        <w:rPr>
          <w:rFonts w:hint="default" w:ascii="宋体" w:hAnsi="宋体" w:eastAsia="宋体" w:cs="仿宋"/>
          <w:color w:val="auto"/>
          <w:kern w:val="0"/>
          <w:sz w:val="24"/>
          <w:szCs w:val="24"/>
          <w:highlight w:val="none"/>
        </w:rPr>
      </w:pPr>
      <w:r>
        <w:rPr>
          <w:rFonts w:hint="eastAsia" w:ascii="宋体" w:hAnsi="宋体" w:eastAsia="宋体" w:cs="仿宋"/>
          <w:color w:val="auto"/>
          <w:kern w:val="0"/>
          <w:sz w:val="24"/>
          <w:szCs w:val="24"/>
          <w:highlight w:val="none"/>
        </w:rPr>
        <w:t>……</w:t>
      </w:r>
    </w:p>
    <w:p>
      <w:pPr>
        <w:spacing w:line="360" w:lineRule="auto"/>
        <w:rPr>
          <w:rFonts w:hint="default" w:ascii="宋体" w:hAnsi="宋体" w:eastAsia="宋体" w:cs="仿宋"/>
          <w:bCs/>
          <w:color w:val="auto"/>
          <w:kern w:val="0"/>
          <w:sz w:val="24"/>
          <w:szCs w:val="24"/>
          <w:highlight w:val="none"/>
        </w:rPr>
      </w:pPr>
      <w:r>
        <w:rPr>
          <w:rFonts w:hint="eastAsia" w:ascii="宋体" w:hAnsi="宋体" w:eastAsia="宋体" w:cs="仿宋"/>
          <w:bCs/>
          <w:color w:val="auto"/>
          <w:kern w:val="0"/>
          <w:sz w:val="24"/>
          <w:szCs w:val="24"/>
          <w:highlight w:val="none"/>
        </w:rPr>
        <w:t>四、与质疑事项相关的质疑请求</w:t>
      </w:r>
    </w:p>
    <w:p>
      <w:pPr>
        <w:spacing w:line="360" w:lineRule="auto"/>
        <w:rPr>
          <w:rFonts w:hint="default" w:ascii="宋体" w:hAnsi="宋体" w:eastAsia="宋体" w:cs="仿宋"/>
          <w:color w:val="auto"/>
          <w:kern w:val="0"/>
          <w:sz w:val="24"/>
          <w:szCs w:val="24"/>
          <w:highlight w:val="none"/>
          <w:u w:val="single"/>
        </w:rPr>
      </w:pPr>
      <w:r>
        <w:rPr>
          <w:rFonts w:hint="eastAsia" w:ascii="宋体" w:hAnsi="宋体" w:eastAsia="宋体" w:cs="仿宋"/>
          <w:color w:val="auto"/>
          <w:kern w:val="0"/>
          <w:sz w:val="24"/>
          <w:szCs w:val="24"/>
          <w:highlight w:val="none"/>
        </w:rPr>
        <w:t>请求：</w:t>
      </w:r>
      <w:r>
        <w:rPr>
          <w:rFonts w:hint="eastAsia" w:ascii="宋体" w:hAnsi="宋体" w:eastAsia="宋体" w:cs="仿宋"/>
          <w:color w:val="auto"/>
          <w:kern w:val="0"/>
          <w:sz w:val="24"/>
          <w:szCs w:val="24"/>
          <w:highlight w:val="none"/>
          <w:u w:val="single"/>
        </w:rPr>
        <w:t xml:space="preserve">                                                                     </w:t>
      </w:r>
    </w:p>
    <w:p>
      <w:pP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签字(签章)：                   公章：                      </w:t>
      </w:r>
    </w:p>
    <w:p>
      <w:pP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日期：    </w:t>
      </w:r>
    </w:p>
    <w:p>
      <w:pPr>
        <w:spacing w:line="400" w:lineRule="exact"/>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质疑函制作说明：</w:t>
      </w:r>
    </w:p>
    <w:p>
      <w:pPr>
        <w:widowControl/>
        <w:spacing w:line="400" w:lineRule="exact"/>
        <w:ind w:firstLine="48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1.供应商提出质疑时，应提交质疑函和必要的证明材料。</w:t>
      </w:r>
    </w:p>
    <w:p>
      <w:pPr>
        <w:widowControl/>
        <w:spacing w:line="400" w:lineRule="exact"/>
        <w:ind w:firstLine="48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widowControl/>
        <w:spacing w:line="400" w:lineRule="exact"/>
        <w:ind w:firstLine="48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3.质疑供应商若对项目的某一分包进行质疑，质疑函中应列明具体分包号。</w:t>
      </w:r>
    </w:p>
    <w:p>
      <w:pPr>
        <w:widowControl/>
        <w:spacing w:line="400" w:lineRule="exact"/>
        <w:ind w:firstLine="48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4.质疑函的质疑事项应具体、明确，并有必要的事实依据和法律依据。</w:t>
      </w:r>
    </w:p>
    <w:p>
      <w:pPr>
        <w:widowControl/>
        <w:spacing w:line="400" w:lineRule="exact"/>
        <w:ind w:firstLine="48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5.质疑函的质疑请求应与质疑事项相关。</w:t>
      </w:r>
    </w:p>
    <w:p>
      <w:pPr>
        <w:widowControl/>
        <w:spacing w:line="400" w:lineRule="exact"/>
        <w:ind w:firstLine="48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ind w:firstLine="480" w:firstLineChars="200"/>
        <w:rPr>
          <w:rFonts w:ascii="Times New Roman" w:hAnsi="Times New Roman" w:eastAsia="宋体" w:cs="Times New Roman"/>
          <w:color w:val="auto"/>
          <w:sz w:val="24"/>
          <w:szCs w:val="24"/>
          <w:highlight w:val="none"/>
          <w:u w:color="FF0000"/>
        </w:rPr>
      </w:pPr>
    </w:p>
    <w:p>
      <w:pPr>
        <w:spacing w:line="360" w:lineRule="auto"/>
        <w:ind w:firstLine="480" w:firstLineChars="200"/>
        <w:rPr>
          <w:rFonts w:ascii="Times New Roman" w:hAnsi="Times New Roman" w:eastAsia="宋体" w:cs="Times New Roman"/>
          <w:color w:val="auto"/>
          <w:sz w:val="24"/>
          <w:szCs w:val="24"/>
          <w:highlight w:val="none"/>
          <w:u w:color="FF0000"/>
        </w:rPr>
      </w:pPr>
    </w:p>
    <w:bookmarkEnd w:id="37"/>
    <w:bookmarkEnd w:id="38"/>
    <w:bookmarkEnd w:id="39"/>
    <w:bookmarkEnd w:id="40"/>
    <w:p>
      <w:pPr>
        <w:widowControl/>
        <w:jc w:val="left"/>
        <w:rPr>
          <w:rFonts w:ascii="Times New Roman" w:hAnsi="Times New Roman" w:eastAsia="黑体" w:cs="Times New Roman"/>
          <w:color w:val="auto"/>
          <w:sz w:val="24"/>
          <w:szCs w:val="24"/>
          <w:highlight w:val="none"/>
          <w:u w:color="000000"/>
        </w:rPr>
      </w:pPr>
    </w:p>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Times New Roman" w:hAnsi="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Times New Roman" w:hAnsi="Times New Roman" w:cs="Times New Roman"/>
        <w:sz w:val="21"/>
        <w:szCs w:val="21"/>
      </w:rPr>
    </w:pPr>
    <w:r>
      <w:rPr>
        <w:rFonts w:hint="eastAsia" w:ascii="Times New Roman" w:hAnsi="Times New Roman" w:cs="Times New Roman"/>
        <w:sz w:val="21"/>
        <w:lang w:eastAsia="zh-CN"/>
      </w:rPr>
      <w:t>南京铁路公安处一键点调系统</w:t>
    </w:r>
    <w:r>
      <w:rPr>
        <w:rFonts w:hint="eastAsia" w:ascii="Times New Roman" w:hAnsi="Times New Roman" w:cs="Times New Roman"/>
        <w:sz w:val="21"/>
      </w:rPr>
      <w:t>项目</w:t>
    </w:r>
    <w:r>
      <w:rPr>
        <w:rFonts w:ascii="Times New Roman" w:hAnsi="Times New Roman" w:cs="Times New Roman"/>
        <w:sz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Times New Roman" w:hAnsi="Times New Roman" w:cs="Times New Roman"/>
      </w:rPr>
    </w:pPr>
    <w:r>
      <w:rPr>
        <w:rFonts w:hint="eastAsia" w:ascii="Times New Roman" w:hAnsi="Times New Roman" w:cs="Times New Roman"/>
        <w:sz w:val="21"/>
        <w:lang w:eastAsia="zh-CN"/>
      </w:rPr>
      <w:t>南京铁路公安处一键点调系统</w:t>
    </w:r>
    <w:r>
      <w:rPr>
        <w:rFonts w:hint="eastAsia" w:ascii="Times New Roman" w:hAnsi="Times New Roman" w:cs="Times New Roman"/>
        <w:sz w:val="21"/>
      </w:rPr>
      <w:t>项目</w:t>
    </w:r>
    <w:r>
      <w:rPr>
        <w:rFonts w:ascii="Times New Roman" w:hAnsi="Times New Roman" w:cs="Times New Roman"/>
        <w:sz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49AFC"/>
    <w:multiLevelType w:val="singleLevel"/>
    <w:tmpl w:val="A8749AFC"/>
    <w:lvl w:ilvl="0" w:tentative="0">
      <w:start w:val="2"/>
      <w:numFmt w:val="decimal"/>
      <w:suff w:val="nothing"/>
      <w:lvlText w:val="（%1）"/>
      <w:lvlJc w:val="left"/>
    </w:lvl>
  </w:abstractNum>
  <w:abstractNum w:abstractNumId="1">
    <w:nsid w:val="BD429092"/>
    <w:multiLevelType w:val="singleLevel"/>
    <w:tmpl w:val="BD429092"/>
    <w:lvl w:ilvl="0" w:tentative="0">
      <w:start w:val="1"/>
      <w:numFmt w:val="decimal"/>
      <w:suff w:val="nothing"/>
      <w:lvlText w:val="%1、"/>
      <w:lvlJc w:val="left"/>
    </w:lvl>
  </w:abstractNum>
  <w:abstractNum w:abstractNumId="2">
    <w:nsid w:val="EDF49D78"/>
    <w:multiLevelType w:val="singleLevel"/>
    <w:tmpl w:val="EDF49D78"/>
    <w:lvl w:ilvl="0" w:tentative="0">
      <w:start w:val="4"/>
      <w:numFmt w:val="chineseCounting"/>
      <w:suff w:val="space"/>
      <w:lvlText w:val="第%1章"/>
      <w:lvlJc w:val="left"/>
      <w:rPr>
        <w:rFonts w:hint="eastAsia"/>
      </w:rPr>
    </w:lvl>
  </w:abstractNum>
  <w:abstractNum w:abstractNumId="3">
    <w:nsid w:val="355BB912"/>
    <w:multiLevelType w:val="singleLevel"/>
    <w:tmpl w:val="355BB912"/>
    <w:lvl w:ilvl="0" w:tentative="0">
      <w:start w:val="2"/>
      <w:numFmt w:val="chineseCounting"/>
      <w:suff w:val="nothing"/>
      <w:lvlText w:val="%1、"/>
      <w:lvlJc w:val="left"/>
      <w:rPr>
        <w:rFonts w:hint="eastAsia"/>
      </w:rPr>
    </w:lvl>
  </w:abstractNum>
  <w:abstractNum w:abstractNumId="4">
    <w:nsid w:val="652845FC"/>
    <w:multiLevelType w:val="singleLevel"/>
    <w:tmpl w:val="652845FC"/>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iZTQ5OTQ2ZDdkMDQ5YjllZGNjODE2Yzg2ZWZmOTkifQ=="/>
  </w:docVars>
  <w:rsids>
    <w:rsidRoot w:val="00172A27"/>
    <w:rsid w:val="000017D3"/>
    <w:rsid w:val="000022EF"/>
    <w:rsid w:val="000031D8"/>
    <w:rsid w:val="00005096"/>
    <w:rsid w:val="000056D9"/>
    <w:rsid w:val="000056E1"/>
    <w:rsid w:val="00006D84"/>
    <w:rsid w:val="000075FC"/>
    <w:rsid w:val="00011C0C"/>
    <w:rsid w:val="00012CB3"/>
    <w:rsid w:val="000136D5"/>
    <w:rsid w:val="000138F2"/>
    <w:rsid w:val="000177AE"/>
    <w:rsid w:val="00020746"/>
    <w:rsid w:val="00021785"/>
    <w:rsid w:val="00022EE9"/>
    <w:rsid w:val="000243B6"/>
    <w:rsid w:val="0002477E"/>
    <w:rsid w:val="0002551A"/>
    <w:rsid w:val="00025649"/>
    <w:rsid w:val="00025F4B"/>
    <w:rsid w:val="00027040"/>
    <w:rsid w:val="0003047D"/>
    <w:rsid w:val="00031DD4"/>
    <w:rsid w:val="0003270F"/>
    <w:rsid w:val="00033710"/>
    <w:rsid w:val="00034684"/>
    <w:rsid w:val="00035C7F"/>
    <w:rsid w:val="0003780A"/>
    <w:rsid w:val="00041ECF"/>
    <w:rsid w:val="00042B97"/>
    <w:rsid w:val="0004378F"/>
    <w:rsid w:val="000519F3"/>
    <w:rsid w:val="00051C12"/>
    <w:rsid w:val="00051FF7"/>
    <w:rsid w:val="00052E3D"/>
    <w:rsid w:val="00052F06"/>
    <w:rsid w:val="00055251"/>
    <w:rsid w:val="00057F21"/>
    <w:rsid w:val="00060CBE"/>
    <w:rsid w:val="00061742"/>
    <w:rsid w:val="00063293"/>
    <w:rsid w:val="00064072"/>
    <w:rsid w:val="00065399"/>
    <w:rsid w:val="00067BF9"/>
    <w:rsid w:val="00070161"/>
    <w:rsid w:val="00071D24"/>
    <w:rsid w:val="000726D9"/>
    <w:rsid w:val="000733DD"/>
    <w:rsid w:val="00074A07"/>
    <w:rsid w:val="00075664"/>
    <w:rsid w:val="00075C4E"/>
    <w:rsid w:val="00075C6A"/>
    <w:rsid w:val="00077862"/>
    <w:rsid w:val="00077C90"/>
    <w:rsid w:val="000818B3"/>
    <w:rsid w:val="000823B6"/>
    <w:rsid w:val="00082AA9"/>
    <w:rsid w:val="00083208"/>
    <w:rsid w:val="0008394A"/>
    <w:rsid w:val="000841BE"/>
    <w:rsid w:val="000847FF"/>
    <w:rsid w:val="00085C2A"/>
    <w:rsid w:val="00086855"/>
    <w:rsid w:val="00087768"/>
    <w:rsid w:val="0009049D"/>
    <w:rsid w:val="00090E2D"/>
    <w:rsid w:val="00090E45"/>
    <w:rsid w:val="00091794"/>
    <w:rsid w:val="000931A1"/>
    <w:rsid w:val="000933FC"/>
    <w:rsid w:val="0009742B"/>
    <w:rsid w:val="000977F6"/>
    <w:rsid w:val="000A0BDB"/>
    <w:rsid w:val="000A1531"/>
    <w:rsid w:val="000A24F8"/>
    <w:rsid w:val="000A721E"/>
    <w:rsid w:val="000B15BC"/>
    <w:rsid w:val="000B1A64"/>
    <w:rsid w:val="000B1C64"/>
    <w:rsid w:val="000B370E"/>
    <w:rsid w:val="000B4B12"/>
    <w:rsid w:val="000B5784"/>
    <w:rsid w:val="000C0685"/>
    <w:rsid w:val="000C17DB"/>
    <w:rsid w:val="000C45A9"/>
    <w:rsid w:val="000C4D61"/>
    <w:rsid w:val="000C4DF0"/>
    <w:rsid w:val="000C5960"/>
    <w:rsid w:val="000D0593"/>
    <w:rsid w:val="000D394A"/>
    <w:rsid w:val="000D5167"/>
    <w:rsid w:val="000D660B"/>
    <w:rsid w:val="000E2443"/>
    <w:rsid w:val="000E40F0"/>
    <w:rsid w:val="000E5CA9"/>
    <w:rsid w:val="000E5D3A"/>
    <w:rsid w:val="000E7C1A"/>
    <w:rsid w:val="000F0A11"/>
    <w:rsid w:val="000F1704"/>
    <w:rsid w:val="000F28A9"/>
    <w:rsid w:val="000F29AA"/>
    <w:rsid w:val="000F3038"/>
    <w:rsid w:val="000F4052"/>
    <w:rsid w:val="000F5248"/>
    <w:rsid w:val="000F652F"/>
    <w:rsid w:val="000F6EF7"/>
    <w:rsid w:val="000F7662"/>
    <w:rsid w:val="000F7EFA"/>
    <w:rsid w:val="00101ED5"/>
    <w:rsid w:val="001041C8"/>
    <w:rsid w:val="001061CB"/>
    <w:rsid w:val="00106DBE"/>
    <w:rsid w:val="00106F06"/>
    <w:rsid w:val="00107D17"/>
    <w:rsid w:val="00110CFB"/>
    <w:rsid w:val="001153B6"/>
    <w:rsid w:val="001211A1"/>
    <w:rsid w:val="00121E0C"/>
    <w:rsid w:val="00122553"/>
    <w:rsid w:val="0012333F"/>
    <w:rsid w:val="00125E7A"/>
    <w:rsid w:val="00126333"/>
    <w:rsid w:val="00126F74"/>
    <w:rsid w:val="001273C6"/>
    <w:rsid w:val="00131794"/>
    <w:rsid w:val="00131E8D"/>
    <w:rsid w:val="00134ACB"/>
    <w:rsid w:val="00137345"/>
    <w:rsid w:val="001377E4"/>
    <w:rsid w:val="001401FB"/>
    <w:rsid w:val="001405B1"/>
    <w:rsid w:val="0014080E"/>
    <w:rsid w:val="0014146B"/>
    <w:rsid w:val="001435C0"/>
    <w:rsid w:val="0014418D"/>
    <w:rsid w:val="001501CB"/>
    <w:rsid w:val="001512A0"/>
    <w:rsid w:val="00152247"/>
    <w:rsid w:val="00156C30"/>
    <w:rsid w:val="001576D3"/>
    <w:rsid w:val="001624C7"/>
    <w:rsid w:val="00164B11"/>
    <w:rsid w:val="00164C1F"/>
    <w:rsid w:val="0017080F"/>
    <w:rsid w:val="0017171C"/>
    <w:rsid w:val="001717C1"/>
    <w:rsid w:val="00171CA7"/>
    <w:rsid w:val="001724E1"/>
    <w:rsid w:val="001727F4"/>
    <w:rsid w:val="0017379D"/>
    <w:rsid w:val="00173C7E"/>
    <w:rsid w:val="00174139"/>
    <w:rsid w:val="00175DCF"/>
    <w:rsid w:val="001760AB"/>
    <w:rsid w:val="001769F4"/>
    <w:rsid w:val="001810D4"/>
    <w:rsid w:val="001832B0"/>
    <w:rsid w:val="001850A5"/>
    <w:rsid w:val="001857CA"/>
    <w:rsid w:val="001869BD"/>
    <w:rsid w:val="00190DBD"/>
    <w:rsid w:val="00192802"/>
    <w:rsid w:val="00195465"/>
    <w:rsid w:val="00195931"/>
    <w:rsid w:val="00196C25"/>
    <w:rsid w:val="00196F5A"/>
    <w:rsid w:val="00197377"/>
    <w:rsid w:val="001A049E"/>
    <w:rsid w:val="001A054F"/>
    <w:rsid w:val="001A188D"/>
    <w:rsid w:val="001A5D25"/>
    <w:rsid w:val="001B033E"/>
    <w:rsid w:val="001B1F27"/>
    <w:rsid w:val="001B2444"/>
    <w:rsid w:val="001B25AC"/>
    <w:rsid w:val="001B6844"/>
    <w:rsid w:val="001C014D"/>
    <w:rsid w:val="001C080E"/>
    <w:rsid w:val="001C19FF"/>
    <w:rsid w:val="001C1CA1"/>
    <w:rsid w:val="001C2329"/>
    <w:rsid w:val="001C2F31"/>
    <w:rsid w:val="001C394B"/>
    <w:rsid w:val="001C6630"/>
    <w:rsid w:val="001C6A24"/>
    <w:rsid w:val="001D0C4E"/>
    <w:rsid w:val="001D26C9"/>
    <w:rsid w:val="001D40E3"/>
    <w:rsid w:val="001D4F9C"/>
    <w:rsid w:val="001D6E90"/>
    <w:rsid w:val="001E2BFC"/>
    <w:rsid w:val="001E3E2D"/>
    <w:rsid w:val="001E5FB5"/>
    <w:rsid w:val="001E711D"/>
    <w:rsid w:val="001F06C5"/>
    <w:rsid w:val="001F1A04"/>
    <w:rsid w:val="001F38E0"/>
    <w:rsid w:val="001F3E71"/>
    <w:rsid w:val="001F5348"/>
    <w:rsid w:val="001F553F"/>
    <w:rsid w:val="001F6616"/>
    <w:rsid w:val="002022F4"/>
    <w:rsid w:val="00204F29"/>
    <w:rsid w:val="002060D9"/>
    <w:rsid w:val="002114D6"/>
    <w:rsid w:val="00211FBE"/>
    <w:rsid w:val="00213E33"/>
    <w:rsid w:val="00217026"/>
    <w:rsid w:val="00220B2D"/>
    <w:rsid w:val="00223BEB"/>
    <w:rsid w:val="00223DC9"/>
    <w:rsid w:val="00225B81"/>
    <w:rsid w:val="00225B97"/>
    <w:rsid w:val="00226B8F"/>
    <w:rsid w:val="00227613"/>
    <w:rsid w:val="0023233F"/>
    <w:rsid w:val="00232A96"/>
    <w:rsid w:val="002356AB"/>
    <w:rsid w:val="002371AE"/>
    <w:rsid w:val="00237254"/>
    <w:rsid w:val="00237700"/>
    <w:rsid w:val="00241588"/>
    <w:rsid w:val="0024346F"/>
    <w:rsid w:val="002434F2"/>
    <w:rsid w:val="00255A1C"/>
    <w:rsid w:val="00255C42"/>
    <w:rsid w:val="00255DCD"/>
    <w:rsid w:val="00255F0D"/>
    <w:rsid w:val="00257273"/>
    <w:rsid w:val="00257B84"/>
    <w:rsid w:val="002603C3"/>
    <w:rsid w:val="00260626"/>
    <w:rsid w:val="00261BB0"/>
    <w:rsid w:val="0026418C"/>
    <w:rsid w:val="002652A7"/>
    <w:rsid w:val="00267CF4"/>
    <w:rsid w:val="0027152D"/>
    <w:rsid w:val="00271948"/>
    <w:rsid w:val="00271E99"/>
    <w:rsid w:val="00272F19"/>
    <w:rsid w:val="002735EB"/>
    <w:rsid w:val="00274370"/>
    <w:rsid w:val="00274DB5"/>
    <w:rsid w:val="00276455"/>
    <w:rsid w:val="00280795"/>
    <w:rsid w:val="00282712"/>
    <w:rsid w:val="0028294F"/>
    <w:rsid w:val="00282DB2"/>
    <w:rsid w:val="00282E2B"/>
    <w:rsid w:val="00284433"/>
    <w:rsid w:val="002852E4"/>
    <w:rsid w:val="002855FB"/>
    <w:rsid w:val="00285883"/>
    <w:rsid w:val="0028597D"/>
    <w:rsid w:val="00285E94"/>
    <w:rsid w:val="002934A2"/>
    <w:rsid w:val="00293F58"/>
    <w:rsid w:val="00295012"/>
    <w:rsid w:val="00295A8D"/>
    <w:rsid w:val="00296FA2"/>
    <w:rsid w:val="00297A13"/>
    <w:rsid w:val="00297CF8"/>
    <w:rsid w:val="00297D7D"/>
    <w:rsid w:val="002A001A"/>
    <w:rsid w:val="002A0160"/>
    <w:rsid w:val="002A0ECA"/>
    <w:rsid w:val="002A19D0"/>
    <w:rsid w:val="002A23C9"/>
    <w:rsid w:val="002A2B68"/>
    <w:rsid w:val="002A38E1"/>
    <w:rsid w:val="002A3902"/>
    <w:rsid w:val="002A3A8D"/>
    <w:rsid w:val="002A7B58"/>
    <w:rsid w:val="002A7B5E"/>
    <w:rsid w:val="002B141F"/>
    <w:rsid w:val="002B2DD6"/>
    <w:rsid w:val="002B3C23"/>
    <w:rsid w:val="002B3E9D"/>
    <w:rsid w:val="002B4B51"/>
    <w:rsid w:val="002B5A10"/>
    <w:rsid w:val="002B5FA2"/>
    <w:rsid w:val="002B64DD"/>
    <w:rsid w:val="002C04A6"/>
    <w:rsid w:val="002C0B34"/>
    <w:rsid w:val="002C0F09"/>
    <w:rsid w:val="002C14C5"/>
    <w:rsid w:val="002C17D9"/>
    <w:rsid w:val="002C2F68"/>
    <w:rsid w:val="002C568F"/>
    <w:rsid w:val="002D1D9D"/>
    <w:rsid w:val="002D1FB1"/>
    <w:rsid w:val="002D2076"/>
    <w:rsid w:val="002D266B"/>
    <w:rsid w:val="002D3BFF"/>
    <w:rsid w:val="002D4157"/>
    <w:rsid w:val="002D4AAC"/>
    <w:rsid w:val="002D5B39"/>
    <w:rsid w:val="002D68AA"/>
    <w:rsid w:val="002E16CD"/>
    <w:rsid w:val="002E6A01"/>
    <w:rsid w:val="002E7DDA"/>
    <w:rsid w:val="002F0AC0"/>
    <w:rsid w:val="002F36BD"/>
    <w:rsid w:val="002F37C1"/>
    <w:rsid w:val="002F3ABE"/>
    <w:rsid w:val="00300533"/>
    <w:rsid w:val="00300945"/>
    <w:rsid w:val="00300DE8"/>
    <w:rsid w:val="00302E57"/>
    <w:rsid w:val="00304A73"/>
    <w:rsid w:val="00305651"/>
    <w:rsid w:val="0031000A"/>
    <w:rsid w:val="00312F7A"/>
    <w:rsid w:val="00313C03"/>
    <w:rsid w:val="00314D70"/>
    <w:rsid w:val="00315009"/>
    <w:rsid w:val="003176B9"/>
    <w:rsid w:val="00321C8E"/>
    <w:rsid w:val="00322711"/>
    <w:rsid w:val="00322E79"/>
    <w:rsid w:val="00324F65"/>
    <w:rsid w:val="003274B9"/>
    <w:rsid w:val="0033136E"/>
    <w:rsid w:val="00333D35"/>
    <w:rsid w:val="0033460E"/>
    <w:rsid w:val="00340075"/>
    <w:rsid w:val="003405A1"/>
    <w:rsid w:val="00343DDF"/>
    <w:rsid w:val="0034502A"/>
    <w:rsid w:val="003453DF"/>
    <w:rsid w:val="00345EE9"/>
    <w:rsid w:val="003470C8"/>
    <w:rsid w:val="003475C2"/>
    <w:rsid w:val="003526F5"/>
    <w:rsid w:val="00352DFA"/>
    <w:rsid w:val="00352F15"/>
    <w:rsid w:val="00353B35"/>
    <w:rsid w:val="0035446D"/>
    <w:rsid w:val="00354646"/>
    <w:rsid w:val="0035596A"/>
    <w:rsid w:val="00356F3F"/>
    <w:rsid w:val="00357062"/>
    <w:rsid w:val="00357288"/>
    <w:rsid w:val="003575A3"/>
    <w:rsid w:val="00357F38"/>
    <w:rsid w:val="003604B5"/>
    <w:rsid w:val="00362BF0"/>
    <w:rsid w:val="00362C3B"/>
    <w:rsid w:val="00364878"/>
    <w:rsid w:val="003659EF"/>
    <w:rsid w:val="003668F7"/>
    <w:rsid w:val="00371FF0"/>
    <w:rsid w:val="00372783"/>
    <w:rsid w:val="00372973"/>
    <w:rsid w:val="003746F1"/>
    <w:rsid w:val="00377CBF"/>
    <w:rsid w:val="0038057E"/>
    <w:rsid w:val="0038085B"/>
    <w:rsid w:val="003811AF"/>
    <w:rsid w:val="0038214E"/>
    <w:rsid w:val="00383384"/>
    <w:rsid w:val="003852B5"/>
    <w:rsid w:val="00386FF7"/>
    <w:rsid w:val="00390C1B"/>
    <w:rsid w:val="00391B1F"/>
    <w:rsid w:val="00392A97"/>
    <w:rsid w:val="00393A8B"/>
    <w:rsid w:val="0039544C"/>
    <w:rsid w:val="003955DD"/>
    <w:rsid w:val="003958B6"/>
    <w:rsid w:val="003A06BC"/>
    <w:rsid w:val="003A1FA3"/>
    <w:rsid w:val="003A34B7"/>
    <w:rsid w:val="003A457E"/>
    <w:rsid w:val="003B13B9"/>
    <w:rsid w:val="003B2BFB"/>
    <w:rsid w:val="003B3EB7"/>
    <w:rsid w:val="003B5C1C"/>
    <w:rsid w:val="003B5E39"/>
    <w:rsid w:val="003B6105"/>
    <w:rsid w:val="003B63A1"/>
    <w:rsid w:val="003B79B1"/>
    <w:rsid w:val="003C0334"/>
    <w:rsid w:val="003C08EB"/>
    <w:rsid w:val="003C3AAB"/>
    <w:rsid w:val="003C47E7"/>
    <w:rsid w:val="003D17A7"/>
    <w:rsid w:val="003D1A16"/>
    <w:rsid w:val="003D23C8"/>
    <w:rsid w:val="003D4745"/>
    <w:rsid w:val="003E482A"/>
    <w:rsid w:val="003E50A1"/>
    <w:rsid w:val="003E52AB"/>
    <w:rsid w:val="003E722A"/>
    <w:rsid w:val="003E7603"/>
    <w:rsid w:val="003F16D6"/>
    <w:rsid w:val="003F27A4"/>
    <w:rsid w:val="003F30FE"/>
    <w:rsid w:val="003F357F"/>
    <w:rsid w:val="003F3817"/>
    <w:rsid w:val="003F3C1E"/>
    <w:rsid w:val="003F3EAD"/>
    <w:rsid w:val="003F4815"/>
    <w:rsid w:val="003F520D"/>
    <w:rsid w:val="003F560A"/>
    <w:rsid w:val="003F6B5C"/>
    <w:rsid w:val="003F7813"/>
    <w:rsid w:val="004024FC"/>
    <w:rsid w:val="00403BA9"/>
    <w:rsid w:val="00405454"/>
    <w:rsid w:val="0040635C"/>
    <w:rsid w:val="004068F7"/>
    <w:rsid w:val="004112AB"/>
    <w:rsid w:val="00411354"/>
    <w:rsid w:val="00412E8E"/>
    <w:rsid w:val="00413316"/>
    <w:rsid w:val="00413F76"/>
    <w:rsid w:val="00413FB9"/>
    <w:rsid w:val="00414180"/>
    <w:rsid w:val="00414513"/>
    <w:rsid w:val="004150B4"/>
    <w:rsid w:val="004152B9"/>
    <w:rsid w:val="00420274"/>
    <w:rsid w:val="00420EEF"/>
    <w:rsid w:val="004212E4"/>
    <w:rsid w:val="004216B5"/>
    <w:rsid w:val="00423E5E"/>
    <w:rsid w:val="00425681"/>
    <w:rsid w:val="00425D6C"/>
    <w:rsid w:val="00427855"/>
    <w:rsid w:val="00430650"/>
    <w:rsid w:val="004329BA"/>
    <w:rsid w:val="00432EDA"/>
    <w:rsid w:val="00434E02"/>
    <w:rsid w:val="00435C62"/>
    <w:rsid w:val="00437B0E"/>
    <w:rsid w:val="0044129B"/>
    <w:rsid w:val="00441548"/>
    <w:rsid w:val="004424EF"/>
    <w:rsid w:val="0044282B"/>
    <w:rsid w:val="004433C7"/>
    <w:rsid w:val="00443675"/>
    <w:rsid w:val="004452F8"/>
    <w:rsid w:val="0044609B"/>
    <w:rsid w:val="00446D37"/>
    <w:rsid w:val="00446FBE"/>
    <w:rsid w:val="00450097"/>
    <w:rsid w:val="00451DBD"/>
    <w:rsid w:val="004521DA"/>
    <w:rsid w:val="004523D0"/>
    <w:rsid w:val="004527E1"/>
    <w:rsid w:val="00452BCD"/>
    <w:rsid w:val="00456760"/>
    <w:rsid w:val="00457A4F"/>
    <w:rsid w:val="00461AE8"/>
    <w:rsid w:val="004625C1"/>
    <w:rsid w:val="004641F1"/>
    <w:rsid w:val="004662DD"/>
    <w:rsid w:val="00467451"/>
    <w:rsid w:val="004678BE"/>
    <w:rsid w:val="00470959"/>
    <w:rsid w:val="00471D8B"/>
    <w:rsid w:val="004724A1"/>
    <w:rsid w:val="00473234"/>
    <w:rsid w:val="00473BA3"/>
    <w:rsid w:val="00474629"/>
    <w:rsid w:val="00481E9F"/>
    <w:rsid w:val="00486130"/>
    <w:rsid w:val="00486BA8"/>
    <w:rsid w:val="00487D6E"/>
    <w:rsid w:val="00487EF5"/>
    <w:rsid w:val="00492B22"/>
    <w:rsid w:val="00494647"/>
    <w:rsid w:val="004948E9"/>
    <w:rsid w:val="0049745C"/>
    <w:rsid w:val="00497726"/>
    <w:rsid w:val="00497B2E"/>
    <w:rsid w:val="004A0B2D"/>
    <w:rsid w:val="004A1929"/>
    <w:rsid w:val="004A1A25"/>
    <w:rsid w:val="004A3472"/>
    <w:rsid w:val="004A41C0"/>
    <w:rsid w:val="004A49F0"/>
    <w:rsid w:val="004A4E96"/>
    <w:rsid w:val="004B13D2"/>
    <w:rsid w:val="004B36B9"/>
    <w:rsid w:val="004B3C67"/>
    <w:rsid w:val="004B637A"/>
    <w:rsid w:val="004B70D0"/>
    <w:rsid w:val="004B7673"/>
    <w:rsid w:val="004C1870"/>
    <w:rsid w:val="004C21C7"/>
    <w:rsid w:val="004C47A9"/>
    <w:rsid w:val="004C4C45"/>
    <w:rsid w:val="004C5B9C"/>
    <w:rsid w:val="004C762C"/>
    <w:rsid w:val="004C7AEE"/>
    <w:rsid w:val="004C7C6A"/>
    <w:rsid w:val="004D07A8"/>
    <w:rsid w:val="004D0FB9"/>
    <w:rsid w:val="004D2B8E"/>
    <w:rsid w:val="004D3765"/>
    <w:rsid w:val="004D4BE2"/>
    <w:rsid w:val="004D58C1"/>
    <w:rsid w:val="004D5AC3"/>
    <w:rsid w:val="004D715B"/>
    <w:rsid w:val="004D7696"/>
    <w:rsid w:val="004E145D"/>
    <w:rsid w:val="004E1975"/>
    <w:rsid w:val="004E48DA"/>
    <w:rsid w:val="004E6F3B"/>
    <w:rsid w:val="004F02D2"/>
    <w:rsid w:val="004F1FC7"/>
    <w:rsid w:val="004F4326"/>
    <w:rsid w:val="004F6EE6"/>
    <w:rsid w:val="004F75A0"/>
    <w:rsid w:val="005004B1"/>
    <w:rsid w:val="00500823"/>
    <w:rsid w:val="00501412"/>
    <w:rsid w:val="00501877"/>
    <w:rsid w:val="00501BD9"/>
    <w:rsid w:val="00502C0C"/>
    <w:rsid w:val="00503971"/>
    <w:rsid w:val="00505E92"/>
    <w:rsid w:val="0051287F"/>
    <w:rsid w:val="00512AED"/>
    <w:rsid w:val="00512DE6"/>
    <w:rsid w:val="00513BFA"/>
    <w:rsid w:val="0052238F"/>
    <w:rsid w:val="0052308D"/>
    <w:rsid w:val="00524292"/>
    <w:rsid w:val="00525E16"/>
    <w:rsid w:val="0053009E"/>
    <w:rsid w:val="005325CC"/>
    <w:rsid w:val="005342A4"/>
    <w:rsid w:val="00534C63"/>
    <w:rsid w:val="00534DDB"/>
    <w:rsid w:val="00536846"/>
    <w:rsid w:val="00540922"/>
    <w:rsid w:val="005438D1"/>
    <w:rsid w:val="00543CD1"/>
    <w:rsid w:val="00544C00"/>
    <w:rsid w:val="005457A3"/>
    <w:rsid w:val="00546096"/>
    <w:rsid w:val="00546DA7"/>
    <w:rsid w:val="0054744F"/>
    <w:rsid w:val="0054760E"/>
    <w:rsid w:val="00547C04"/>
    <w:rsid w:val="00547D8B"/>
    <w:rsid w:val="0055016C"/>
    <w:rsid w:val="005522F2"/>
    <w:rsid w:val="005540D8"/>
    <w:rsid w:val="00554308"/>
    <w:rsid w:val="00557DC9"/>
    <w:rsid w:val="005635C9"/>
    <w:rsid w:val="00565DDE"/>
    <w:rsid w:val="00565EAA"/>
    <w:rsid w:val="005669FD"/>
    <w:rsid w:val="005675A5"/>
    <w:rsid w:val="00570959"/>
    <w:rsid w:val="00570E0C"/>
    <w:rsid w:val="00572357"/>
    <w:rsid w:val="005773A9"/>
    <w:rsid w:val="005823F5"/>
    <w:rsid w:val="0058395A"/>
    <w:rsid w:val="0058423D"/>
    <w:rsid w:val="0058502D"/>
    <w:rsid w:val="005860E9"/>
    <w:rsid w:val="00590311"/>
    <w:rsid w:val="00590713"/>
    <w:rsid w:val="00590A1B"/>
    <w:rsid w:val="00590E0F"/>
    <w:rsid w:val="00592F21"/>
    <w:rsid w:val="005933FA"/>
    <w:rsid w:val="005943FD"/>
    <w:rsid w:val="005945AE"/>
    <w:rsid w:val="00594942"/>
    <w:rsid w:val="005968D1"/>
    <w:rsid w:val="005A04F3"/>
    <w:rsid w:val="005A10EC"/>
    <w:rsid w:val="005A12A8"/>
    <w:rsid w:val="005A1FDF"/>
    <w:rsid w:val="005A2BBB"/>
    <w:rsid w:val="005A41C0"/>
    <w:rsid w:val="005A45BD"/>
    <w:rsid w:val="005A47CE"/>
    <w:rsid w:val="005A52A9"/>
    <w:rsid w:val="005A6217"/>
    <w:rsid w:val="005A6481"/>
    <w:rsid w:val="005A6A01"/>
    <w:rsid w:val="005B0FEC"/>
    <w:rsid w:val="005B10BC"/>
    <w:rsid w:val="005B11EB"/>
    <w:rsid w:val="005B30ED"/>
    <w:rsid w:val="005B3470"/>
    <w:rsid w:val="005B37A1"/>
    <w:rsid w:val="005C0544"/>
    <w:rsid w:val="005C058A"/>
    <w:rsid w:val="005C0958"/>
    <w:rsid w:val="005C0A53"/>
    <w:rsid w:val="005C154F"/>
    <w:rsid w:val="005C1C9D"/>
    <w:rsid w:val="005C1EF4"/>
    <w:rsid w:val="005C2888"/>
    <w:rsid w:val="005C41A2"/>
    <w:rsid w:val="005C4E37"/>
    <w:rsid w:val="005C5156"/>
    <w:rsid w:val="005C60F3"/>
    <w:rsid w:val="005C67A2"/>
    <w:rsid w:val="005D1077"/>
    <w:rsid w:val="005D4F34"/>
    <w:rsid w:val="005D533D"/>
    <w:rsid w:val="005D5E5A"/>
    <w:rsid w:val="005D6AEC"/>
    <w:rsid w:val="005D707D"/>
    <w:rsid w:val="005D7EE6"/>
    <w:rsid w:val="005E2787"/>
    <w:rsid w:val="005E36C9"/>
    <w:rsid w:val="005E6044"/>
    <w:rsid w:val="005E63A8"/>
    <w:rsid w:val="005F14DA"/>
    <w:rsid w:val="005F257A"/>
    <w:rsid w:val="005F2B8A"/>
    <w:rsid w:val="005F3189"/>
    <w:rsid w:val="005F31AC"/>
    <w:rsid w:val="005F4090"/>
    <w:rsid w:val="005F45B0"/>
    <w:rsid w:val="005F6A89"/>
    <w:rsid w:val="005F6AFB"/>
    <w:rsid w:val="00601664"/>
    <w:rsid w:val="00603A3D"/>
    <w:rsid w:val="00603C1D"/>
    <w:rsid w:val="00604373"/>
    <w:rsid w:val="0060641A"/>
    <w:rsid w:val="00606727"/>
    <w:rsid w:val="00612C15"/>
    <w:rsid w:val="006136E6"/>
    <w:rsid w:val="006143EA"/>
    <w:rsid w:val="0061553E"/>
    <w:rsid w:val="00615817"/>
    <w:rsid w:val="00616107"/>
    <w:rsid w:val="006168EC"/>
    <w:rsid w:val="006235EE"/>
    <w:rsid w:val="006240C6"/>
    <w:rsid w:val="00627ED0"/>
    <w:rsid w:val="006302E2"/>
    <w:rsid w:val="00630438"/>
    <w:rsid w:val="00630AD6"/>
    <w:rsid w:val="006313AB"/>
    <w:rsid w:val="00631C4B"/>
    <w:rsid w:val="006333FF"/>
    <w:rsid w:val="00634CFB"/>
    <w:rsid w:val="00635874"/>
    <w:rsid w:val="0063695E"/>
    <w:rsid w:val="00642094"/>
    <w:rsid w:val="006424DB"/>
    <w:rsid w:val="00642B8C"/>
    <w:rsid w:val="00643A07"/>
    <w:rsid w:val="00644455"/>
    <w:rsid w:val="00644F7B"/>
    <w:rsid w:val="006470AE"/>
    <w:rsid w:val="006474FB"/>
    <w:rsid w:val="00651029"/>
    <w:rsid w:val="006517ED"/>
    <w:rsid w:val="00654CEF"/>
    <w:rsid w:val="00654F3C"/>
    <w:rsid w:val="00655D33"/>
    <w:rsid w:val="0065712D"/>
    <w:rsid w:val="00657E26"/>
    <w:rsid w:val="00660F1D"/>
    <w:rsid w:val="00662B7D"/>
    <w:rsid w:val="00663AD1"/>
    <w:rsid w:val="006712AC"/>
    <w:rsid w:val="00671CC2"/>
    <w:rsid w:val="00671D80"/>
    <w:rsid w:val="0067375A"/>
    <w:rsid w:val="00675D5F"/>
    <w:rsid w:val="006761D3"/>
    <w:rsid w:val="006767C0"/>
    <w:rsid w:val="00681E86"/>
    <w:rsid w:val="00685167"/>
    <w:rsid w:val="00685281"/>
    <w:rsid w:val="0069072E"/>
    <w:rsid w:val="00691296"/>
    <w:rsid w:val="00692A24"/>
    <w:rsid w:val="00693918"/>
    <w:rsid w:val="00694197"/>
    <w:rsid w:val="0069480A"/>
    <w:rsid w:val="006952F7"/>
    <w:rsid w:val="00696814"/>
    <w:rsid w:val="006976B6"/>
    <w:rsid w:val="00697B96"/>
    <w:rsid w:val="006A00C5"/>
    <w:rsid w:val="006A099E"/>
    <w:rsid w:val="006A12EA"/>
    <w:rsid w:val="006A14D5"/>
    <w:rsid w:val="006A1CC4"/>
    <w:rsid w:val="006A2AA2"/>
    <w:rsid w:val="006A30A3"/>
    <w:rsid w:val="006A33F0"/>
    <w:rsid w:val="006A361C"/>
    <w:rsid w:val="006A4239"/>
    <w:rsid w:val="006A5D02"/>
    <w:rsid w:val="006A5F5B"/>
    <w:rsid w:val="006A6114"/>
    <w:rsid w:val="006B0583"/>
    <w:rsid w:val="006B1127"/>
    <w:rsid w:val="006B1F3D"/>
    <w:rsid w:val="006B3516"/>
    <w:rsid w:val="006B35C7"/>
    <w:rsid w:val="006B3F6C"/>
    <w:rsid w:val="006B620E"/>
    <w:rsid w:val="006B6B31"/>
    <w:rsid w:val="006B6DD9"/>
    <w:rsid w:val="006B747D"/>
    <w:rsid w:val="006B750D"/>
    <w:rsid w:val="006B7A07"/>
    <w:rsid w:val="006C0A33"/>
    <w:rsid w:val="006C0A4A"/>
    <w:rsid w:val="006C1F9E"/>
    <w:rsid w:val="006C3BFC"/>
    <w:rsid w:val="006C4CDB"/>
    <w:rsid w:val="006C7234"/>
    <w:rsid w:val="006D0F1D"/>
    <w:rsid w:val="006D17B5"/>
    <w:rsid w:val="006D3687"/>
    <w:rsid w:val="006D415F"/>
    <w:rsid w:val="006D60FF"/>
    <w:rsid w:val="006D72B8"/>
    <w:rsid w:val="006E18FD"/>
    <w:rsid w:val="006E190B"/>
    <w:rsid w:val="006E289E"/>
    <w:rsid w:val="006E3140"/>
    <w:rsid w:val="006E4DF8"/>
    <w:rsid w:val="006E5496"/>
    <w:rsid w:val="006E67D2"/>
    <w:rsid w:val="006E7C64"/>
    <w:rsid w:val="006F02ED"/>
    <w:rsid w:val="006F04DA"/>
    <w:rsid w:val="006F0D67"/>
    <w:rsid w:val="006F131B"/>
    <w:rsid w:val="006F1F64"/>
    <w:rsid w:val="006F315C"/>
    <w:rsid w:val="006F4EFB"/>
    <w:rsid w:val="006F74DF"/>
    <w:rsid w:val="007004C2"/>
    <w:rsid w:val="00702242"/>
    <w:rsid w:val="00702455"/>
    <w:rsid w:val="007028F5"/>
    <w:rsid w:val="00702A56"/>
    <w:rsid w:val="007078CE"/>
    <w:rsid w:val="00711EC5"/>
    <w:rsid w:val="0071296E"/>
    <w:rsid w:val="00713111"/>
    <w:rsid w:val="00713D9E"/>
    <w:rsid w:val="00714E98"/>
    <w:rsid w:val="00715071"/>
    <w:rsid w:val="00715DF2"/>
    <w:rsid w:val="0071769D"/>
    <w:rsid w:val="00717AFE"/>
    <w:rsid w:val="00721837"/>
    <w:rsid w:val="00722908"/>
    <w:rsid w:val="0072423B"/>
    <w:rsid w:val="007303AC"/>
    <w:rsid w:val="00731920"/>
    <w:rsid w:val="00731BA4"/>
    <w:rsid w:val="00731D0A"/>
    <w:rsid w:val="0073276B"/>
    <w:rsid w:val="00733882"/>
    <w:rsid w:val="0073483C"/>
    <w:rsid w:val="007371B8"/>
    <w:rsid w:val="007400A7"/>
    <w:rsid w:val="0074125D"/>
    <w:rsid w:val="007421E4"/>
    <w:rsid w:val="007424D1"/>
    <w:rsid w:val="0074350D"/>
    <w:rsid w:val="00743BAA"/>
    <w:rsid w:val="00744CA0"/>
    <w:rsid w:val="00745539"/>
    <w:rsid w:val="00745F99"/>
    <w:rsid w:val="007462D9"/>
    <w:rsid w:val="00746658"/>
    <w:rsid w:val="00746F0D"/>
    <w:rsid w:val="007476D0"/>
    <w:rsid w:val="00751E11"/>
    <w:rsid w:val="00752859"/>
    <w:rsid w:val="00752D07"/>
    <w:rsid w:val="00753C5E"/>
    <w:rsid w:val="00754099"/>
    <w:rsid w:val="007540A2"/>
    <w:rsid w:val="007543F9"/>
    <w:rsid w:val="007554C7"/>
    <w:rsid w:val="0075615C"/>
    <w:rsid w:val="00756F8E"/>
    <w:rsid w:val="0075746A"/>
    <w:rsid w:val="00764891"/>
    <w:rsid w:val="00764C0C"/>
    <w:rsid w:val="00764D9C"/>
    <w:rsid w:val="00765FE0"/>
    <w:rsid w:val="00766A82"/>
    <w:rsid w:val="007677EE"/>
    <w:rsid w:val="00767A6A"/>
    <w:rsid w:val="00771C6A"/>
    <w:rsid w:val="00772202"/>
    <w:rsid w:val="007724C2"/>
    <w:rsid w:val="00772F76"/>
    <w:rsid w:val="00775FA0"/>
    <w:rsid w:val="00777137"/>
    <w:rsid w:val="0077728A"/>
    <w:rsid w:val="00781363"/>
    <w:rsid w:val="00782E36"/>
    <w:rsid w:val="007839CF"/>
    <w:rsid w:val="00783EEC"/>
    <w:rsid w:val="00786760"/>
    <w:rsid w:val="00787851"/>
    <w:rsid w:val="00791FD2"/>
    <w:rsid w:val="00792171"/>
    <w:rsid w:val="007943A5"/>
    <w:rsid w:val="00794CD7"/>
    <w:rsid w:val="007A0244"/>
    <w:rsid w:val="007A045F"/>
    <w:rsid w:val="007A0763"/>
    <w:rsid w:val="007A0FDF"/>
    <w:rsid w:val="007A1B29"/>
    <w:rsid w:val="007A3588"/>
    <w:rsid w:val="007A4164"/>
    <w:rsid w:val="007A58D6"/>
    <w:rsid w:val="007A6874"/>
    <w:rsid w:val="007A6ECA"/>
    <w:rsid w:val="007B4254"/>
    <w:rsid w:val="007B6BB3"/>
    <w:rsid w:val="007C135E"/>
    <w:rsid w:val="007C31E2"/>
    <w:rsid w:val="007C36AC"/>
    <w:rsid w:val="007C3A46"/>
    <w:rsid w:val="007C3A50"/>
    <w:rsid w:val="007C44A0"/>
    <w:rsid w:val="007C466B"/>
    <w:rsid w:val="007C47D7"/>
    <w:rsid w:val="007C4A00"/>
    <w:rsid w:val="007D2565"/>
    <w:rsid w:val="007D2570"/>
    <w:rsid w:val="007D287D"/>
    <w:rsid w:val="007D3112"/>
    <w:rsid w:val="007D37F2"/>
    <w:rsid w:val="007D46A4"/>
    <w:rsid w:val="007D6C3C"/>
    <w:rsid w:val="007D6CA3"/>
    <w:rsid w:val="007D74FB"/>
    <w:rsid w:val="007D7F28"/>
    <w:rsid w:val="007D7F7A"/>
    <w:rsid w:val="007E1F95"/>
    <w:rsid w:val="007E2BEE"/>
    <w:rsid w:val="007E3352"/>
    <w:rsid w:val="007E450B"/>
    <w:rsid w:val="007E52C3"/>
    <w:rsid w:val="007E6E25"/>
    <w:rsid w:val="007E716E"/>
    <w:rsid w:val="007F1727"/>
    <w:rsid w:val="007F1FAA"/>
    <w:rsid w:val="007F219B"/>
    <w:rsid w:val="007F3E85"/>
    <w:rsid w:val="007F4D88"/>
    <w:rsid w:val="007F539A"/>
    <w:rsid w:val="007F53E3"/>
    <w:rsid w:val="007F6CCC"/>
    <w:rsid w:val="007F6CCE"/>
    <w:rsid w:val="007F7CCF"/>
    <w:rsid w:val="0080290D"/>
    <w:rsid w:val="008029C4"/>
    <w:rsid w:val="00802B9E"/>
    <w:rsid w:val="0080457A"/>
    <w:rsid w:val="0080507F"/>
    <w:rsid w:val="00805E73"/>
    <w:rsid w:val="0080603D"/>
    <w:rsid w:val="0080620E"/>
    <w:rsid w:val="00806DD2"/>
    <w:rsid w:val="00807C51"/>
    <w:rsid w:val="0081084A"/>
    <w:rsid w:val="008128B7"/>
    <w:rsid w:val="00813D9E"/>
    <w:rsid w:val="008144F3"/>
    <w:rsid w:val="00814829"/>
    <w:rsid w:val="00815D1A"/>
    <w:rsid w:val="0081699D"/>
    <w:rsid w:val="00820680"/>
    <w:rsid w:val="00821163"/>
    <w:rsid w:val="00822711"/>
    <w:rsid w:val="0082416D"/>
    <w:rsid w:val="00826199"/>
    <w:rsid w:val="008264C5"/>
    <w:rsid w:val="00827D80"/>
    <w:rsid w:val="00831C1B"/>
    <w:rsid w:val="00832BCF"/>
    <w:rsid w:val="00833DB8"/>
    <w:rsid w:val="0083420A"/>
    <w:rsid w:val="00834376"/>
    <w:rsid w:val="00834AB5"/>
    <w:rsid w:val="0083724E"/>
    <w:rsid w:val="0084333F"/>
    <w:rsid w:val="00844E3D"/>
    <w:rsid w:val="00845A41"/>
    <w:rsid w:val="00846CAC"/>
    <w:rsid w:val="00847BED"/>
    <w:rsid w:val="0085041A"/>
    <w:rsid w:val="0085621B"/>
    <w:rsid w:val="00856605"/>
    <w:rsid w:val="00857886"/>
    <w:rsid w:val="00857D15"/>
    <w:rsid w:val="008615C9"/>
    <w:rsid w:val="00861B30"/>
    <w:rsid w:val="00861B61"/>
    <w:rsid w:val="00863310"/>
    <w:rsid w:val="008637E2"/>
    <w:rsid w:val="00864D1C"/>
    <w:rsid w:val="00865716"/>
    <w:rsid w:val="00866D26"/>
    <w:rsid w:val="008702D6"/>
    <w:rsid w:val="00870AE9"/>
    <w:rsid w:val="00874FBF"/>
    <w:rsid w:val="00875B81"/>
    <w:rsid w:val="008770E5"/>
    <w:rsid w:val="00877A41"/>
    <w:rsid w:val="00882109"/>
    <w:rsid w:val="00882706"/>
    <w:rsid w:val="00882A57"/>
    <w:rsid w:val="00882D9D"/>
    <w:rsid w:val="0088462B"/>
    <w:rsid w:val="00887FB8"/>
    <w:rsid w:val="008915B5"/>
    <w:rsid w:val="0089397A"/>
    <w:rsid w:val="00894064"/>
    <w:rsid w:val="00895870"/>
    <w:rsid w:val="008A2099"/>
    <w:rsid w:val="008A4989"/>
    <w:rsid w:val="008A4C74"/>
    <w:rsid w:val="008A4F7E"/>
    <w:rsid w:val="008A7288"/>
    <w:rsid w:val="008B0FFE"/>
    <w:rsid w:val="008B36A0"/>
    <w:rsid w:val="008C084F"/>
    <w:rsid w:val="008C087A"/>
    <w:rsid w:val="008C159A"/>
    <w:rsid w:val="008C1940"/>
    <w:rsid w:val="008C68BE"/>
    <w:rsid w:val="008C7D62"/>
    <w:rsid w:val="008D0C99"/>
    <w:rsid w:val="008D1032"/>
    <w:rsid w:val="008D13BA"/>
    <w:rsid w:val="008D16A7"/>
    <w:rsid w:val="008D1CBB"/>
    <w:rsid w:val="008D309D"/>
    <w:rsid w:val="008D34D9"/>
    <w:rsid w:val="008D5AB5"/>
    <w:rsid w:val="008D602C"/>
    <w:rsid w:val="008E1373"/>
    <w:rsid w:val="008E1DF0"/>
    <w:rsid w:val="008E2E2D"/>
    <w:rsid w:val="008E3949"/>
    <w:rsid w:val="008F083E"/>
    <w:rsid w:val="008F2DF0"/>
    <w:rsid w:val="008F3D63"/>
    <w:rsid w:val="008F5FFE"/>
    <w:rsid w:val="008F7795"/>
    <w:rsid w:val="009002F8"/>
    <w:rsid w:val="009029A6"/>
    <w:rsid w:val="00904D01"/>
    <w:rsid w:val="00905914"/>
    <w:rsid w:val="00905DA6"/>
    <w:rsid w:val="00906499"/>
    <w:rsid w:val="00906DEF"/>
    <w:rsid w:val="00910CB3"/>
    <w:rsid w:val="00911168"/>
    <w:rsid w:val="0091223E"/>
    <w:rsid w:val="009142B8"/>
    <w:rsid w:val="009166B7"/>
    <w:rsid w:val="00917B18"/>
    <w:rsid w:val="00917C0B"/>
    <w:rsid w:val="00920218"/>
    <w:rsid w:val="009225B9"/>
    <w:rsid w:val="00922F59"/>
    <w:rsid w:val="00923EE7"/>
    <w:rsid w:val="00924A78"/>
    <w:rsid w:val="00925C13"/>
    <w:rsid w:val="009268BD"/>
    <w:rsid w:val="00930462"/>
    <w:rsid w:val="00935304"/>
    <w:rsid w:val="009363BF"/>
    <w:rsid w:val="00937D09"/>
    <w:rsid w:val="00942AC5"/>
    <w:rsid w:val="009478F6"/>
    <w:rsid w:val="00950E03"/>
    <w:rsid w:val="00955250"/>
    <w:rsid w:val="00956F08"/>
    <w:rsid w:val="00957C5A"/>
    <w:rsid w:val="00957C6A"/>
    <w:rsid w:val="0096087C"/>
    <w:rsid w:val="00961629"/>
    <w:rsid w:val="00961719"/>
    <w:rsid w:val="00964181"/>
    <w:rsid w:val="009645F2"/>
    <w:rsid w:val="00965BEE"/>
    <w:rsid w:val="0097002B"/>
    <w:rsid w:val="009706C6"/>
    <w:rsid w:val="00971100"/>
    <w:rsid w:val="00971E2B"/>
    <w:rsid w:val="00972DAD"/>
    <w:rsid w:val="0097322E"/>
    <w:rsid w:val="009775A6"/>
    <w:rsid w:val="00977CA6"/>
    <w:rsid w:val="00985494"/>
    <w:rsid w:val="009857EC"/>
    <w:rsid w:val="009860B0"/>
    <w:rsid w:val="00986BE8"/>
    <w:rsid w:val="00987498"/>
    <w:rsid w:val="00987DD4"/>
    <w:rsid w:val="0099238A"/>
    <w:rsid w:val="00994E47"/>
    <w:rsid w:val="00995AB7"/>
    <w:rsid w:val="00995BDF"/>
    <w:rsid w:val="00995D56"/>
    <w:rsid w:val="009A051D"/>
    <w:rsid w:val="009A3265"/>
    <w:rsid w:val="009A53DE"/>
    <w:rsid w:val="009A7760"/>
    <w:rsid w:val="009B0ACA"/>
    <w:rsid w:val="009B19A7"/>
    <w:rsid w:val="009B1E57"/>
    <w:rsid w:val="009B2098"/>
    <w:rsid w:val="009B25DE"/>
    <w:rsid w:val="009B28A8"/>
    <w:rsid w:val="009B39FF"/>
    <w:rsid w:val="009B4F59"/>
    <w:rsid w:val="009B6788"/>
    <w:rsid w:val="009B712F"/>
    <w:rsid w:val="009B7A2B"/>
    <w:rsid w:val="009C0AEC"/>
    <w:rsid w:val="009C0D34"/>
    <w:rsid w:val="009C18C7"/>
    <w:rsid w:val="009C42DE"/>
    <w:rsid w:val="009C6DAC"/>
    <w:rsid w:val="009C7DC7"/>
    <w:rsid w:val="009C7F7E"/>
    <w:rsid w:val="009D07FD"/>
    <w:rsid w:val="009D08F0"/>
    <w:rsid w:val="009D0C4A"/>
    <w:rsid w:val="009D0D3A"/>
    <w:rsid w:val="009D162D"/>
    <w:rsid w:val="009D414F"/>
    <w:rsid w:val="009D58D8"/>
    <w:rsid w:val="009E109C"/>
    <w:rsid w:val="009E3B3B"/>
    <w:rsid w:val="009E3C63"/>
    <w:rsid w:val="009E4718"/>
    <w:rsid w:val="009E6CF5"/>
    <w:rsid w:val="009F107B"/>
    <w:rsid w:val="009F1759"/>
    <w:rsid w:val="009F2006"/>
    <w:rsid w:val="009F3D28"/>
    <w:rsid w:val="009F4BA1"/>
    <w:rsid w:val="009F79AB"/>
    <w:rsid w:val="00A018A2"/>
    <w:rsid w:val="00A050EB"/>
    <w:rsid w:val="00A06DF3"/>
    <w:rsid w:val="00A07213"/>
    <w:rsid w:val="00A07F87"/>
    <w:rsid w:val="00A11CFC"/>
    <w:rsid w:val="00A1518B"/>
    <w:rsid w:val="00A15E38"/>
    <w:rsid w:val="00A203E0"/>
    <w:rsid w:val="00A2208E"/>
    <w:rsid w:val="00A235CD"/>
    <w:rsid w:val="00A240EC"/>
    <w:rsid w:val="00A24933"/>
    <w:rsid w:val="00A25134"/>
    <w:rsid w:val="00A269E4"/>
    <w:rsid w:val="00A27391"/>
    <w:rsid w:val="00A30B64"/>
    <w:rsid w:val="00A315BB"/>
    <w:rsid w:val="00A31AB5"/>
    <w:rsid w:val="00A33C32"/>
    <w:rsid w:val="00A3556B"/>
    <w:rsid w:val="00A35CAF"/>
    <w:rsid w:val="00A35CCD"/>
    <w:rsid w:val="00A36A6E"/>
    <w:rsid w:val="00A3740E"/>
    <w:rsid w:val="00A41B25"/>
    <w:rsid w:val="00A42971"/>
    <w:rsid w:val="00A4402D"/>
    <w:rsid w:val="00A441E3"/>
    <w:rsid w:val="00A44EDB"/>
    <w:rsid w:val="00A45B05"/>
    <w:rsid w:val="00A45DC9"/>
    <w:rsid w:val="00A466A5"/>
    <w:rsid w:val="00A46BDE"/>
    <w:rsid w:val="00A47C88"/>
    <w:rsid w:val="00A51F83"/>
    <w:rsid w:val="00A5374B"/>
    <w:rsid w:val="00A53B98"/>
    <w:rsid w:val="00A54012"/>
    <w:rsid w:val="00A54418"/>
    <w:rsid w:val="00A54FF6"/>
    <w:rsid w:val="00A55563"/>
    <w:rsid w:val="00A5702D"/>
    <w:rsid w:val="00A5794F"/>
    <w:rsid w:val="00A57F70"/>
    <w:rsid w:val="00A617B5"/>
    <w:rsid w:val="00A61917"/>
    <w:rsid w:val="00A63285"/>
    <w:rsid w:val="00A63672"/>
    <w:rsid w:val="00A66223"/>
    <w:rsid w:val="00A7000D"/>
    <w:rsid w:val="00A726EF"/>
    <w:rsid w:val="00A72A82"/>
    <w:rsid w:val="00A7411F"/>
    <w:rsid w:val="00A74E1C"/>
    <w:rsid w:val="00A7688E"/>
    <w:rsid w:val="00A814F9"/>
    <w:rsid w:val="00A818EE"/>
    <w:rsid w:val="00A8384A"/>
    <w:rsid w:val="00A838AB"/>
    <w:rsid w:val="00A9162E"/>
    <w:rsid w:val="00A916AD"/>
    <w:rsid w:val="00A93AA1"/>
    <w:rsid w:val="00A93F22"/>
    <w:rsid w:val="00A951AD"/>
    <w:rsid w:val="00A951DB"/>
    <w:rsid w:val="00A953D8"/>
    <w:rsid w:val="00A96608"/>
    <w:rsid w:val="00A9700B"/>
    <w:rsid w:val="00A97C63"/>
    <w:rsid w:val="00AA0CF0"/>
    <w:rsid w:val="00AA1C8E"/>
    <w:rsid w:val="00AA2D92"/>
    <w:rsid w:val="00AA495D"/>
    <w:rsid w:val="00AA5B8D"/>
    <w:rsid w:val="00AA5E8F"/>
    <w:rsid w:val="00AB1428"/>
    <w:rsid w:val="00AB155C"/>
    <w:rsid w:val="00AB1FEE"/>
    <w:rsid w:val="00AB3127"/>
    <w:rsid w:val="00AB6269"/>
    <w:rsid w:val="00AB6B8B"/>
    <w:rsid w:val="00AB7613"/>
    <w:rsid w:val="00AC150D"/>
    <w:rsid w:val="00AC1A25"/>
    <w:rsid w:val="00AC26DB"/>
    <w:rsid w:val="00AC3012"/>
    <w:rsid w:val="00AC6EAF"/>
    <w:rsid w:val="00AD0CE7"/>
    <w:rsid w:val="00AD0D9D"/>
    <w:rsid w:val="00AD184D"/>
    <w:rsid w:val="00AD3E14"/>
    <w:rsid w:val="00AD4153"/>
    <w:rsid w:val="00AE07E3"/>
    <w:rsid w:val="00AE30A5"/>
    <w:rsid w:val="00AE333F"/>
    <w:rsid w:val="00AE402F"/>
    <w:rsid w:val="00AE59D5"/>
    <w:rsid w:val="00AE6D52"/>
    <w:rsid w:val="00AE766A"/>
    <w:rsid w:val="00AE7EBF"/>
    <w:rsid w:val="00AF3B1D"/>
    <w:rsid w:val="00AF4731"/>
    <w:rsid w:val="00AF6595"/>
    <w:rsid w:val="00AF7D8E"/>
    <w:rsid w:val="00B01163"/>
    <w:rsid w:val="00B02602"/>
    <w:rsid w:val="00B02FC0"/>
    <w:rsid w:val="00B05184"/>
    <w:rsid w:val="00B055C0"/>
    <w:rsid w:val="00B0564D"/>
    <w:rsid w:val="00B0571C"/>
    <w:rsid w:val="00B0574C"/>
    <w:rsid w:val="00B058D4"/>
    <w:rsid w:val="00B0655C"/>
    <w:rsid w:val="00B06E96"/>
    <w:rsid w:val="00B11BC2"/>
    <w:rsid w:val="00B11FC2"/>
    <w:rsid w:val="00B1218C"/>
    <w:rsid w:val="00B129BD"/>
    <w:rsid w:val="00B14667"/>
    <w:rsid w:val="00B14E97"/>
    <w:rsid w:val="00B15120"/>
    <w:rsid w:val="00B15A5D"/>
    <w:rsid w:val="00B15D02"/>
    <w:rsid w:val="00B16491"/>
    <w:rsid w:val="00B17A38"/>
    <w:rsid w:val="00B21868"/>
    <w:rsid w:val="00B2474B"/>
    <w:rsid w:val="00B27F36"/>
    <w:rsid w:val="00B31967"/>
    <w:rsid w:val="00B33E94"/>
    <w:rsid w:val="00B3420F"/>
    <w:rsid w:val="00B34B06"/>
    <w:rsid w:val="00B35F24"/>
    <w:rsid w:val="00B362E5"/>
    <w:rsid w:val="00B36455"/>
    <w:rsid w:val="00B41746"/>
    <w:rsid w:val="00B44AB7"/>
    <w:rsid w:val="00B44ADB"/>
    <w:rsid w:val="00B450FF"/>
    <w:rsid w:val="00B4555C"/>
    <w:rsid w:val="00B47A52"/>
    <w:rsid w:val="00B500D2"/>
    <w:rsid w:val="00B50FAA"/>
    <w:rsid w:val="00B51AD8"/>
    <w:rsid w:val="00B541CB"/>
    <w:rsid w:val="00B56D18"/>
    <w:rsid w:val="00B60A47"/>
    <w:rsid w:val="00B60D93"/>
    <w:rsid w:val="00B658AD"/>
    <w:rsid w:val="00B65938"/>
    <w:rsid w:val="00B715EF"/>
    <w:rsid w:val="00B71691"/>
    <w:rsid w:val="00B739DB"/>
    <w:rsid w:val="00B761BA"/>
    <w:rsid w:val="00B76F17"/>
    <w:rsid w:val="00B777DF"/>
    <w:rsid w:val="00B81F77"/>
    <w:rsid w:val="00B82EAD"/>
    <w:rsid w:val="00B8318C"/>
    <w:rsid w:val="00B840FF"/>
    <w:rsid w:val="00B85444"/>
    <w:rsid w:val="00B85B8B"/>
    <w:rsid w:val="00B91479"/>
    <w:rsid w:val="00B93FD0"/>
    <w:rsid w:val="00B94214"/>
    <w:rsid w:val="00B943E5"/>
    <w:rsid w:val="00B9496F"/>
    <w:rsid w:val="00B950BE"/>
    <w:rsid w:val="00B95AC9"/>
    <w:rsid w:val="00B96081"/>
    <w:rsid w:val="00B9723F"/>
    <w:rsid w:val="00BA3A6A"/>
    <w:rsid w:val="00BA3DF5"/>
    <w:rsid w:val="00BA4CD8"/>
    <w:rsid w:val="00BA672F"/>
    <w:rsid w:val="00BA6769"/>
    <w:rsid w:val="00BA7B7F"/>
    <w:rsid w:val="00BB001A"/>
    <w:rsid w:val="00BB06A3"/>
    <w:rsid w:val="00BB197D"/>
    <w:rsid w:val="00BB1FDE"/>
    <w:rsid w:val="00BB292A"/>
    <w:rsid w:val="00BB2AB1"/>
    <w:rsid w:val="00BB2DDF"/>
    <w:rsid w:val="00BB2F9D"/>
    <w:rsid w:val="00BB33B7"/>
    <w:rsid w:val="00BB5D54"/>
    <w:rsid w:val="00BB6DDE"/>
    <w:rsid w:val="00BB78ED"/>
    <w:rsid w:val="00BB7D39"/>
    <w:rsid w:val="00BC1223"/>
    <w:rsid w:val="00BC3241"/>
    <w:rsid w:val="00BC42EB"/>
    <w:rsid w:val="00BC4AAD"/>
    <w:rsid w:val="00BC63A7"/>
    <w:rsid w:val="00BC6475"/>
    <w:rsid w:val="00BC7AD3"/>
    <w:rsid w:val="00BD07A5"/>
    <w:rsid w:val="00BD0E91"/>
    <w:rsid w:val="00BD37DD"/>
    <w:rsid w:val="00BD3A50"/>
    <w:rsid w:val="00BD4293"/>
    <w:rsid w:val="00BD5F58"/>
    <w:rsid w:val="00BE2271"/>
    <w:rsid w:val="00BE41E8"/>
    <w:rsid w:val="00BE46EC"/>
    <w:rsid w:val="00BF16E0"/>
    <w:rsid w:val="00BF4910"/>
    <w:rsid w:val="00BF4A9F"/>
    <w:rsid w:val="00BF6FC1"/>
    <w:rsid w:val="00C00339"/>
    <w:rsid w:val="00C00A72"/>
    <w:rsid w:val="00C00C53"/>
    <w:rsid w:val="00C02542"/>
    <w:rsid w:val="00C03AA8"/>
    <w:rsid w:val="00C03B00"/>
    <w:rsid w:val="00C043BB"/>
    <w:rsid w:val="00C105C2"/>
    <w:rsid w:val="00C11180"/>
    <w:rsid w:val="00C125ED"/>
    <w:rsid w:val="00C13534"/>
    <w:rsid w:val="00C16181"/>
    <w:rsid w:val="00C175E8"/>
    <w:rsid w:val="00C2073E"/>
    <w:rsid w:val="00C21B22"/>
    <w:rsid w:val="00C22A87"/>
    <w:rsid w:val="00C24E9D"/>
    <w:rsid w:val="00C25A97"/>
    <w:rsid w:val="00C30FC9"/>
    <w:rsid w:val="00C3158D"/>
    <w:rsid w:val="00C332B5"/>
    <w:rsid w:val="00C40F17"/>
    <w:rsid w:val="00C410D5"/>
    <w:rsid w:val="00C42178"/>
    <w:rsid w:val="00C43681"/>
    <w:rsid w:val="00C43BBF"/>
    <w:rsid w:val="00C440F9"/>
    <w:rsid w:val="00C453C4"/>
    <w:rsid w:val="00C45491"/>
    <w:rsid w:val="00C4580A"/>
    <w:rsid w:val="00C514D2"/>
    <w:rsid w:val="00C51B4F"/>
    <w:rsid w:val="00C51F0D"/>
    <w:rsid w:val="00C527F3"/>
    <w:rsid w:val="00C5281E"/>
    <w:rsid w:val="00C52892"/>
    <w:rsid w:val="00C56001"/>
    <w:rsid w:val="00C567EA"/>
    <w:rsid w:val="00C57E7A"/>
    <w:rsid w:val="00C60DDC"/>
    <w:rsid w:val="00C62B40"/>
    <w:rsid w:val="00C62E0A"/>
    <w:rsid w:val="00C64588"/>
    <w:rsid w:val="00C6491B"/>
    <w:rsid w:val="00C6696D"/>
    <w:rsid w:val="00C6706C"/>
    <w:rsid w:val="00C706A9"/>
    <w:rsid w:val="00C73123"/>
    <w:rsid w:val="00C734C5"/>
    <w:rsid w:val="00C741C2"/>
    <w:rsid w:val="00C75BC7"/>
    <w:rsid w:val="00C75CE0"/>
    <w:rsid w:val="00C7627F"/>
    <w:rsid w:val="00C77010"/>
    <w:rsid w:val="00C77E07"/>
    <w:rsid w:val="00C80A4C"/>
    <w:rsid w:val="00C83FDF"/>
    <w:rsid w:val="00C849A3"/>
    <w:rsid w:val="00C84E97"/>
    <w:rsid w:val="00C854FA"/>
    <w:rsid w:val="00C916AA"/>
    <w:rsid w:val="00C92821"/>
    <w:rsid w:val="00C9451E"/>
    <w:rsid w:val="00C9621C"/>
    <w:rsid w:val="00C975F4"/>
    <w:rsid w:val="00CA1B4F"/>
    <w:rsid w:val="00CA24A2"/>
    <w:rsid w:val="00CA3203"/>
    <w:rsid w:val="00CA3F24"/>
    <w:rsid w:val="00CA491E"/>
    <w:rsid w:val="00CA6663"/>
    <w:rsid w:val="00CA6B1A"/>
    <w:rsid w:val="00CB0927"/>
    <w:rsid w:val="00CB283F"/>
    <w:rsid w:val="00CB5259"/>
    <w:rsid w:val="00CB58D1"/>
    <w:rsid w:val="00CB5E95"/>
    <w:rsid w:val="00CB64E3"/>
    <w:rsid w:val="00CB78A5"/>
    <w:rsid w:val="00CC05AF"/>
    <w:rsid w:val="00CC06F0"/>
    <w:rsid w:val="00CC07FF"/>
    <w:rsid w:val="00CC1B1D"/>
    <w:rsid w:val="00CC2296"/>
    <w:rsid w:val="00CC2EBF"/>
    <w:rsid w:val="00CC3027"/>
    <w:rsid w:val="00CC3219"/>
    <w:rsid w:val="00CC41C9"/>
    <w:rsid w:val="00CC4CA9"/>
    <w:rsid w:val="00CD14C0"/>
    <w:rsid w:val="00CD2217"/>
    <w:rsid w:val="00CD3502"/>
    <w:rsid w:val="00CD3705"/>
    <w:rsid w:val="00CD4B4D"/>
    <w:rsid w:val="00CE041D"/>
    <w:rsid w:val="00CE2EBE"/>
    <w:rsid w:val="00CE3CC5"/>
    <w:rsid w:val="00CE67CD"/>
    <w:rsid w:val="00CE705F"/>
    <w:rsid w:val="00CE7D14"/>
    <w:rsid w:val="00CF0C8F"/>
    <w:rsid w:val="00CF1470"/>
    <w:rsid w:val="00CF1CF9"/>
    <w:rsid w:val="00CF367B"/>
    <w:rsid w:val="00CF3988"/>
    <w:rsid w:val="00CF40B2"/>
    <w:rsid w:val="00CF5A5E"/>
    <w:rsid w:val="00CF6F66"/>
    <w:rsid w:val="00CF7853"/>
    <w:rsid w:val="00CF7BAA"/>
    <w:rsid w:val="00D0035F"/>
    <w:rsid w:val="00D00FAC"/>
    <w:rsid w:val="00D02B1E"/>
    <w:rsid w:val="00D04813"/>
    <w:rsid w:val="00D049C1"/>
    <w:rsid w:val="00D04C6F"/>
    <w:rsid w:val="00D0516B"/>
    <w:rsid w:val="00D05316"/>
    <w:rsid w:val="00D05D6C"/>
    <w:rsid w:val="00D10F5F"/>
    <w:rsid w:val="00D1137D"/>
    <w:rsid w:val="00D11B87"/>
    <w:rsid w:val="00D1287D"/>
    <w:rsid w:val="00D129E5"/>
    <w:rsid w:val="00D14B06"/>
    <w:rsid w:val="00D15699"/>
    <w:rsid w:val="00D17229"/>
    <w:rsid w:val="00D17CD0"/>
    <w:rsid w:val="00D17D55"/>
    <w:rsid w:val="00D207DB"/>
    <w:rsid w:val="00D20F95"/>
    <w:rsid w:val="00D23CBA"/>
    <w:rsid w:val="00D245B9"/>
    <w:rsid w:val="00D246C9"/>
    <w:rsid w:val="00D24C47"/>
    <w:rsid w:val="00D30149"/>
    <w:rsid w:val="00D3167A"/>
    <w:rsid w:val="00D31A47"/>
    <w:rsid w:val="00D31F2F"/>
    <w:rsid w:val="00D36933"/>
    <w:rsid w:val="00D401E7"/>
    <w:rsid w:val="00D40686"/>
    <w:rsid w:val="00D40975"/>
    <w:rsid w:val="00D425EA"/>
    <w:rsid w:val="00D437FB"/>
    <w:rsid w:val="00D44DA4"/>
    <w:rsid w:val="00D45898"/>
    <w:rsid w:val="00D46ABD"/>
    <w:rsid w:val="00D474F2"/>
    <w:rsid w:val="00D475B3"/>
    <w:rsid w:val="00D516F8"/>
    <w:rsid w:val="00D51A51"/>
    <w:rsid w:val="00D51A6E"/>
    <w:rsid w:val="00D523FC"/>
    <w:rsid w:val="00D525B2"/>
    <w:rsid w:val="00D5306A"/>
    <w:rsid w:val="00D544AB"/>
    <w:rsid w:val="00D57C2F"/>
    <w:rsid w:val="00D57F61"/>
    <w:rsid w:val="00D601DE"/>
    <w:rsid w:val="00D6077B"/>
    <w:rsid w:val="00D61B30"/>
    <w:rsid w:val="00D654CB"/>
    <w:rsid w:val="00D65F79"/>
    <w:rsid w:val="00D71342"/>
    <w:rsid w:val="00D717D6"/>
    <w:rsid w:val="00D75BC3"/>
    <w:rsid w:val="00D767AE"/>
    <w:rsid w:val="00D775BE"/>
    <w:rsid w:val="00D777F0"/>
    <w:rsid w:val="00D77DF8"/>
    <w:rsid w:val="00D822EA"/>
    <w:rsid w:val="00D82C05"/>
    <w:rsid w:val="00D8308B"/>
    <w:rsid w:val="00D84526"/>
    <w:rsid w:val="00D86935"/>
    <w:rsid w:val="00D8702A"/>
    <w:rsid w:val="00D87546"/>
    <w:rsid w:val="00D878C0"/>
    <w:rsid w:val="00D90154"/>
    <w:rsid w:val="00D907AD"/>
    <w:rsid w:val="00D90FCA"/>
    <w:rsid w:val="00D92CB5"/>
    <w:rsid w:val="00D9376C"/>
    <w:rsid w:val="00D94589"/>
    <w:rsid w:val="00D94C10"/>
    <w:rsid w:val="00D96849"/>
    <w:rsid w:val="00DA34BC"/>
    <w:rsid w:val="00DA48F4"/>
    <w:rsid w:val="00DA7DEB"/>
    <w:rsid w:val="00DB32B2"/>
    <w:rsid w:val="00DB524C"/>
    <w:rsid w:val="00DC126F"/>
    <w:rsid w:val="00DC35DD"/>
    <w:rsid w:val="00DC4477"/>
    <w:rsid w:val="00DD081F"/>
    <w:rsid w:val="00DD153E"/>
    <w:rsid w:val="00DD4E6C"/>
    <w:rsid w:val="00DD6F08"/>
    <w:rsid w:val="00DD7F4E"/>
    <w:rsid w:val="00DE12CC"/>
    <w:rsid w:val="00DE26CA"/>
    <w:rsid w:val="00DE3100"/>
    <w:rsid w:val="00DE355D"/>
    <w:rsid w:val="00DE3F35"/>
    <w:rsid w:val="00DE42BA"/>
    <w:rsid w:val="00DE762E"/>
    <w:rsid w:val="00DE7A6B"/>
    <w:rsid w:val="00DF073A"/>
    <w:rsid w:val="00DF343A"/>
    <w:rsid w:val="00DF4374"/>
    <w:rsid w:val="00DF5F6D"/>
    <w:rsid w:val="00DF71A5"/>
    <w:rsid w:val="00DF7A0C"/>
    <w:rsid w:val="00E02254"/>
    <w:rsid w:val="00E0455B"/>
    <w:rsid w:val="00E04AD8"/>
    <w:rsid w:val="00E057AC"/>
    <w:rsid w:val="00E06805"/>
    <w:rsid w:val="00E06AC0"/>
    <w:rsid w:val="00E07CDB"/>
    <w:rsid w:val="00E10531"/>
    <w:rsid w:val="00E11AF4"/>
    <w:rsid w:val="00E11BC8"/>
    <w:rsid w:val="00E1351F"/>
    <w:rsid w:val="00E140AE"/>
    <w:rsid w:val="00E140F8"/>
    <w:rsid w:val="00E1433F"/>
    <w:rsid w:val="00E1596E"/>
    <w:rsid w:val="00E1765C"/>
    <w:rsid w:val="00E21274"/>
    <w:rsid w:val="00E2137C"/>
    <w:rsid w:val="00E2242B"/>
    <w:rsid w:val="00E23FEE"/>
    <w:rsid w:val="00E24370"/>
    <w:rsid w:val="00E24822"/>
    <w:rsid w:val="00E26269"/>
    <w:rsid w:val="00E26B8D"/>
    <w:rsid w:val="00E321A8"/>
    <w:rsid w:val="00E3281C"/>
    <w:rsid w:val="00E33A04"/>
    <w:rsid w:val="00E352BD"/>
    <w:rsid w:val="00E35305"/>
    <w:rsid w:val="00E4115E"/>
    <w:rsid w:val="00E43AF3"/>
    <w:rsid w:val="00E43B2F"/>
    <w:rsid w:val="00E43E7E"/>
    <w:rsid w:val="00E44FCC"/>
    <w:rsid w:val="00E455BC"/>
    <w:rsid w:val="00E45AC0"/>
    <w:rsid w:val="00E467BE"/>
    <w:rsid w:val="00E50B29"/>
    <w:rsid w:val="00E536FF"/>
    <w:rsid w:val="00E53CEE"/>
    <w:rsid w:val="00E55852"/>
    <w:rsid w:val="00E558CD"/>
    <w:rsid w:val="00E56387"/>
    <w:rsid w:val="00E56961"/>
    <w:rsid w:val="00E57618"/>
    <w:rsid w:val="00E578AC"/>
    <w:rsid w:val="00E57C20"/>
    <w:rsid w:val="00E60909"/>
    <w:rsid w:val="00E62209"/>
    <w:rsid w:val="00E65712"/>
    <w:rsid w:val="00E66582"/>
    <w:rsid w:val="00E6659A"/>
    <w:rsid w:val="00E677E3"/>
    <w:rsid w:val="00E71356"/>
    <w:rsid w:val="00E72804"/>
    <w:rsid w:val="00E746CC"/>
    <w:rsid w:val="00E7527E"/>
    <w:rsid w:val="00E768C6"/>
    <w:rsid w:val="00E77F02"/>
    <w:rsid w:val="00E8046C"/>
    <w:rsid w:val="00E81A8B"/>
    <w:rsid w:val="00E85027"/>
    <w:rsid w:val="00E85EDB"/>
    <w:rsid w:val="00E87DDD"/>
    <w:rsid w:val="00E92242"/>
    <w:rsid w:val="00E936B9"/>
    <w:rsid w:val="00E970FE"/>
    <w:rsid w:val="00EA11A0"/>
    <w:rsid w:val="00EA1616"/>
    <w:rsid w:val="00EA2EC6"/>
    <w:rsid w:val="00EA2F54"/>
    <w:rsid w:val="00EA35E3"/>
    <w:rsid w:val="00EA52B8"/>
    <w:rsid w:val="00EA5A0A"/>
    <w:rsid w:val="00EA66ED"/>
    <w:rsid w:val="00EA6730"/>
    <w:rsid w:val="00EA7211"/>
    <w:rsid w:val="00EA7818"/>
    <w:rsid w:val="00EB02D3"/>
    <w:rsid w:val="00EB0B63"/>
    <w:rsid w:val="00EB199F"/>
    <w:rsid w:val="00EB3738"/>
    <w:rsid w:val="00EB6F00"/>
    <w:rsid w:val="00EB74B2"/>
    <w:rsid w:val="00EC2E01"/>
    <w:rsid w:val="00EC34DA"/>
    <w:rsid w:val="00EC3C4A"/>
    <w:rsid w:val="00EC49B5"/>
    <w:rsid w:val="00EC7C2C"/>
    <w:rsid w:val="00ED17F3"/>
    <w:rsid w:val="00ED2165"/>
    <w:rsid w:val="00ED230A"/>
    <w:rsid w:val="00ED2359"/>
    <w:rsid w:val="00ED26AA"/>
    <w:rsid w:val="00ED38FB"/>
    <w:rsid w:val="00ED52C0"/>
    <w:rsid w:val="00ED560F"/>
    <w:rsid w:val="00ED6D83"/>
    <w:rsid w:val="00ED7308"/>
    <w:rsid w:val="00EE0BEA"/>
    <w:rsid w:val="00EE0F55"/>
    <w:rsid w:val="00EE4A06"/>
    <w:rsid w:val="00EF161E"/>
    <w:rsid w:val="00EF28F5"/>
    <w:rsid w:val="00EF57B5"/>
    <w:rsid w:val="00EF6624"/>
    <w:rsid w:val="00F066A2"/>
    <w:rsid w:val="00F06C1C"/>
    <w:rsid w:val="00F073E2"/>
    <w:rsid w:val="00F0741B"/>
    <w:rsid w:val="00F07D02"/>
    <w:rsid w:val="00F07D21"/>
    <w:rsid w:val="00F12331"/>
    <w:rsid w:val="00F12641"/>
    <w:rsid w:val="00F16852"/>
    <w:rsid w:val="00F173F3"/>
    <w:rsid w:val="00F2249C"/>
    <w:rsid w:val="00F22FA8"/>
    <w:rsid w:val="00F27BC8"/>
    <w:rsid w:val="00F31629"/>
    <w:rsid w:val="00F31B32"/>
    <w:rsid w:val="00F32529"/>
    <w:rsid w:val="00F32D1E"/>
    <w:rsid w:val="00F33CF6"/>
    <w:rsid w:val="00F34C88"/>
    <w:rsid w:val="00F3554A"/>
    <w:rsid w:val="00F35F01"/>
    <w:rsid w:val="00F36891"/>
    <w:rsid w:val="00F36C40"/>
    <w:rsid w:val="00F40089"/>
    <w:rsid w:val="00F40949"/>
    <w:rsid w:val="00F415E6"/>
    <w:rsid w:val="00F4237F"/>
    <w:rsid w:val="00F43461"/>
    <w:rsid w:val="00F43A01"/>
    <w:rsid w:val="00F43E16"/>
    <w:rsid w:val="00F44D67"/>
    <w:rsid w:val="00F45078"/>
    <w:rsid w:val="00F46BB5"/>
    <w:rsid w:val="00F50C84"/>
    <w:rsid w:val="00F514FF"/>
    <w:rsid w:val="00F51838"/>
    <w:rsid w:val="00F5231C"/>
    <w:rsid w:val="00F53F9B"/>
    <w:rsid w:val="00F56B97"/>
    <w:rsid w:val="00F56F9F"/>
    <w:rsid w:val="00F571DD"/>
    <w:rsid w:val="00F638A2"/>
    <w:rsid w:val="00F638DE"/>
    <w:rsid w:val="00F67378"/>
    <w:rsid w:val="00F72A0F"/>
    <w:rsid w:val="00F738C3"/>
    <w:rsid w:val="00F74F55"/>
    <w:rsid w:val="00F777E7"/>
    <w:rsid w:val="00F804DA"/>
    <w:rsid w:val="00F8200E"/>
    <w:rsid w:val="00F83245"/>
    <w:rsid w:val="00F84D1C"/>
    <w:rsid w:val="00F85E3E"/>
    <w:rsid w:val="00F91C68"/>
    <w:rsid w:val="00F92050"/>
    <w:rsid w:val="00F92FE0"/>
    <w:rsid w:val="00F92FF0"/>
    <w:rsid w:val="00F93684"/>
    <w:rsid w:val="00F939F6"/>
    <w:rsid w:val="00F94303"/>
    <w:rsid w:val="00F96A3B"/>
    <w:rsid w:val="00F96B10"/>
    <w:rsid w:val="00F97530"/>
    <w:rsid w:val="00FA2088"/>
    <w:rsid w:val="00FA2CF6"/>
    <w:rsid w:val="00FA319B"/>
    <w:rsid w:val="00FA4B13"/>
    <w:rsid w:val="00FA5724"/>
    <w:rsid w:val="00FA7D6B"/>
    <w:rsid w:val="00FB09D1"/>
    <w:rsid w:val="00FB3D44"/>
    <w:rsid w:val="00FB3E3E"/>
    <w:rsid w:val="00FB49AD"/>
    <w:rsid w:val="00FB6314"/>
    <w:rsid w:val="00FB65CB"/>
    <w:rsid w:val="00FB683F"/>
    <w:rsid w:val="00FC2B0B"/>
    <w:rsid w:val="00FC39E7"/>
    <w:rsid w:val="00FC5A30"/>
    <w:rsid w:val="00FC6F0B"/>
    <w:rsid w:val="00FC7366"/>
    <w:rsid w:val="00FD187F"/>
    <w:rsid w:val="00FD595D"/>
    <w:rsid w:val="00FD59B1"/>
    <w:rsid w:val="00FD5DA5"/>
    <w:rsid w:val="00FD5F2F"/>
    <w:rsid w:val="00FD685F"/>
    <w:rsid w:val="00FE0DE8"/>
    <w:rsid w:val="00FE3001"/>
    <w:rsid w:val="00FE3AE1"/>
    <w:rsid w:val="00FE3CF7"/>
    <w:rsid w:val="00FE549F"/>
    <w:rsid w:val="00FE59A9"/>
    <w:rsid w:val="00FE5C63"/>
    <w:rsid w:val="00FE5F90"/>
    <w:rsid w:val="00FE67D5"/>
    <w:rsid w:val="00FF18EA"/>
    <w:rsid w:val="00FF2D99"/>
    <w:rsid w:val="00FF34A0"/>
    <w:rsid w:val="00FF600B"/>
    <w:rsid w:val="00FF7568"/>
    <w:rsid w:val="031B07A2"/>
    <w:rsid w:val="043F668A"/>
    <w:rsid w:val="04DF2FFB"/>
    <w:rsid w:val="066417F9"/>
    <w:rsid w:val="068621B7"/>
    <w:rsid w:val="06976448"/>
    <w:rsid w:val="07493C2F"/>
    <w:rsid w:val="076E3484"/>
    <w:rsid w:val="08E93645"/>
    <w:rsid w:val="09D838B7"/>
    <w:rsid w:val="0C0E025F"/>
    <w:rsid w:val="0C2A0E82"/>
    <w:rsid w:val="0C63281E"/>
    <w:rsid w:val="0C9757E5"/>
    <w:rsid w:val="0CBB61F2"/>
    <w:rsid w:val="0D847289"/>
    <w:rsid w:val="0E355A5F"/>
    <w:rsid w:val="0F610210"/>
    <w:rsid w:val="0F7C4C74"/>
    <w:rsid w:val="0FBB32DC"/>
    <w:rsid w:val="10A04E3C"/>
    <w:rsid w:val="112621C9"/>
    <w:rsid w:val="11575077"/>
    <w:rsid w:val="1184614B"/>
    <w:rsid w:val="119F4776"/>
    <w:rsid w:val="12167B35"/>
    <w:rsid w:val="12697F0D"/>
    <w:rsid w:val="12B3731A"/>
    <w:rsid w:val="13B341E1"/>
    <w:rsid w:val="14740383"/>
    <w:rsid w:val="15616031"/>
    <w:rsid w:val="15C92D23"/>
    <w:rsid w:val="16647011"/>
    <w:rsid w:val="17E32E6B"/>
    <w:rsid w:val="182F1528"/>
    <w:rsid w:val="18355307"/>
    <w:rsid w:val="191A52AD"/>
    <w:rsid w:val="19372BEE"/>
    <w:rsid w:val="19923902"/>
    <w:rsid w:val="19AF6E77"/>
    <w:rsid w:val="19C63549"/>
    <w:rsid w:val="1C4E44BA"/>
    <w:rsid w:val="1C74587A"/>
    <w:rsid w:val="1CB57CA7"/>
    <w:rsid w:val="1EA21A51"/>
    <w:rsid w:val="1EAC0B0C"/>
    <w:rsid w:val="1EAE5864"/>
    <w:rsid w:val="1EFE68E7"/>
    <w:rsid w:val="1FC71EE7"/>
    <w:rsid w:val="202E1708"/>
    <w:rsid w:val="209F2F38"/>
    <w:rsid w:val="222D224E"/>
    <w:rsid w:val="223573AF"/>
    <w:rsid w:val="22EF1246"/>
    <w:rsid w:val="25336F7D"/>
    <w:rsid w:val="257D2EF7"/>
    <w:rsid w:val="25F5674D"/>
    <w:rsid w:val="2668554F"/>
    <w:rsid w:val="275B4D31"/>
    <w:rsid w:val="282835C4"/>
    <w:rsid w:val="283E53F3"/>
    <w:rsid w:val="28456ABE"/>
    <w:rsid w:val="28944B21"/>
    <w:rsid w:val="28996B48"/>
    <w:rsid w:val="28B43155"/>
    <w:rsid w:val="28D91943"/>
    <w:rsid w:val="295B2A4D"/>
    <w:rsid w:val="296A408A"/>
    <w:rsid w:val="299A718D"/>
    <w:rsid w:val="2A906B26"/>
    <w:rsid w:val="2AFF3E5B"/>
    <w:rsid w:val="2BC843CA"/>
    <w:rsid w:val="2C7505E8"/>
    <w:rsid w:val="2D0F5CCF"/>
    <w:rsid w:val="2F287E65"/>
    <w:rsid w:val="2F3B09C2"/>
    <w:rsid w:val="31594303"/>
    <w:rsid w:val="321A0844"/>
    <w:rsid w:val="32E95EDD"/>
    <w:rsid w:val="33235AD9"/>
    <w:rsid w:val="338534A3"/>
    <w:rsid w:val="349819ED"/>
    <w:rsid w:val="34FE023D"/>
    <w:rsid w:val="35436864"/>
    <w:rsid w:val="36107446"/>
    <w:rsid w:val="36763CE6"/>
    <w:rsid w:val="37C1178E"/>
    <w:rsid w:val="38082ACA"/>
    <w:rsid w:val="385C23D2"/>
    <w:rsid w:val="39037B98"/>
    <w:rsid w:val="3A37380F"/>
    <w:rsid w:val="3B5819E1"/>
    <w:rsid w:val="3BA56084"/>
    <w:rsid w:val="3C015002"/>
    <w:rsid w:val="3CE77943"/>
    <w:rsid w:val="3CEC0161"/>
    <w:rsid w:val="3D0C6B83"/>
    <w:rsid w:val="3D2B2238"/>
    <w:rsid w:val="3D845C28"/>
    <w:rsid w:val="3DBD3C83"/>
    <w:rsid w:val="3E204FFC"/>
    <w:rsid w:val="3F70561B"/>
    <w:rsid w:val="3F7E1581"/>
    <w:rsid w:val="3FC9644A"/>
    <w:rsid w:val="40256F14"/>
    <w:rsid w:val="409F21F2"/>
    <w:rsid w:val="415928DB"/>
    <w:rsid w:val="4170316A"/>
    <w:rsid w:val="41CE2DD5"/>
    <w:rsid w:val="42183498"/>
    <w:rsid w:val="42443251"/>
    <w:rsid w:val="4319748C"/>
    <w:rsid w:val="452046EA"/>
    <w:rsid w:val="455A14D6"/>
    <w:rsid w:val="45607238"/>
    <w:rsid w:val="45D472F0"/>
    <w:rsid w:val="46CD20F4"/>
    <w:rsid w:val="46FC0B29"/>
    <w:rsid w:val="47445CDF"/>
    <w:rsid w:val="475A449F"/>
    <w:rsid w:val="48475536"/>
    <w:rsid w:val="489A0ABE"/>
    <w:rsid w:val="489D3580"/>
    <w:rsid w:val="490C66D2"/>
    <w:rsid w:val="49365F43"/>
    <w:rsid w:val="49855C77"/>
    <w:rsid w:val="49E17462"/>
    <w:rsid w:val="4A464071"/>
    <w:rsid w:val="4BE21BE4"/>
    <w:rsid w:val="4BFD6E2F"/>
    <w:rsid w:val="4C4B5151"/>
    <w:rsid w:val="4D842D3A"/>
    <w:rsid w:val="4F624383"/>
    <w:rsid w:val="4FB57E74"/>
    <w:rsid w:val="4FB84707"/>
    <w:rsid w:val="50FD59A5"/>
    <w:rsid w:val="511C698F"/>
    <w:rsid w:val="52910DFD"/>
    <w:rsid w:val="52C15DC5"/>
    <w:rsid w:val="52D37112"/>
    <w:rsid w:val="55120C74"/>
    <w:rsid w:val="56230BEC"/>
    <w:rsid w:val="562E6171"/>
    <w:rsid w:val="563F11A6"/>
    <w:rsid w:val="57C50C2A"/>
    <w:rsid w:val="58DF02F9"/>
    <w:rsid w:val="59967505"/>
    <w:rsid w:val="5A8035E0"/>
    <w:rsid w:val="5AB23FE8"/>
    <w:rsid w:val="5B804DC3"/>
    <w:rsid w:val="5CA368AF"/>
    <w:rsid w:val="5CA4290E"/>
    <w:rsid w:val="5CFB7527"/>
    <w:rsid w:val="5FDA20D0"/>
    <w:rsid w:val="616609FE"/>
    <w:rsid w:val="61C037CF"/>
    <w:rsid w:val="62255052"/>
    <w:rsid w:val="62DA64EA"/>
    <w:rsid w:val="63E5118C"/>
    <w:rsid w:val="63E547BF"/>
    <w:rsid w:val="651B0BA1"/>
    <w:rsid w:val="652D28BA"/>
    <w:rsid w:val="65A818D7"/>
    <w:rsid w:val="66D36278"/>
    <w:rsid w:val="66E31E89"/>
    <w:rsid w:val="676F671E"/>
    <w:rsid w:val="699937E6"/>
    <w:rsid w:val="69A94549"/>
    <w:rsid w:val="6AC37EE3"/>
    <w:rsid w:val="6BAF7286"/>
    <w:rsid w:val="6BBA2768"/>
    <w:rsid w:val="6BC049D4"/>
    <w:rsid w:val="6D481226"/>
    <w:rsid w:val="6D6F1C1F"/>
    <w:rsid w:val="6DF24BE1"/>
    <w:rsid w:val="6ED84BE7"/>
    <w:rsid w:val="6F9C01A8"/>
    <w:rsid w:val="70845303"/>
    <w:rsid w:val="70CC7A5E"/>
    <w:rsid w:val="70F04A83"/>
    <w:rsid w:val="71975D39"/>
    <w:rsid w:val="71EF5171"/>
    <w:rsid w:val="726760BC"/>
    <w:rsid w:val="726F3CC3"/>
    <w:rsid w:val="730564EC"/>
    <w:rsid w:val="73B900E7"/>
    <w:rsid w:val="73B93EE5"/>
    <w:rsid w:val="73E82D35"/>
    <w:rsid w:val="74413E54"/>
    <w:rsid w:val="74B7359D"/>
    <w:rsid w:val="74C41776"/>
    <w:rsid w:val="798C06E4"/>
    <w:rsid w:val="7A316FC1"/>
    <w:rsid w:val="7A981C00"/>
    <w:rsid w:val="7CD825A6"/>
    <w:rsid w:val="7CEF6A44"/>
    <w:rsid w:val="7E086FD3"/>
    <w:rsid w:val="7EF47ED5"/>
    <w:rsid w:val="7F3D2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6">
    <w:name w:val="heading 2"/>
    <w:basedOn w:val="1"/>
    <w:next w:val="7"/>
    <w:link w:val="37"/>
    <w:qFormat/>
    <w:uiPriority w:val="9"/>
    <w:pPr>
      <w:keepNext/>
      <w:keepLines/>
      <w:spacing w:before="260" w:after="260" w:line="416" w:lineRule="auto"/>
      <w:jc w:val="center"/>
      <w:outlineLvl w:val="1"/>
    </w:pPr>
    <w:rPr>
      <w:rFonts w:ascii="Arial" w:hAnsi="Arial" w:eastAsia="宋体" w:cs="Arial"/>
      <w:b/>
      <w:bCs/>
      <w:sz w:val="44"/>
      <w:szCs w:val="44"/>
    </w:rPr>
  </w:style>
  <w:style w:type="paragraph" w:styleId="8">
    <w:name w:val="heading 3"/>
    <w:basedOn w:val="1"/>
    <w:next w:val="1"/>
    <w:link w:val="38"/>
    <w:semiHidden/>
    <w:unhideWhenUsed/>
    <w:qFormat/>
    <w:uiPriority w:val="9"/>
    <w:pPr>
      <w:keepNext/>
      <w:keepLines/>
      <w:spacing w:before="260" w:after="260" w:line="413" w:lineRule="auto"/>
      <w:outlineLvl w:val="2"/>
    </w:pPr>
    <w:rPr>
      <w:b/>
      <w:sz w:val="32"/>
    </w:rPr>
  </w:style>
  <w:style w:type="paragraph" w:styleId="9">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54"/>
    <w:unhideWhenUsed/>
    <w:qFormat/>
    <w:uiPriority w:val="99"/>
    <w:pPr>
      <w:spacing w:after="120"/>
    </w:pPr>
  </w:style>
  <w:style w:type="paragraph" w:customStyle="1" w:styleId="3">
    <w:name w:val="一级条标题"/>
    <w:next w:val="4"/>
    <w:qFormat/>
    <w:uiPriority w:val="0"/>
    <w:pPr>
      <w:tabs>
        <w:tab w:val="left" w:pos="810"/>
        <w:tab w:val="left" w:pos="907"/>
        <w:tab w:val="left" w:pos="1265"/>
      </w:tabs>
      <w:ind w:left="907" w:hanging="907"/>
      <w:jc w:val="both"/>
      <w:outlineLvl w:val="2"/>
    </w:pPr>
    <w:rPr>
      <w:rFonts w:ascii="黑体" w:hAnsi="宋体" w:eastAsia="黑体" w:cs="Times New Roman"/>
      <w:lang w:val="en-US" w:eastAsia="zh-CN" w:bidi="ar-SA"/>
    </w:rPr>
  </w:style>
  <w:style w:type="paragraph" w:customStyle="1" w:styleId="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7">
    <w:name w:val="Normal Indent"/>
    <w:basedOn w:val="1"/>
    <w:link w:val="63"/>
    <w:qFormat/>
    <w:uiPriority w:val="0"/>
    <w:pPr>
      <w:ind w:firstLine="420"/>
    </w:pPr>
    <w:rPr>
      <w:rFonts w:ascii="Times New Roman" w:hAnsi="Times New Roman" w:eastAsia="宋体" w:cs="Times New Roman"/>
      <w:szCs w:val="20"/>
    </w:rPr>
  </w:style>
  <w:style w:type="paragraph" w:styleId="10">
    <w:name w:val="index 5"/>
    <w:next w:val="1"/>
    <w:qFormat/>
    <w:uiPriority w:val="0"/>
    <w:pPr>
      <w:widowControl w:val="0"/>
      <w:ind w:left="798" w:leftChars="380"/>
    </w:pPr>
    <w:rPr>
      <w:rFonts w:ascii="Calibri" w:hAnsi="Calibri" w:eastAsia="宋体" w:cs="Times New Roman"/>
      <w:kern w:val="2"/>
      <w:sz w:val="21"/>
      <w:szCs w:val="24"/>
      <w:lang w:val="en-US" w:eastAsia="zh-CN" w:bidi="ar-SA"/>
    </w:rPr>
  </w:style>
  <w:style w:type="paragraph" w:styleId="11">
    <w:name w:val="annotation text"/>
    <w:basedOn w:val="1"/>
    <w:link w:val="50"/>
    <w:qFormat/>
    <w:uiPriority w:val="0"/>
    <w:pPr>
      <w:jc w:val="left"/>
    </w:pPr>
    <w:rPr>
      <w:rFonts w:ascii="Times New Roman" w:hAnsi="Times New Roman" w:eastAsia="宋体" w:cs="Times New Roman"/>
      <w:szCs w:val="20"/>
    </w:rPr>
  </w:style>
  <w:style w:type="paragraph" w:styleId="12">
    <w:name w:val="Body Text 3"/>
    <w:basedOn w:val="1"/>
    <w:link w:val="51"/>
    <w:qFormat/>
    <w:uiPriority w:val="0"/>
    <w:pPr>
      <w:spacing w:after="120"/>
    </w:pPr>
    <w:rPr>
      <w:rFonts w:ascii="Times New Roman" w:hAnsi="Times New Roman" w:eastAsia="宋体" w:cs="Times New Roman"/>
      <w:sz w:val="16"/>
      <w:szCs w:val="16"/>
    </w:rPr>
  </w:style>
  <w:style w:type="paragraph" w:styleId="13">
    <w:name w:val="Body Text Indent"/>
    <w:basedOn w:val="1"/>
    <w:next w:val="1"/>
    <w:link w:val="44"/>
    <w:qFormat/>
    <w:uiPriority w:val="0"/>
    <w:pPr>
      <w:autoSpaceDE w:val="0"/>
      <w:autoSpaceDN w:val="0"/>
      <w:adjustRightInd w:val="0"/>
      <w:spacing w:after="120" w:line="360" w:lineRule="atLeast"/>
      <w:ind w:left="900"/>
    </w:pPr>
    <w:rPr>
      <w:rFonts w:ascii="楷体" w:hAnsi="Times New Roman" w:eastAsia="楷体" w:cs="Times New Roman"/>
      <w:kern w:val="0"/>
      <w:sz w:val="28"/>
      <w:szCs w:val="20"/>
    </w:rPr>
  </w:style>
  <w:style w:type="paragraph" w:styleId="14">
    <w:name w:val="Block Text"/>
    <w:qFormat/>
    <w:uiPriority w:val="0"/>
    <w:pPr>
      <w:widowControl w:val="0"/>
      <w:tabs>
        <w:tab w:val="left" w:pos="1440"/>
      </w:tabs>
      <w:spacing w:after="100"/>
      <w:ind w:left="3600" w:right="-288" w:hanging="2880"/>
      <w:jc w:val="both"/>
    </w:pPr>
    <w:rPr>
      <w:rFonts w:ascii="Times New Roman" w:hAnsi="Times New Roman" w:eastAsia="宋体" w:cs="Times New Roman"/>
      <w:snapToGrid w:val="0"/>
      <w:sz w:val="22"/>
      <w:lang w:val="en-US" w:eastAsia="en-US" w:bidi="ar-SA"/>
    </w:rPr>
  </w:style>
  <w:style w:type="paragraph" w:styleId="15">
    <w:name w:val="toc 3"/>
    <w:basedOn w:val="1"/>
    <w:next w:val="1"/>
    <w:unhideWhenUsed/>
    <w:qFormat/>
    <w:uiPriority w:val="39"/>
    <w:pPr>
      <w:widowControl/>
      <w:spacing w:after="100" w:line="259" w:lineRule="auto"/>
      <w:ind w:left="440"/>
      <w:jc w:val="left"/>
    </w:pPr>
    <w:rPr>
      <w:rFonts w:ascii="Times New Roman" w:hAnsi="Times New Roman" w:eastAsia="宋体" w:cs="Times New Roman"/>
      <w:kern w:val="0"/>
      <w:sz w:val="22"/>
    </w:rPr>
  </w:style>
  <w:style w:type="paragraph" w:styleId="16">
    <w:name w:val="Plain Text"/>
    <w:basedOn w:val="1"/>
    <w:link w:val="47"/>
    <w:qFormat/>
    <w:uiPriority w:val="0"/>
    <w:rPr>
      <w:rFonts w:ascii="宋体" w:hAnsi="Courier New" w:eastAsia="宋体" w:cs="Times New Roman"/>
      <w:szCs w:val="20"/>
    </w:rPr>
  </w:style>
  <w:style w:type="paragraph" w:styleId="17">
    <w:name w:val="Date"/>
    <w:basedOn w:val="1"/>
    <w:next w:val="1"/>
    <w:link w:val="49"/>
    <w:semiHidden/>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tabs>
        <w:tab w:val="right" w:leader="dot" w:pos="8777"/>
      </w:tabs>
      <w:spacing w:line="360" w:lineRule="auto"/>
      <w:jc w:val="left"/>
    </w:pPr>
    <w:rPr>
      <w:rFonts w:ascii="Times New Roman" w:hAnsi="Times New Roman" w:eastAsia="黑体" w:cs="Times New Roman"/>
      <w:kern w:val="0"/>
      <w:sz w:val="24"/>
    </w:rPr>
  </w:style>
  <w:style w:type="paragraph" w:styleId="23">
    <w:name w:val="footnote text"/>
    <w:next w:val="10"/>
    <w:qFormat/>
    <w:uiPriority w:val="0"/>
    <w:pPr>
      <w:widowControl w:val="0"/>
      <w:snapToGrid w:val="0"/>
    </w:pPr>
    <w:rPr>
      <w:rFonts w:ascii="Calibri" w:hAnsi="Calibri" w:eastAsia="宋体" w:cs="Times New Roman"/>
      <w:kern w:val="2"/>
      <w:sz w:val="18"/>
      <w:szCs w:val="24"/>
      <w:lang w:val="en-US" w:eastAsia="zh-CN" w:bidi="ar-SA"/>
    </w:rPr>
  </w:style>
  <w:style w:type="paragraph" w:styleId="24">
    <w:name w:val="index 9"/>
    <w:basedOn w:val="1"/>
    <w:next w:val="1"/>
    <w:semiHidden/>
    <w:unhideWhenUsed/>
    <w:qFormat/>
    <w:uiPriority w:val="99"/>
    <w:pPr>
      <w:widowControl/>
      <w:ind w:left="1600" w:leftChars="1600"/>
    </w:pPr>
    <w:rPr>
      <w:rFonts w:ascii="Times New Roman" w:hAnsi="Times New Roman" w:eastAsia="宋体" w:cs="Times New Roman"/>
      <w:szCs w:val="21"/>
    </w:rPr>
  </w:style>
  <w:style w:type="paragraph" w:styleId="25">
    <w:name w:val="toc 2"/>
    <w:basedOn w:val="1"/>
    <w:next w:val="1"/>
    <w:unhideWhenUsed/>
    <w:qFormat/>
    <w:uiPriority w:val="39"/>
    <w:pPr>
      <w:widowControl/>
      <w:spacing w:line="360" w:lineRule="auto"/>
      <w:ind w:left="221"/>
      <w:jc w:val="left"/>
    </w:pPr>
    <w:rPr>
      <w:rFonts w:ascii="Times New Roman" w:hAnsi="Times New Roman" w:eastAsia="宋体" w:cs="Times New Roman"/>
      <w:kern w:val="0"/>
      <w:sz w:val="22"/>
    </w:r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annotation subject"/>
    <w:basedOn w:val="11"/>
    <w:next w:val="11"/>
    <w:link w:val="62"/>
    <w:semiHidden/>
    <w:unhideWhenUsed/>
    <w:qFormat/>
    <w:uiPriority w:val="99"/>
    <w:rPr>
      <w:rFonts w:asciiTheme="minorHAnsi" w:hAnsiTheme="minorHAnsi" w:eastAsiaTheme="minorEastAsia" w:cstheme="minorBidi"/>
      <w:b/>
      <w:bCs/>
      <w:szCs w:val="22"/>
    </w:rPr>
  </w:style>
  <w:style w:type="paragraph" w:styleId="28">
    <w:name w:val="Body Text First Indent"/>
    <w:basedOn w:val="2"/>
    <w:link w:val="65"/>
    <w:semiHidden/>
    <w:unhideWhenUsed/>
    <w:qFormat/>
    <w:uiPriority w:val="99"/>
    <w:pPr>
      <w:ind w:firstLine="420" w:firstLineChars="100"/>
    </w:pPr>
    <w:rPr>
      <w:rFonts w:ascii="Calibri" w:hAnsi="Calibri" w:eastAsia="宋体" w:cs="Times New Roman"/>
      <w:szCs w:val="24"/>
    </w:rPr>
  </w:style>
  <w:style w:type="paragraph" w:styleId="29">
    <w:name w:val="Body Text First Indent 2"/>
    <w:basedOn w:val="13"/>
    <w:next w:val="1"/>
    <w:unhideWhenUsed/>
    <w:qFormat/>
    <w:uiPriority w:val="99"/>
    <w:pPr>
      <w:spacing w:line="480" w:lineRule="auto"/>
    </w:pPr>
    <w:rPr>
      <w:rFonts w:hAnsi="楷体"/>
      <w:sz w:val="24"/>
    </w:rPr>
  </w:style>
  <w:style w:type="table" w:styleId="31">
    <w:name w:val="Table Grid"/>
    <w:basedOn w:val="30"/>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3">
    <w:name w:val="Strong"/>
    <w:qFormat/>
    <w:uiPriority w:val="22"/>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qFormat/>
    <w:uiPriority w:val="0"/>
    <w:rPr>
      <w:sz w:val="21"/>
      <w:szCs w:val="21"/>
    </w:rPr>
  </w:style>
  <w:style w:type="character" w:customStyle="1" w:styleId="36">
    <w:name w:val="标题 4 字符"/>
    <w:basedOn w:val="32"/>
    <w:link w:val="9"/>
    <w:qFormat/>
    <w:uiPriority w:val="9"/>
    <w:rPr>
      <w:rFonts w:asciiTheme="majorHAnsi" w:hAnsiTheme="majorHAnsi" w:eastAsiaTheme="majorEastAsia" w:cstheme="majorBidi"/>
      <w:b/>
      <w:bCs/>
      <w:kern w:val="2"/>
      <w:sz w:val="28"/>
      <w:szCs w:val="28"/>
    </w:rPr>
  </w:style>
  <w:style w:type="character" w:customStyle="1" w:styleId="37">
    <w:name w:val="标题 2 字符"/>
    <w:basedOn w:val="32"/>
    <w:link w:val="6"/>
    <w:qFormat/>
    <w:uiPriority w:val="9"/>
    <w:rPr>
      <w:rFonts w:ascii="Arial" w:hAnsi="Arial" w:eastAsia="宋体" w:cs="Arial"/>
      <w:b/>
      <w:bCs/>
      <w:kern w:val="2"/>
      <w:sz w:val="44"/>
      <w:szCs w:val="44"/>
    </w:rPr>
  </w:style>
  <w:style w:type="character" w:customStyle="1" w:styleId="38">
    <w:name w:val="标题 3 字符"/>
    <w:basedOn w:val="32"/>
    <w:link w:val="8"/>
    <w:qFormat/>
    <w:uiPriority w:val="0"/>
    <w:rPr>
      <w:rFonts w:hint="default" w:ascii="Times New Roman" w:hAnsi="Times New Roman" w:eastAsia="宋体" w:cs="Times New Roman"/>
      <w:b/>
      <w:sz w:val="32"/>
      <w:szCs w:val="20"/>
    </w:rPr>
  </w:style>
  <w:style w:type="character" w:customStyle="1" w:styleId="39">
    <w:name w:val="页眉 字符"/>
    <w:basedOn w:val="32"/>
    <w:link w:val="21"/>
    <w:qFormat/>
    <w:uiPriority w:val="99"/>
    <w:rPr>
      <w:sz w:val="18"/>
      <w:szCs w:val="18"/>
    </w:rPr>
  </w:style>
  <w:style w:type="character" w:customStyle="1" w:styleId="40">
    <w:name w:val="页脚 字符"/>
    <w:basedOn w:val="32"/>
    <w:link w:val="19"/>
    <w:qFormat/>
    <w:uiPriority w:val="99"/>
    <w:rPr>
      <w:sz w:val="18"/>
      <w:szCs w:val="18"/>
    </w:rPr>
  </w:style>
  <w:style w:type="character" w:customStyle="1" w:styleId="41">
    <w:name w:val="标题 1 字符"/>
    <w:basedOn w:val="32"/>
    <w:link w:val="5"/>
    <w:qFormat/>
    <w:uiPriority w:val="9"/>
    <w:rPr>
      <w:b/>
      <w:bCs/>
      <w:kern w:val="44"/>
      <w:sz w:val="44"/>
      <w:szCs w:val="44"/>
    </w:rPr>
  </w:style>
  <w:style w:type="paragraph" w:customStyle="1" w:styleId="42">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43">
    <w:name w:val="List Paragraph"/>
    <w:basedOn w:val="1"/>
    <w:link w:val="64"/>
    <w:unhideWhenUsed/>
    <w:qFormat/>
    <w:uiPriority w:val="34"/>
    <w:pPr>
      <w:widowControl/>
      <w:spacing w:before="60" w:after="60"/>
      <w:ind w:firstLine="420" w:firstLineChars="200"/>
      <w:jc w:val="left"/>
    </w:pPr>
    <w:rPr>
      <w:rFonts w:hint="eastAsia" w:ascii="宋体" w:hAnsi="宋体" w:eastAsia="Times New Roman" w:cs="宋体"/>
      <w:color w:val="000000"/>
      <w:kern w:val="0"/>
      <w:sz w:val="20"/>
      <w:szCs w:val="20"/>
      <w:u w:color="000000"/>
      <w:lang w:eastAsia="en-US"/>
    </w:rPr>
  </w:style>
  <w:style w:type="character" w:customStyle="1" w:styleId="44">
    <w:name w:val="正文文本缩进 字符"/>
    <w:basedOn w:val="32"/>
    <w:link w:val="13"/>
    <w:qFormat/>
    <w:uiPriority w:val="0"/>
    <w:rPr>
      <w:rFonts w:ascii="楷体" w:hAnsi="Times New Roman" w:eastAsia="楷体" w:cs="Times New Roman"/>
      <w:kern w:val="0"/>
      <w:sz w:val="28"/>
      <w:szCs w:val="20"/>
    </w:rPr>
  </w:style>
  <w:style w:type="paragraph" w:customStyle="1" w:styleId="45">
    <w:name w:val="蓝色显示"/>
    <w:basedOn w:val="1"/>
    <w:link w:val="46"/>
    <w:qFormat/>
    <w:uiPriority w:val="0"/>
    <w:pPr>
      <w:spacing w:before="340" w:after="330" w:line="400" w:lineRule="exact"/>
    </w:pPr>
    <w:rPr>
      <w:rFonts w:ascii="Times New Roman" w:hAnsi="Times New Roman" w:eastAsia="宋体" w:cs="Times New Roman"/>
      <w:b/>
      <w:color w:val="0070C0"/>
      <w:szCs w:val="24"/>
    </w:rPr>
  </w:style>
  <w:style w:type="character" w:customStyle="1" w:styleId="46">
    <w:name w:val="蓝色显示 Char"/>
    <w:link w:val="45"/>
    <w:qFormat/>
    <w:uiPriority w:val="0"/>
    <w:rPr>
      <w:rFonts w:ascii="Times New Roman" w:hAnsi="Times New Roman" w:eastAsia="宋体" w:cs="Times New Roman"/>
      <w:b/>
      <w:color w:val="0070C0"/>
      <w:szCs w:val="24"/>
    </w:rPr>
  </w:style>
  <w:style w:type="character" w:customStyle="1" w:styleId="47">
    <w:name w:val="纯文本 字符"/>
    <w:basedOn w:val="32"/>
    <w:link w:val="16"/>
    <w:qFormat/>
    <w:uiPriority w:val="0"/>
    <w:rPr>
      <w:rFonts w:ascii="宋体" w:hAnsi="Courier New" w:eastAsia="宋体" w:cs="Times New Roman"/>
      <w:szCs w:val="20"/>
    </w:rPr>
  </w:style>
  <w:style w:type="character" w:customStyle="1" w:styleId="48">
    <w:name w:val="批注框文本 字符"/>
    <w:basedOn w:val="32"/>
    <w:link w:val="18"/>
    <w:semiHidden/>
    <w:qFormat/>
    <w:uiPriority w:val="99"/>
    <w:rPr>
      <w:sz w:val="18"/>
      <w:szCs w:val="18"/>
    </w:rPr>
  </w:style>
  <w:style w:type="character" w:customStyle="1" w:styleId="49">
    <w:name w:val="日期 字符"/>
    <w:basedOn w:val="32"/>
    <w:link w:val="17"/>
    <w:semiHidden/>
    <w:qFormat/>
    <w:uiPriority w:val="99"/>
  </w:style>
  <w:style w:type="character" w:customStyle="1" w:styleId="50">
    <w:name w:val="批注文字 字符"/>
    <w:basedOn w:val="32"/>
    <w:link w:val="11"/>
    <w:qFormat/>
    <w:uiPriority w:val="99"/>
    <w:rPr>
      <w:rFonts w:ascii="Times New Roman" w:hAnsi="Times New Roman" w:eastAsia="宋体" w:cs="Times New Roman"/>
      <w:szCs w:val="20"/>
    </w:rPr>
  </w:style>
  <w:style w:type="character" w:customStyle="1" w:styleId="51">
    <w:name w:val="正文文本 3 字符"/>
    <w:basedOn w:val="32"/>
    <w:link w:val="12"/>
    <w:qFormat/>
    <w:uiPriority w:val="0"/>
    <w:rPr>
      <w:rFonts w:ascii="Times New Roman" w:hAnsi="Times New Roman" w:eastAsia="宋体" w:cs="Times New Roman"/>
      <w:sz w:val="16"/>
      <w:szCs w:val="16"/>
    </w:rPr>
  </w:style>
  <w:style w:type="paragraph" w:customStyle="1" w:styleId="52">
    <w:name w:val="正文00"/>
    <w:basedOn w:val="1"/>
    <w:qFormat/>
    <w:uiPriority w:val="0"/>
    <w:pPr>
      <w:topLinePunct/>
      <w:spacing w:line="360" w:lineRule="auto"/>
      <w:ind w:firstLine="200" w:firstLineChars="200"/>
    </w:pPr>
    <w:rPr>
      <w:rFonts w:ascii="Times New Roman" w:hAnsi="Times New Roman" w:eastAsia="宋体" w:cs="Times New Roman"/>
      <w:sz w:val="24"/>
      <w:szCs w:val="21"/>
    </w:rPr>
  </w:style>
  <w:style w:type="paragraph" w:customStyle="1" w:styleId="53">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54">
    <w:name w:val="正文文本 字符"/>
    <w:basedOn w:val="32"/>
    <w:link w:val="2"/>
    <w:qFormat/>
    <w:uiPriority w:val="99"/>
  </w:style>
  <w:style w:type="paragraph" w:customStyle="1" w:styleId="55">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57">
    <w:name w:val="*正文 Char"/>
    <w:link w:val="58"/>
    <w:qFormat/>
    <w:uiPriority w:val="0"/>
    <w:rPr>
      <w:kern w:val="2"/>
      <w:sz w:val="24"/>
      <w:szCs w:val="24"/>
    </w:rPr>
  </w:style>
  <w:style w:type="paragraph" w:customStyle="1" w:styleId="58">
    <w:name w:val="*正文"/>
    <w:basedOn w:val="1"/>
    <w:link w:val="57"/>
    <w:qFormat/>
    <w:uiPriority w:val="0"/>
    <w:pPr>
      <w:adjustRightInd w:val="0"/>
      <w:snapToGrid w:val="0"/>
      <w:spacing w:line="340" w:lineRule="exact"/>
      <w:ind w:firstLine="480" w:firstLineChars="200"/>
    </w:pPr>
    <w:rPr>
      <w:sz w:val="24"/>
      <w:szCs w:val="24"/>
    </w:rPr>
  </w:style>
  <w:style w:type="table" w:customStyle="1" w:styleId="59">
    <w:name w:val="网格型3"/>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招标文件_标题3"/>
    <w:basedOn w:val="43"/>
    <w:next w:val="1"/>
    <w:link w:val="61"/>
    <w:qFormat/>
    <w:uiPriority w:val="0"/>
    <w:pPr>
      <w:widowControl w:val="0"/>
      <w:spacing w:before="0" w:after="0"/>
      <w:ind w:firstLine="0" w:firstLineChars="0"/>
      <w:jc w:val="both"/>
      <w:outlineLvl w:val="2"/>
    </w:pPr>
    <w:rPr>
      <w:rFonts w:hint="default" w:ascii="Calibri" w:hAnsi="Calibri" w:eastAsia="宋体" w:cs="Times New Roman"/>
      <w:b/>
      <w:color w:val="auto"/>
      <w:sz w:val="28"/>
      <w:szCs w:val="30"/>
      <w:lang w:val="zh-CN" w:bidi="en-US"/>
    </w:rPr>
  </w:style>
  <w:style w:type="character" w:customStyle="1" w:styleId="61">
    <w:name w:val="招标文件_标题3 字符"/>
    <w:basedOn w:val="32"/>
    <w:link w:val="60"/>
    <w:qFormat/>
    <w:uiPriority w:val="0"/>
    <w:rPr>
      <w:rFonts w:ascii="Calibri" w:hAnsi="Calibri" w:eastAsia="宋体" w:cs="Times New Roman"/>
      <w:b/>
      <w:sz w:val="28"/>
      <w:szCs w:val="30"/>
      <w:lang w:val="zh-CN" w:eastAsia="en-US" w:bidi="en-US"/>
    </w:rPr>
  </w:style>
  <w:style w:type="character" w:customStyle="1" w:styleId="62">
    <w:name w:val="批注主题 字符"/>
    <w:basedOn w:val="50"/>
    <w:link w:val="27"/>
    <w:semiHidden/>
    <w:qFormat/>
    <w:uiPriority w:val="99"/>
    <w:rPr>
      <w:rFonts w:ascii="Times New Roman" w:hAnsi="Times New Roman" w:eastAsia="宋体" w:cs="Times New Roman"/>
      <w:b/>
      <w:bCs/>
      <w:kern w:val="2"/>
      <w:sz w:val="21"/>
      <w:szCs w:val="22"/>
    </w:rPr>
  </w:style>
  <w:style w:type="character" w:customStyle="1" w:styleId="63">
    <w:name w:val="正文缩进 字符"/>
    <w:link w:val="7"/>
    <w:qFormat/>
    <w:uiPriority w:val="0"/>
    <w:rPr>
      <w:rFonts w:ascii="Times New Roman" w:hAnsi="Times New Roman" w:eastAsia="宋体" w:cs="Times New Roman"/>
      <w:kern w:val="2"/>
      <w:sz w:val="21"/>
    </w:rPr>
  </w:style>
  <w:style w:type="character" w:customStyle="1" w:styleId="64">
    <w:name w:val="列表段落 字符1"/>
    <w:link w:val="43"/>
    <w:qFormat/>
    <w:locked/>
    <w:uiPriority w:val="34"/>
    <w:rPr>
      <w:rFonts w:ascii="宋体" w:hAnsi="宋体" w:eastAsia="Times New Roman" w:cs="宋体"/>
      <w:color w:val="000000"/>
      <w:u w:color="000000"/>
      <w:lang w:eastAsia="en-US"/>
    </w:rPr>
  </w:style>
  <w:style w:type="character" w:customStyle="1" w:styleId="65">
    <w:name w:val="正文文本首行缩进 字符"/>
    <w:basedOn w:val="54"/>
    <w:link w:val="28"/>
    <w:semiHidden/>
    <w:qFormat/>
    <w:uiPriority w:val="99"/>
    <w:rPr>
      <w:kern w:val="2"/>
      <w:sz w:val="21"/>
      <w:szCs w:val="22"/>
    </w:rPr>
  </w:style>
  <w:style w:type="character" w:customStyle="1" w:styleId="66">
    <w:name w:val="sh141"/>
    <w:qFormat/>
    <w:uiPriority w:val="0"/>
    <w:rPr>
      <w:color w:val="2B2B2B"/>
      <w:sz w:val="21"/>
      <w:szCs w:val="21"/>
    </w:rPr>
  </w:style>
  <w:style w:type="paragraph" w:customStyle="1" w:styleId="67">
    <w:name w:val="标准文本"/>
    <w:basedOn w:val="1"/>
    <w:link w:val="68"/>
    <w:qFormat/>
    <w:uiPriority w:val="0"/>
    <w:pPr>
      <w:adjustRightInd w:val="0"/>
      <w:snapToGrid w:val="0"/>
      <w:spacing w:line="360" w:lineRule="auto"/>
      <w:ind w:firstLine="480" w:firstLineChars="200"/>
    </w:pPr>
    <w:rPr>
      <w:rFonts w:ascii="Times New Roman" w:hAnsi="Times New Roman" w:eastAsia="宋体" w:cs="宋体"/>
      <w:sz w:val="24"/>
      <w:szCs w:val="24"/>
    </w:rPr>
  </w:style>
  <w:style w:type="character" w:customStyle="1" w:styleId="68">
    <w:name w:val="标准文本 Char"/>
    <w:link w:val="67"/>
    <w:qFormat/>
    <w:uiPriority w:val="0"/>
    <w:rPr>
      <w:rFonts w:ascii="Times New Roman" w:hAnsi="Times New Roman" w:eastAsia="宋体" w:cs="宋体"/>
      <w:kern w:val="2"/>
      <w:sz w:val="24"/>
      <w:szCs w:val="24"/>
    </w:rPr>
  </w:style>
  <w:style w:type="character" w:customStyle="1" w:styleId="69">
    <w:name w:val="NormalCharacter"/>
    <w:basedOn w:val="32"/>
    <w:qFormat/>
    <w:uiPriority w:val="0"/>
  </w:style>
  <w:style w:type="character" w:customStyle="1" w:styleId="70">
    <w:name w:val="列表段落 字符"/>
    <w:basedOn w:val="32"/>
    <w:qFormat/>
    <w:uiPriority w:val="0"/>
    <w:rPr>
      <w:rFonts w:hint="default" w:ascii="Times New Roman" w:hAnsi="Times New Roman" w:eastAsia="宋体" w:cs="Times New Roman"/>
      <w:szCs w:val="21"/>
    </w:rPr>
  </w:style>
  <w:style w:type="character" w:customStyle="1" w:styleId="71">
    <w:name w:val="正文文本首行缩进 2 字符"/>
    <w:qFormat/>
    <w:uiPriority w:val="0"/>
    <w:rPr>
      <w:rFonts w:hint="default" w:ascii="Calibri" w:hAnsi="Calibri" w:eastAsia="宋体" w:cs="Times New Roman"/>
      <w:szCs w:val="20"/>
    </w:rPr>
  </w:style>
  <w:style w:type="paragraph" w:customStyle="1" w:styleId="72">
    <w:name w:val="正文1"/>
    <w:basedOn w:val="1"/>
    <w:qFormat/>
    <w:uiPriority w:val="0"/>
    <w:pPr>
      <w:widowControl/>
      <w:adjustRightInd w:val="0"/>
      <w:spacing w:before="120" w:after="120" w:line="180" w:lineRule="auto"/>
      <w:ind w:firstLine="200" w:firstLineChars="200"/>
      <w:jc w:val="left"/>
    </w:pPr>
    <w:rPr>
      <w:rFonts w:ascii="Calibri" w:hAnsi="Calibri" w:eastAsia="宋体" w:cs="Times New Roman"/>
      <w:szCs w:val="21"/>
    </w:rPr>
  </w:style>
  <w:style w:type="character" w:customStyle="1" w:styleId="73">
    <w:name w:val="font31"/>
    <w:basedOn w:val="32"/>
    <w:qFormat/>
    <w:uiPriority w:val="0"/>
    <w:rPr>
      <w:rFonts w:hint="eastAsia" w:ascii="仿宋" w:hAnsi="仿宋" w:eastAsia="仿宋"/>
      <w:color w:val="000000"/>
      <w:sz w:val="24"/>
      <w:szCs w:val="24"/>
      <w:u w:val="none"/>
    </w:rPr>
  </w:style>
  <w:style w:type="paragraph" w:customStyle="1" w:styleId="74">
    <w:name w:val="_Style 25"/>
    <w:basedOn w:val="1"/>
    <w:next w:val="43"/>
    <w:qFormat/>
    <w:uiPriority w:val="34"/>
    <w:pPr>
      <w:spacing w:line="360" w:lineRule="auto"/>
      <w:ind w:firstLine="420" w:firstLineChars="200"/>
    </w:pPr>
    <w:rPr>
      <w:sz w:val="24"/>
      <w:szCs w:val="24"/>
    </w:rPr>
  </w:style>
  <w:style w:type="paragraph" w:customStyle="1" w:styleId="75">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table" w:customStyle="1" w:styleId="76">
    <w:name w:val="网格型1"/>
    <w:basedOn w:val="30"/>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77">
    <w:name w:val="正文文本1"/>
    <w:next w:val="1"/>
    <w:qFormat/>
    <w:uiPriority w:val="0"/>
    <w:pPr>
      <w:spacing w:after="120"/>
    </w:pPr>
    <w:rPr>
      <w:rFonts w:ascii="Times New Roman" w:hAnsi="Times New Roman" w:eastAsia="宋体" w:cs="Times New Roman"/>
      <w:sz w:val="24"/>
      <w:szCs w:val="24"/>
      <w:lang w:val="en-US" w:eastAsia="zh-CN" w:bidi="ar-SA"/>
    </w:rPr>
  </w:style>
  <w:style w:type="paragraph" w:customStyle="1" w:styleId="78">
    <w:name w:val="正文首行缩进 21"/>
    <w:next w:val="1"/>
    <w:qFormat/>
    <w:uiPriority w:val="99"/>
    <w:pPr>
      <w:widowControl w:val="0"/>
      <w:spacing w:line="240" w:lineRule="atLeast"/>
      <w:ind w:right="-159" w:firstLine="420"/>
      <w:jc w:val="both"/>
    </w:pPr>
    <w:rPr>
      <w:rFonts w:ascii="Times New Roman" w:hAnsi="Times New Roman" w:eastAsia="宋体" w:cs="Times New Roman"/>
      <w:spacing w:val="20"/>
      <w:sz w:val="21"/>
      <w:szCs w:val="24"/>
      <w:lang w:val="en-US" w:eastAsia="zh-CN" w:bidi="ar-SA"/>
    </w:rPr>
  </w:style>
  <w:style w:type="paragraph" w:customStyle="1" w:styleId="79">
    <w:name w:val="正文文本缩进1"/>
    <w:next w:val="80"/>
    <w:qFormat/>
    <w:uiPriority w:val="0"/>
    <w:pPr>
      <w:widowControl w:val="0"/>
      <w:spacing w:line="240" w:lineRule="atLeast"/>
      <w:ind w:right="-159" w:firstLine="246"/>
      <w:jc w:val="both"/>
    </w:pPr>
    <w:rPr>
      <w:rFonts w:ascii="Times New Roman" w:hAnsi="Times New Roman" w:eastAsia="宋体" w:cs="Times New Roman"/>
      <w:spacing w:val="20"/>
      <w:sz w:val="21"/>
      <w:szCs w:val="24"/>
      <w:lang w:val="en-US" w:eastAsia="zh-CN" w:bidi="ar-SA"/>
    </w:rPr>
  </w:style>
  <w:style w:type="paragraph" w:customStyle="1" w:styleId="80">
    <w:name w:val="寄信人地址1"/>
    <w:unhideWhenUsed/>
    <w:qFormat/>
    <w:uiPriority w:val="99"/>
    <w:rPr>
      <w:rFonts w:ascii="Arial" w:hAnsi="Arial"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20D42-8F97-4781-8109-90018A13D7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27270</Words>
  <Characters>28588</Characters>
  <Lines>1</Lines>
  <Paragraphs>1</Paragraphs>
  <TotalTime>65</TotalTime>
  <ScaleCrop>false</ScaleCrop>
  <LinksUpToDate>false</LinksUpToDate>
  <CharactersWithSpaces>29158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2024-09-01T13:51:00Z</dcterms:created>
  <dc:creator>ibm</dc:creator>
  <cp:lastModifiedBy>ZXQ</cp:lastModifiedBy>
  <cp:lastPrinted>2024-10-17T02:34:00Z</cp:lastPrinted>
  <dcterms:modified xsi:type="dcterms:W3CDTF">2024-10-22T09:59:18Z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FCBEC27F1C1D4820AC701842EE471728_13</vt:lpwstr>
  </property>
</Properties>
</file>