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asciiTheme="minorEastAsia" w:hAnsiTheme="minorEastAsia" w:eastAsiaTheme="minorEastAsia" w:cstheme="minorEastAsia"/>
          <w:b/>
          <w:color w:val="auto"/>
          <w:kern w:val="0"/>
          <w:sz w:val="48"/>
          <w:szCs w:val="48"/>
          <w:highlight w:val="none"/>
        </w:rPr>
      </w:pPr>
    </w:p>
    <w:p>
      <w:pPr>
        <w:widowControl/>
        <w:shd w:val="clear" w:color="auto" w:fill="FFFFFF"/>
        <w:spacing w:line="360" w:lineRule="auto"/>
        <w:jc w:val="center"/>
        <w:rPr>
          <w:rFonts w:asciiTheme="minorEastAsia" w:hAnsiTheme="minorEastAsia" w:eastAsiaTheme="minorEastAsia" w:cstheme="minorEastAsia"/>
          <w:b/>
          <w:color w:val="auto"/>
          <w:kern w:val="0"/>
          <w:sz w:val="48"/>
          <w:szCs w:val="48"/>
          <w:highlight w:val="none"/>
        </w:rPr>
      </w:pPr>
    </w:p>
    <w:p>
      <w:pPr>
        <w:widowControl/>
        <w:shd w:val="clear" w:color="auto" w:fill="FFFFFF"/>
        <w:spacing w:line="360" w:lineRule="auto"/>
        <w:jc w:val="center"/>
        <w:rPr>
          <w:rFonts w:asciiTheme="minorEastAsia" w:hAnsiTheme="minorEastAsia" w:eastAsiaTheme="minorEastAsia" w:cstheme="minorEastAsia"/>
          <w:b/>
          <w:color w:val="auto"/>
          <w:kern w:val="0"/>
          <w:sz w:val="48"/>
          <w:szCs w:val="48"/>
          <w:highlight w:val="none"/>
        </w:rPr>
      </w:pPr>
    </w:p>
    <w:p>
      <w:pPr>
        <w:widowControl/>
        <w:shd w:val="clear" w:color="auto" w:fill="FFFFFF"/>
        <w:spacing w:line="360" w:lineRule="auto"/>
        <w:jc w:val="center"/>
        <w:rPr>
          <w:rFonts w:asciiTheme="minorEastAsia" w:hAnsiTheme="minorEastAsia" w:eastAsiaTheme="minorEastAsia" w:cstheme="minorEastAsia"/>
          <w:b/>
          <w:bCs/>
          <w:color w:val="auto"/>
          <w:sz w:val="48"/>
          <w:szCs w:val="48"/>
          <w:highlight w:val="none"/>
        </w:rPr>
      </w:pPr>
      <w:r>
        <w:rPr>
          <w:rFonts w:hint="eastAsia" w:asciiTheme="minorEastAsia" w:hAnsiTheme="minorEastAsia" w:eastAsiaTheme="minorEastAsia" w:cstheme="minorEastAsia"/>
          <w:b/>
          <w:bCs/>
          <w:color w:val="auto"/>
          <w:sz w:val="48"/>
          <w:szCs w:val="48"/>
          <w:highlight w:val="none"/>
        </w:rPr>
        <w:t>东南大学</w:t>
      </w:r>
    </w:p>
    <w:p>
      <w:pPr>
        <w:widowControl/>
        <w:shd w:val="clear" w:color="auto" w:fill="FFFFFF"/>
        <w:spacing w:line="360" w:lineRule="auto"/>
        <w:jc w:val="center"/>
        <w:rPr>
          <w:rFonts w:asciiTheme="minorEastAsia" w:hAnsiTheme="minorEastAsia" w:eastAsiaTheme="minorEastAsia" w:cstheme="minorEastAsia"/>
          <w:b/>
          <w:color w:val="auto"/>
          <w:sz w:val="48"/>
          <w:szCs w:val="48"/>
          <w:highlight w:val="none"/>
          <w:lang w:val="zh-CN"/>
        </w:rPr>
      </w:pPr>
      <w:r>
        <w:rPr>
          <w:rFonts w:hint="eastAsia" w:asciiTheme="minorEastAsia" w:hAnsiTheme="minorEastAsia" w:eastAsiaTheme="minorEastAsia" w:cstheme="minorEastAsia"/>
          <w:b/>
          <w:bCs/>
          <w:color w:val="auto"/>
          <w:sz w:val="48"/>
          <w:szCs w:val="48"/>
          <w:highlight w:val="none"/>
        </w:rPr>
        <w:t>微纳系统国际创新中心晶圆激光快速退火系统采购项目</w:t>
      </w:r>
    </w:p>
    <w:p>
      <w:pPr>
        <w:widowControl/>
        <w:shd w:val="clear" w:color="auto" w:fill="FFFFFF"/>
        <w:spacing w:line="360" w:lineRule="auto"/>
        <w:rPr>
          <w:rFonts w:asciiTheme="minorEastAsia" w:hAnsiTheme="minorEastAsia" w:eastAsiaTheme="minorEastAsia" w:cstheme="minorEastAsia"/>
          <w:b/>
          <w:color w:val="auto"/>
          <w:kern w:val="0"/>
          <w:sz w:val="32"/>
          <w:szCs w:val="32"/>
          <w:highlight w:val="none"/>
        </w:rPr>
      </w:pPr>
    </w:p>
    <w:p>
      <w:pPr>
        <w:widowControl/>
        <w:spacing w:line="360" w:lineRule="auto"/>
        <w:jc w:val="center"/>
        <w:rPr>
          <w:rFonts w:asciiTheme="minorEastAsia" w:hAnsiTheme="minorEastAsia" w:eastAsiaTheme="minorEastAsia" w:cstheme="minorEastAsia"/>
          <w:b/>
          <w:color w:val="auto"/>
          <w:kern w:val="0"/>
          <w:sz w:val="72"/>
          <w:szCs w:val="72"/>
          <w:highlight w:val="none"/>
        </w:rPr>
      </w:pPr>
    </w:p>
    <w:p>
      <w:pPr>
        <w:widowControl/>
        <w:spacing w:line="360" w:lineRule="auto"/>
        <w:jc w:val="center"/>
        <w:rPr>
          <w:rFonts w:asciiTheme="minorEastAsia" w:hAnsiTheme="minorEastAsia" w:eastAsiaTheme="minorEastAsia" w:cstheme="minorEastAsia"/>
          <w:b/>
          <w:color w:val="auto"/>
          <w:kern w:val="0"/>
          <w:sz w:val="72"/>
          <w:szCs w:val="72"/>
          <w:highlight w:val="none"/>
        </w:rPr>
      </w:pPr>
    </w:p>
    <w:p>
      <w:pPr>
        <w:widowControl/>
        <w:spacing w:line="360" w:lineRule="auto"/>
        <w:jc w:val="center"/>
        <w:rPr>
          <w:rFonts w:asciiTheme="minorEastAsia" w:hAnsiTheme="minorEastAsia" w:eastAsiaTheme="minorEastAsia" w:cstheme="minorEastAsia"/>
          <w:b/>
          <w:color w:val="auto"/>
          <w:kern w:val="0"/>
          <w:sz w:val="72"/>
          <w:szCs w:val="72"/>
          <w:highlight w:val="none"/>
        </w:rPr>
      </w:pPr>
      <w:r>
        <w:rPr>
          <w:rFonts w:hint="eastAsia" w:asciiTheme="minorEastAsia" w:hAnsiTheme="minorEastAsia" w:eastAsiaTheme="minorEastAsia" w:cstheme="minorEastAsia"/>
          <w:b/>
          <w:color w:val="auto"/>
          <w:kern w:val="0"/>
          <w:sz w:val="72"/>
          <w:szCs w:val="72"/>
          <w:highlight w:val="none"/>
        </w:rPr>
        <w:t>招 标 文 件</w:t>
      </w:r>
    </w:p>
    <w:p>
      <w:pPr>
        <w:widowControl/>
        <w:spacing w:line="360" w:lineRule="auto"/>
        <w:jc w:val="center"/>
        <w:rPr>
          <w:rFonts w:asciiTheme="minorEastAsia" w:hAnsiTheme="minorEastAsia" w:eastAsiaTheme="minorEastAsia" w:cstheme="minorEastAsia"/>
          <w:b/>
          <w:color w:val="auto"/>
          <w:kern w:val="0"/>
          <w:sz w:val="36"/>
          <w:szCs w:val="36"/>
          <w:highlight w:val="none"/>
        </w:rPr>
      </w:pPr>
    </w:p>
    <w:p>
      <w:pPr>
        <w:widowControl/>
        <w:spacing w:line="360" w:lineRule="auto"/>
        <w:jc w:val="center"/>
        <w:rPr>
          <w:rFonts w:asciiTheme="minorEastAsia" w:hAnsiTheme="minorEastAsia" w:eastAsiaTheme="minorEastAsia" w:cstheme="minorEastAsia"/>
          <w:b/>
          <w:color w:val="auto"/>
          <w:kern w:val="0"/>
          <w:sz w:val="36"/>
          <w:szCs w:val="36"/>
          <w:highlight w:val="none"/>
        </w:rPr>
      </w:pPr>
    </w:p>
    <w:p>
      <w:pPr>
        <w:widowControl/>
        <w:spacing w:line="360" w:lineRule="auto"/>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 xml:space="preserve">项目编号：JC066023K30256  </w:t>
      </w:r>
    </w:p>
    <w:p>
      <w:pPr>
        <w:widowControl/>
        <w:spacing w:line="360" w:lineRule="auto"/>
        <w:jc w:val="center"/>
        <w:rPr>
          <w:rFonts w:asciiTheme="minorEastAsia" w:hAnsiTheme="minorEastAsia" w:eastAsiaTheme="minorEastAsia" w:cstheme="minorEastAsia"/>
          <w:b/>
          <w:color w:val="auto"/>
          <w:kern w:val="0"/>
          <w:sz w:val="72"/>
          <w:szCs w:val="72"/>
          <w:highlight w:val="none"/>
        </w:rPr>
      </w:pPr>
    </w:p>
    <w:p>
      <w:pPr>
        <w:widowControl/>
        <w:shd w:val="clear" w:color="auto" w:fill="FFFFFF"/>
        <w:spacing w:line="360" w:lineRule="auto"/>
        <w:rPr>
          <w:rFonts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kern w:val="0"/>
          <w:sz w:val="32"/>
          <w:szCs w:val="32"/>
          <w:highlight w:val="none"/>
        </w:rPr>
        <w:t xml:space="preserve">                                  </w:t>
      </w:r>
    </w:p>
    <w:p>
      <w:pPr>
        <w:pStyle w:val="2"/>
        <w:rPr>
          <w:rFonts w:asciiTheme="minorEastAsia" w:hAnsiTheme="minorEastAsia" w:eastAsiaTheme="minorEastAsia" w:cstheme="minorEastAsia"/>
          <w:color w:val="auto"/>
          <w:kern w:val="0"/>
          <w:sz w:val="32"/>
          <w:szCs w:val="32"/>
          <w:highlight w:val="none"/>
        </w:rPr>
      </w:pPr>
    </w:p>
    <w:p>
      <w:pPr>
        <w:pStyle w:val="2"/>
        <w:rPr>
          <w:rFonts w:asciiTheme="minorEastAsia" w:hAnsiTheme="minorEastAsia" w:eastAsiaTheme="minorEastAsia" w:cstheme="minorEastAsia"/>
          <w:color w:val="auto"/>
          <w:kern w:val="0"/>
          <w:sz w:val="32"/>
          <w:szCs w:val="32"/>
          <w:highlight w:val="none"/>
        </w:rPr>
      </w:pPr>
    </w:p>
    <w:p>
      <w:pPr>
        <w:widowControl/>
        <w:spacing w:line="360" w:lineRule="auto"/>
        <w:jc w:val="center"/>
        <w:rPr>
          <w:rFonts w:asciiTheme="minorEastAsia" w:hAnsiTheme="minorEastAsia" w:eastAsiaTheme="minorEastAsia" w:cstheme="minorEastAsia"/>
          <w:b/>
          <w:color w:val="auto"/>
          <w:kern w:val="0"/>
          <w:sz w:val="36"/>
          <w:szCs w:val="36"/>
          <w:highlight w:val="none"/>
        </w:rPr>
      </w:pPr>
    </w:p>
    <w:p>
      <w:pPr>
        <w:widowControl/>
        <w:spacing w:line="360" w:lineRule="auto"/>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江苏省设备成套股份有限公司</w:t>
      </w:r>
    </w:p>
    <w:p>
      <w:pPr>
        <w:widowControl/>
        <w:shd w:val="clear" w:color="auto" w:fill="FFFFFF"/>
        <w:spacing w:line="360" w:lineRule="auto"/>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2023年2月</w:t>
      </w:r>
    </w:p>
    <w:p>
      <w:pPr>
        <w:widowControl/>
        <w:shd w:val="clear" w:color="auto" w:fill="FFFFFF"/>
        <w:spacing w:line="360" w:lineRule="auto"/>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br w:type="page"/>
      </w:r>
    </w:p>
    <w:p>
      <w:pPr>
        <w:pStyle w:val="156"/>
        <w:jc w:val="center"/>
        <w:rPr>
          <w:rFonts w:asciiTheme="minorEastAsia" w:hAnsiTheme="minorEastAsia" w:eastAsiaTheme="minorEastAsia" w:cstheme="minorEastAsia"/>
          <w:color w:val="auto"/>
          <w:sz w:val="36"/>
          <w:szCs w:val="36"/>
          <w:highlight w:val="none"/>
        </w:rPr>
      </w:pPr>
      <w:r>
        <w:rPr>
          <w:rFonts w:hint="eastAsia" w:asciiTheme="minorEastAsia" w:hAnsiTheme="minorEastAsia" w:eastAsiaTheme="minorEastAsia" w:cstheme="minorEastAsia"/>
          <w:color w:val="auto"/>
          <w:sz w:val="36"/>
          <w:szCs w:val="36"/>
          <w:highlight w:val="none"/>
          <w:lang w:val="zh-CN"/>
        </w:rPr>
        <w:t>目  录</w:t>
      </w:r>
    </w:p>
    <w:p>
      <w:pPr>
        <w:pStyle w:val="32"/>
        <w:tabs>
          <w:tab w:val="right" w:leader="dot" w:pos="8296"/>
        </w:tabs>
        <w:rPr>
          <w:rFonts w:asciiTheme="minorEastAsia" w:hAnsiTheme="minorEastAsia" w:eastAsiaTheme="minorEastAsia" w:cstheme="minorEastAsia"/>
          <w:color w:val="auto"/>
          <w:sz w:val="28"/>
          <w:szCs w:val="28"/>
          <w:highlight w:val="none"/>
        </w:rPr>
      </w:pPr>
    </w:p>
    <w:p>
      <w:pPr>
        <w:pStyle w:val="32"/>
        <w:tabs>
          <w:tab w:val="right" w:leader="dot" w:pos="8496"/>
        </w:tabs>
        <w:spacing w:line="48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TOC \o "1-1" \h \u </w:instrText>
      </w:r>
      <w:r>
        <w:rPr>
          <w:rFonts w:hint="eastAsia" w:asciiTheme="minorEastAsia" w:hAnsiTheme="minorEastAsia" w:eastAsiaTheme="minorEastAsia" w:cstheme="minorEastAsia"/>
          <w:color w:val="auto"/>
          <w:sz w:val="24"/>
          <w:highlight w:val="none"/>
        </w:rPr>
        <w:fldChar w:fldCharType="separate"/>
      </w:r>
      <w:r>
        <w:rPr>
          <w:color w:val="auto"/>
          <w:highlight w:val="none"/>
        </w:rPr>
        <w:fldChar w:fldCharType="begin"/>
      </w:r>
      <w:r>
        <w:rPr>
          <w:color w:val="auto"/>
          <w:highlight w:val="none"/>
        </w:rPr>
        <w:instrText xml:space="preserve"> HYPERLINK \l "_Toc43902848" </w:instrText>
      </w:r>
      <w:r>
        <w:rPr>
          <w:color w:val="auto"/>
          <w:highlight w:val="none"/>
        </w:rPr>
        <w:fldChar w:fldCharType="separate"/>
      </w:r>
      <w:r>
        <w:rPr>
          <w:rStyle w:val="53"/>
          <w:rFonts w:hint="eastAsia" w:asciiTheme="minorEastAsia" w:hAnsiTheme="minorEastAsia" w:eastAsiaTheme="minorEastAsia" w:cstheme="minorEastAsia"/>
          <w:color w:val="auto"/>
          <w:kern w:val="0"/>
          <w:sz w:val="24"/>
          <w:highlight w:val="none"/>
        </w:rPr>
        <w:t>第一章</w:t>
      </w:r>
      <w:r>
        <w:rPr>
          <w:rStyle w:val="53"/>
          <w:rFonts w:hint="eastAsia" w:asciiTheme="minorEastAsia" w:hAnsiTheme="minorEastAsia" w:eastAsiaTheme="minorEastAsia" w:cstheme="minorEastAsia"/>
          <w:color w:val="auto"/>
          <w:sz w:val="24"/>
          <w:highlight w:val="none"/>
        </w:rPr>
        <w:t xml:space="preserve">  招标公告</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begin"/>
      </w:r>
      <w:r>
        <w:rPr>
          <w:rFonts w:hint="eastAsia" w:asciiTheme="minorEastAsia" w:hAnsiTheme="minorEastAsia" w:eastAsiaTheme="minorEastAsia" w:cstheme="minorEastAsia"/>
          <w:color w:val="auto"/>
          <w:sz w:val="24"/>
          <w:highlight w:val="none"/>
        </w:rPr>
        <w:instrText xml:space="preserve"> PAGEREF _Toc43902848 \h </w:instrText>
      </w:r>
      <w:r>
        <w:rPr>
          <w:rFonts w:hint="eastAsia" w:asciiTheme="minorEastAsia" w:hAnsiTheme="minorEastAsia" w:eastAsiaTheme="minorEastAsia" w:cstheme="minorEastAsia"/>
          <w:color w:val="auto"/>
          <w:sz w:val="24"/>
          <w:highlight w:val="none"/>
        </w:rPr>
        <w:fldChar w:fldCharType="separate"/>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fldChar w:fldCharType="end"/>
      </w:r>
    </w:p>
    <w:p>
      <w:pPr>
        <w:pStyle w:val="32"/>
        <w:tabs>
          <w:tab w:val="right" w:leader="dot" w:pos="8496"/>
        </w:tabs>
        <w:spacing w:line="480" w:lineRule="auto"/>
        <w:rPr>
          <w:rFonts w:asciiTheme="minorEastAsia" w:hAnsiTheme="minorEastAsia" w:eastAsiaTheme="minorEastAsia" w:cstheme="minorEastAsia"/>
          <w:color w:val="auto"/>
          <w:sz w:val="24"/>
          <w:highlight w:val="none"/>
        </w:rPr>
      </w:pPr>
      <w:r>
        <w:rPr>
          <w:color w:val="auto"/>
          <w:highlight w:val="none"/>
        </w:rPr>
        <w:fldChar w:fldCharType="begin"/>
      </w:r>
      <w:r>
        <w:rPr>
          <w:color w:val="auto"/>
          <w:highlight w:val="none"/>
        </w:rPr>
        <w:instrText xml:space="preserve"> HYPERLINK \l "_Toc43902849" </w:instrText>
      </w:r>
      <w:r>
        <w:rPr>
          <w:color w:val="auto"/>
          <w:highlight w:val="none"/>
        </w:rPr>
        <w:fldChar w:fldCharType="separate"/>
      </w:r>
      <w:r>
        <w:rPr>
          <w:rStyle w:val="53"/>
          <w:rFonts w:hint="eastAsia" w:asciiTheme="minorEastAsia" w:hAnsiTheme="minorEastAsia" w:eastAsiaTheme="minorEastAsia" w:cstheme="minorEastAsia"/>
          <w:color w:val="auto"/>
          <w:sz w:val="24"/>
          <w:highlight w:val="none"/>
        </w:rPr>
        <w:t>第二章  投标人须知</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7</w:t>
      </w:r>
    </w:p>
    <w:p>
      <w:pPr>
        <w:pStyle w:val="32"/>
        <w:tabs>
          <w:tab w:val="right" w:leader="dot" w:pos="8496"/>
        </w:tabs>
        <w:spacing w:line="480" w:lineRule="auto"/>
        <w:rPr>
          <w:rFonts w:asciiTheme="minorEastAsia" w:hAnsiTheme="minorEastAsia" w:eastAsiaTheme="minorEastAsia" w:cstheme="minorEastAsia"/>
          <w:color w:val="auto"/>
          <w:sz w:val="24"/>
          <w:highlight w:val="none"/>
        </w:rPr>
      </w:pPr>
      <w:r>
        <w:rPr>
          <w:color w:val="auto"/>
          <w:highlight w:val="none"/>
        </w:rPr>
        <w:fldChar w:fldCharType="begin"/>
      </w:r>
      <w:r>
        <w:rPr>
          <w:color w:val="auto"/>
          <w:highlight w:val="none"/>
        </w:rPr>
        <w:instrText xml:space="preserve"> HYPERLINK \l "_Toc43902850" </w:instrText>
      </w:r>
      <w:r>
        <w:rPr>
          <w:color w:val="auto"/>
          <w:highlight w:val="none"/>
        </w:rPr>
        <w:fldChar w:fldCharType="separate"/>
      </w:r>
      <w:r>
        <w:rPr>
          <w:rStyle w:val="53"/>
          <w:rFonts w:hint="eastAsia" w:asciiTheme="minorEastAsia" w:hAnsiTheme="minorEastAsia" w:eastAsiaTheme="minorEastAsia" w:cstheme="minorEastAsia"/>
          <w:color w:val="auto"/>
          <w:kern w:val="0"/>
          <w:sz w:val="24"/>
          <w:highlight w:val="none"/>
        </w:rPr>
        <w:t>第三章  评标标准</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22</w:t>
      </w:r>
    </w:p>
    <w:p>
      <w:pPr>
        <w:pStyle w:val="32"/>
        <w:tabs>
          <w:tab w:val="right" w:leader="dot" w:pos="8496"/>
        </w:tabs>
        <w:spacing w:line="480" w:lineRule="auto"/>
        <w:rPr>
          <w:rFonts w:asciiTheme="minorEastAsia" w:hAnsiTheme="minorEastAsia" w:eastAsiaTheme="minorEastAsia" w:cstheme="minorEastAsia"/>
          <w:color w:val="auto"/>
          <w:sz w:val="24"/>
          <w:highlight w:val="none"/>
        </w:rPr>
      </w:pPr>
      <w:r>
        <w:rPr>
          <w:color w:val="auto"/>
          <w:highlight w:val="none"/>
        </w:rPr>
        <w:fldChar w:fldCharType="begin"/>
      </w:r>
      <w:r>
        <w:rPr>
          <w:color w:val="auto"/>
          <w:highlight w:val="none"/>
        </w:rPr>
        <w:instrText xml:space="preserve"> HYPERLINK \l "_Toc43902851" </w:instrText>
      </w:r>
      <w:r>
        <w:rPr>
          <w:color w:val="auto"/>
          <w:highlight w:val="none"/>
        </w:rPr>
        <w:fldChar w:fldCharType="separate"/>
      </w:r>
      <w:r>
        <w:rPr>
          <w:rStyle w:val="53"/>
          <w:rFonts w:hint="eastAsia" w:asciiTheme="minorEastAsia" w:hAnsiTheme="minorEastAsia" w:eastAsiaTheme="minorEastAsia" w:cstheme="minorEastAsia"/>
          <w:color w:val="auto"/>
          <w:kern w:val="0"/>
          <w:sz w:val="24"/>
          <w:highlight w:val="none"/>
        </w:rPr>
        <w:t>第四章  采购需求</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24</w:t>
      </w:r>
    </w:p>
    <w:p>
      <w:pPr>
        <w:pStyle w:val="32"/>
        <w:tabs>
          <w:tab w:val="right" w:leader="dot" w:pos="8496"/>
        </w:tabs>
        <w:spacing w:line="480" w:lineRule="auto"/>
        <w:rPr>
          <w:rFonts w:asciiTheme="minorEastAsia" w:hAnsiTheme="minorEastAsia" w:eastAsiaTheme="minorEastAsia" w:cstheme="minorEastAsia"/>
          <w:color w:val="auto"/>
          <w:sz w:val="24"/>
          <w:highlight w:val="none"/>
        </w:rPr>
      </w:pPr>
      <w:r>
        <w:rPr>
          <w:color w:val="auto"/>
          <w:highlight w:val="none"/>
        </w:rPr>
        <w:fldChar w:fldCharType="begin"/>
      </w:r>
      <w:r>
        <w:rPr>
          <w:color w:val="auto"/>
          <w:highlight w:val="none"/>
        </w:rPr>
        <w:instrText xml:space="preserve"> HYPERLINK \l "_Toc43902852" </w:instrText>
      </w:r>
      <w:r>
        <w:rPr>
          <w:color w:val="auto"/>
          <w:highlight w:val="none"/>
        </w:rPr>
        <w:fldChar w:fldCharType="separate"/>
      </w:r>
      <w:r>
        <w:rPr>
          <w:rStyle w:val="53"/>
          <w:rFonts w:hint="eastAsia" w:asciiTheme="minorEastAsia" w:hAnsiTheme="minorEastAsia" w:eastAsiaTheme="minorEastAsia" w:cstheme="minorEastAsia"/>
          <w:color w:val="auto"/>
          <w:sz w:val="24"/>
          <w:highlight w:val="none"/>
        </w:rPr>
        <w:t>第五章  主要条款及格式</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26</w:t>
      </w:r>
    </w:p>
    <w:p>
      <w:pPr>
        <w:pStyle w:val="32"/>
        <w:tabs>
          <w:tab w:val="right" w:leader="dot" w:pos="8496"/>
        </w:tabs>
        <w:spacing w:line="480" w:lineRule="auto"/>
        <w:rPr>
          <w:rFonts w:asciiTheme="minorEastAsia" w:hAnsiTheme="minorEastAsia" w:eastAsiaTheme="minorEastAsia" w:cstheme="minorEastAsia"/>
          <w:color w:val="auto"/>
          <w:sz w:val="24"/>
          <w:highlight w:val="none"/>
        </w:rPr>
      </w:pPr>
      <w:r>
        <w:rPr>
          <w:color w:val="auto"/>
          <w:highlight w:val="none"/>
        </w:rPr>
        <w:fldChar w:fldCharType="begin"/>
      </w:r>
      <w:r>
        <w:rPr>
          <w:color w:val="auto"/>
          <w:highlight w:val="none"/>
        </w:rPr>
        <w:instrText xml:space="preserve"> HYPERLINK \l "_Toc43902853" </w:instrText>
      </w:r>
      <w:r>
        <w:rPr>
          <w:color w:val="auto"/>
          <w:highlight w:val="none"/>
        </w:rPr>
        <w:fldChar w:fldCharType="separate"/>
      </w:r>
      <w:r>
        <w:rPr>
          <w:rStyle w:val="53"/>
          <w:rFonts w:hint="eastAsia" w:asciiTheme="minorEastAsia" w:hAnsiTheme="minorEastAsia" w:eastAsiaTheme="minorEastAsia" w:cstheme="minorEastAsia"/>
          <w:color w:val="auto"/>
          <w:sz w:val="24"/>
          <w:highlight w:val="none"/>
        </w:rPr>
        <w:t>第六章  附件</w:t>
      </w:r>
      <w:r>
        <w:rPr>
          <w:rFonts w:hint="eastAsia" w:asciiTheme="minorEastAsia" w:hAnsiTheme="minorEastAsia" w:eastAsiaTheme="minorEastAsia" w:cstheme="minorEastAsia"/>
          <w:color w:val="auto"/>
          <w:sz w:val="24"/>
          <w:highlight w:val="none"/>
        </w:rPr>
        <w:tab/>
      </w:r>
      <w:r>
        <w:rPr>
          <w:rFonts w:hint="eastAsia" w:asciiTheme="minorEastAsia" w:hAnsiTheme="minorEastAsia" w:eastAsiaTheme="minorEastAsia" w:cstheme="minorEastAsia"/>
          <w:color w:val="auto"/>
          <w:sz w:val="24"/>
          <w:highlight w:val="none"/>
        </w:rPr>
        <w:fldChar w:fldCharType="end"/>
      </w:r>
      <w:r>
        <w:rPr>
          <w:rFonts w:hint="eastAsia" w:asciiTheme="minorEastAsia" w:hAnsiTheme="minorEastAsia" w:eastAsiaTheme="minorEastAsia" w:cstheme="minorEastAsia"/>
          <w:color w:val="auto"/>
          <w:sz w:val="24"/>
          <w:highlight w:val="none"/>
        </w:rPr>
        <w:t>32</w:t>
      </w:r>
    </w:p>
    <w:p>
      <w:pPr>
        <w:spacing w:line="480" w:lineRule="auto"/>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4"/>
          <w:highlight w:val="none"/>
        </w:rPr>
        <w:fldChar w:fldCharType="end"/>
      </w:r>
    </w:p>
    <w:p>
      <w:pPr>
        <w:widowControl/>
        <w:shd w:val="clear" w:color="auto" w:fill="FFFFFF"/>
        <w:spacing w:line="360" w:lineRule="auto"/>
        <w:jc w:val="center"/>
        <w:rPr>
          <w:rFonts w:asciiTheme="minorEastAsia" w:hAnsiTheme="minorEastAsia" w:eastAsiaTheme="minorEastAsia" w:cstheme="minorEastAsia"/>
          <w:b/>
          <w:color w:val="auto"/>
          <w:kern w:val="0"/>
          <w:sz w:val="36"/>
          <w:szCs w:val="36"/>
          <w:highlight w:val="none"/>
        </w:rPr>
      </w:pPr>
    </w:p>
    <w:p>
      <w:pPr>
        <w:pStyle w:val="3"/>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36"/>
          <w:szCs w:val="36"/>
          <w:highlight w:val="none"/>
          <w:shd w:val="clear" w:color="auto" w:fill="FFFFFF"/>
        </w:rPr>
        <w:br w:type="page"/>
      </w:r>
      <w:bookmarkStart w:id="0" w:name="_Toc481057143"/>
      <w:r>
        <w:rPr>
          <w:rFonts w:hint="eastAsia" w:asciiTheme="minorEastAsia" w:hAnsiTheme="minorEastAsia" w:eastAsiaTheme="minorEastAsia" w:cstheme="minorEastAsia"/>
          <w:color w:val="auto"/>
          <w:kern w:val="0"/>
          <w:sz w:val="36"/>
          <w:szCs w:val="36"/>
          <w:highlight w:val="none"/>
          <w:shd w:val="clear" w:color="auto" w:fill="FFFFFF"/>
        </w:rPr>
        <w:t xml:space="preserve">  </w:t>
      </w:r>
      <w:bookmarkStart w:id="1" w:name="_Toc43902848"/>
      <w:r>
        <w:rPr>
          <w:rFonts w:hint="eastAsia" w:asciiTheme="minorEastAsia" w:hAnsiTheme="minorEastAsia" w:eastAsiaTheme="minorEastAsia" w:cstheme="minorEastAsia"/>
          <w:color w:val="auto"/>
          <w:highlight w:val="none"/>
        </w:rPr>
        <w:t>招标公告</w:t>
      </w:r>
      <w:bookmarkEnd w:id="0"/>
      <w:bookmarkEnd w:id="1"/>
    </w:p>
    <w:p>
      <w:pPr>
        <w:widowControl/>
        <w:pBdr>
          <w:top w:val="single" w:color="auto" w:sz="4" w:space="1"/>
          <w:left w:val="single" w:color="auto" w:sz="4" w:space="4"/>
          <w:bottom w:val="single" w:color="auto" w:sz="4" w:space="1"/>
          <w:right w:val="single" w:color="auto" w:sz="4" w:space="4"/>
        </w:pBdr>
        <w:shd w:val="clear" w:color="auto" w:fill="FFFFFF" w:themeFill="background1"/>
        <w:spacing w:line="360" w:lineRule="auto"/>
        <w:ind w:firstLine="369"/>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项目概况</w:t>
      </w:r>
    </w:p>
    <w:p>
      <w:pPr>
        <w:widowControl/>
        <w:pBdr>
          <w:top w:val="single" w:color="auto" w:sz="4" w:space="1"/>
          <w:left w:val="single" w:color="auto" w:sz="4" w:space="4"/>
          <w:bottom w:val="single" w:color="auto" w:sz="4" w:space="1"/>
          <w:right w:val="single" w:color="auto" w:sz="4" w:space="4"/>
        </w:pBdr>
        <w:shd w:val="clear" w:color="auto" w:fill="FFFFFF" w:themeFill="background1"/>
        <w:spacing w:line="360" w:lineRule="auto"/>
        <w:ind w:firstLine="369"/>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zCs w:val="21"/>
          <w:highlight w:val="none"/>
        </w:rPr>
        <w:t>东南大学微纳系统国际创新中心晶圆激光快速退火系统采购项目</w:t>
      </w:r>
      <w:r>
        <w:rPr>
          <w:rFonts w:hint="eastAsia" w:asciiTheme="minorEastAsia" w:hAnsiTheme="minorEastAsia" w:eastAsiaTheme="minorEastAsia" w:cstheme="minorEastAsia"/>
          <w:color w:val="auto"/>
          <w:spacing w:val="8"/>
          <w:kern w:val="0"/>
          <w:szCs w:val="21"/>
          <w:highlight w:val="none"/>
        </w:rPr>
        <w:t>的潜在投标人应在</w:t>
      </w:r>
      <w:r>
        <w:rPr>
          <w:color w:val="auto"/>
          <w:highlight w:val="none"/>
        </w:rPr>
        <w:fldChar w:fldCharType="begin"/>
      </w:r>
      <w:r>
        <w:rPr>
          <w:color w:val="auto"/>
          <w:highlight w:val="none"/>
        </w:rPr>
        <w:instrText xml:space="preserve"> HYPERLINK "http://www.ejy365.com/）获取招标文件，并于2020年" </w:instrText>
      </w:r>
      <w:r>
        <w:rPr>
          <w:color w:val="auto"/>
          <w:highlight w:val="none"/>
        </w:rPr>
        <w:fldChar w:fldCharType="separate"/>
      </w:r>
      <w:r>
        <w:rPr>
          <w:rFonts w:hint="eastAsia" w:asciiTheme="minorEastAsia" w:hAnsiTheme="minorEastAsia" w:eastAsiaTheme="minorEastAsia" w:cstheme="minorEastAsia"/>
          <w:color w:val="auto"/>
          <w:highlight w:val="none"/>
        </w:rPr>
        <w:t>中招联合招标采购平台网址为：</w:t>
      </w:r>
      <w:r>
        <w:rPr>
          <w:rFonts w:asciiTheme="minorEastAsia" w:hAnsiTheme="minorEastAsia" w:eastAsiaTheme="minorEastAsia" w:cstheme="minorEastAsia"/>
          <w:color w:val="auto"/>
          <w:highlight w:val="none"/>
        </w:rPr>
        <w:t>http://www.365trade.com.cn/</w:t>
      </w:r>
      <w:r>
        <w:rPr>
          <w:rFonts w:hint="eastAsia" w:ascii="宋体" w:hAnsi="宋体" w:cs="宋体"/>
          <w:color w:val="auto"/>
          <w:spacing w:val="8"/>
          <w:kern w:val="0"/>
          <w:szCs w:val="21"/>
          <w:highlight w:val="none"/>
        </w:rPr>
        <w:t>获取招标文件</w:t>
      </w:r>
      <w:r>
        <w:rPr>
          <w:rFonts w:hint="eastAsia" w:asciiTheme="minorEastAsia" w:hAnsiTheme="minorEastAsia" w:eastAsiaTheme="minorEastAsia" w:cstheme="minorEastAsia"/>
          <w:color w:val="auto"/>
          <w:spacing w:val="8"/>
          <w:kern w:val="0"/>
          <w:szCs w:val="21"/>
          <w:highlight w:val="none"/>
        </w:rPr>
        <w:t>，并于2023年</w:t>
      </w:r>
      <w:r>
        <w:rPr>
          <w:rFonts w:hint="eastAsia" w:asciiTheme="minorEastAsia" w:hAnsiTheme="minorEastAsia" w:eastAsiaTheme="minorEastAsia" w:cstheme="minorEastAsia"/>
          <w:color w:val="auto"/>
          <w:spacing w:val="8"/>
          <w:kern w:val="0"/>
          <w:szCs w:val="21"/>
          <w:highlight w:val="none"/>
        </w:rPr>
        <w:fldChar w:fldCharType="end"/>
      </w:r>
      <w:r>
        <w:rPr>
          <w:rFonts w:hint="eastAsia" w:asciiTheme="minorEastAsia" w:hAnsiTheme="minorEastAsia" w:eastAsiaTheme="minorEastAsia" w:cstheme="minorEastAsia"/>
          <w:color w:val="auto"/>
          <w:spacing w:val="8"/>
          <w:kern w:val="0"/>
          <w:szCs w:val="21"/>
          <w:highlight w:val="none"/>
          <w:lang w:val="en-US" w:eastAsia="zh-CN"/>
        </w:rPr>
        <w:t>2</w:t>
      </w:r>
      <w:r>
        <w:rPr>
          <w:rFonts w:hint="eastAsia" w:asciiTheme="minorEastAsia" w:hAnsiTheme="minorEastAsia" w:eastAsiaTheme="minorEastAsia" w:cstheme="minorEastAsia"/>
          <w:color w:val="auto"/>
          <w:spacing w:val="8"/>
          <w:kern w:val="0"/>
          <w:szCs w:val="21"/>
          <w:highlight w:val="none"/>
        </w:rPr>
        <w:t>月</w:t>
      </w:r>
      <w:r>
        <w:rPr>
          <w:rFonts w:hint="eastAsia" w:asciiTheme="minorEastAsia" w:hAnsiTheme="minorEastAsia" w:eastAsiaTheme="minorEastAsia" w:cstheme="minorEastAsia"/>
          <w:color w:val="auto"/>
          <w:spacing w:val="8"/>
          <w:kern w:val="0"/>
          <w:szCs w:val="21"/>
          <w:highlight w:val="none"/>
          <w:lang w:val="en-US" w:eastAsia="zh-CN"/>
        </w:rPr>
        <w:t>28</w:t>
      </w:r>
      <w:r>
        <w:rPr>
          <w:rFonts w:hint="eastAsia" w:asciiTheme="minorEastAsia" w:hAnsiTheme="minorEastAsia" w:eastAsiaTheme="minorEastAsia" w:cstheme="minorEastAsia"/>
          <w:color w:val="auto"/>
          <w:spacing w:val="8"/>
          <w:kern w:val="0"/>
          <w:szCs w:val="21"/>
          <w:highlight w:val="none"/>
        </w:rPr>
        <w:t>日09点00分（北京时间）前递交投标文件。</w:t>
      </w:r>
    </w:p>
    <w:p>
      <w:pPr>
        <w:widowControl/>
        <w:shd w:val="clear" w:color="auto" w:fill="FFFFFF" w:themeFill="background1"/>
        <w:spacing w:line="360" w:lineRule="auto"/>
        <w:ind w:firstLine="514" w:firstLineChars="200"/>
        <w:rPr>
          <w:rFonts w:ascii="宋体" w:hAnsi="宋体" w:cs="宋体"/>
          <w:b/>
          <w:color w:val="auto"/>
          <w:spacing w:val="8"/>
          <w:kern w:val="0"/>
          <w:sz w:val="24"/>
          <w:highlight w:val="none"/>
        </w:rPr>
      </w:pPr>
      <w:r>
        <w:rPr>
          <w:rFonts w:hint="eastAsia" w:ascii="宋体" w:hAnsi="宋体" w:cs="宋体"/>
          <w:b/>
          <w:color w:val="auto"/>
          <w:spacing w:val="8"/>
          <w:kern w:val="0"/>
          <w:sz w:val="24"/>
          <w:highlight w:val="none"/>
        </w:rPr>
        <w:t>一、项目基本情况</w:t>
      </w:r>
    </w:p>
    <w:p>
      <w:pPr>
        <w:widowControl/>
        <w:shd w:val="clear" w:color="auto" w:fill="FFFFFF" w:themeFill="background1"/>
        <w:spacing w:line="360" w:lineRule="auto"/>
        <w:ind w:firstLine="452" w:firstLineChars="200"/>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xml:space="preserve">1.1项目编号：JC066023K30256 </w:t>
      </w:r>
    </w:p>
    <w:p>
      <w:pPr>
        <w:widowControl/>
        <w:shd w:val="clear" w:color="auto" w:fill="FFFFFF" w:themeFill="background1"/>
        <w:spacing w:line="360" w:lineRule="auto"/>
        <w:ind w:firstLine="452" w:firstLineChars="200"/>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1.2项目名称：东南大学</w:t>
      </w:r>
      <w:r>
        <w:rPr>
          <w:rFonts w:hint="eastAsia" w:ascii="宋体" w:hAnsi="宋体" w:cs="宋体"/>
          <w:color w:val="auto"/>
          <w:highlight w:val="none"/>
        </w:rPr>
        <w:t>微纳系统国际创新中心晶圆激光快速退火系统采购</w:t>
      </w:r>
    </w:p>
    <w:p>
      <w:pPr>
        <w:widowControl/>
        <w:shd w:val="clear" w:color="auto" w:fill="FFFFFF" w:themeFill="background1"/>
        <w:spacing w:line="360" w:lineRule="auto"/>
        <w:ind w:firstLine="452" w:firstLineChars="200"/>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xml:space="preserve">1.3预算金额：1000万元 </w:t>
      </w:r>
    </w:p>
    <w:p>
      <w:pPr>
        <w:widowControl/>
        <w:shd w:val="clear" w:color="auto" w:fill="FFFFFF" w:themeFill="background1"/>
        <w:spacing w:line="360" w:lineRule="auto"/>
        <w:ind w:firstLine="452" w:firstLineChars="200"/>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 xml:space="preserve">1.4最高限价：1000万元 </w:t>
      </w:r>
    </w:p>
    <w:p>
      <w:pPr>
        <w:widowControl/>
        <w:shd w:val="clear" w:color="auto" w:fill="FFFFFF" w:themeFill="background1"/>
        <w:spacing w:line="360" w:lineRule="auto"/>
        <w:ind w:firstLine="452" w:firstLineChars="200"/>
        <w:rPr>
          <w:rFonts w:ascii="宋体" w:hAnsi="宋体" w:cs="宋体"/>
          <w:color w:val="auto"/>
          <w:spacing w:val="8"/>
          <w:kern w:val="0"/>
          <w:szCs w:val="21"/>
          <w:highlight w:val="none"/>
        </w:rPr>
      </w:pPr>
      <w:r>
        <w:rPr>
          <w:rFonts w:hint="eastAsia" w:ascii="宋体" w:hAnsi="宋体" w:cs="宋体"/>
          <w:color w:val="auto"/>
          <w:spacing w:val="8"/>
          <w:kern w:val="0"/>
          <w:szCs w:val="21"/>
          <w:highlight w:val="none"/>
        </w:rPr>
        <w:t>1.5采购需求：</w:t>
      </w:r>
    </w:p>
    <w:p>
      <w:pPr>
        <w:numPr>
          <w:ilvl w:val="255"/>
          <w:numId w:val="0"/>
        </w:numPr>
        <w:spacing w:line="360" w:lineRule="auto"/>
        <w:ind w:firstLine="420" w:firstLineChars="200"/>
        <w:rPr>
          <w:color w:val="auto"/>
          <w:highlight w:val="none"/>
        </w:rPr>
      </w:pPr>
      <w:r>
        <w:rPr>
          <w:rFonts w:hint="eastAsia"/>
          <w:color w:val="auto"/>
          <w:highlight w:val="none"/>
        </w:rPr>
        <w:t>项目地点：东南大学无锡校区</w:t>
      </w:r>
    </w:p>
    <w:p>
      <w:pPr>
        <w:numPr>
          <w:ilvl w:val="255"/>
          <w:numId w:val="0"/>
        </w:numPr>
        <w:spacing w:line="360" w:lineRule="auto"/>
        <w:ind w:firstLine="420" w:firstLineChars="200"/>
        <w:rPr>
          <w:color w:val="auto"/>
          <w:highlight w:val="none"/>
        </w:rPr>
      </w:pPr>
      <w:r>
        <w:rPr>
          <w:rFonts w:hint="eastAsia"/>
          <w:color w:val="auto"/>
          <w:highlight w:val="none"/>
        </w:rPr>
        <w:t>项目概况：微纳系统国际创新中心采购晶圆激光快速退火系统一台，主要技术要求如下：</w:t>
      </w:r>
    </w:p>
    <w:p>
      <w:pPr>
        <w:numPr>
          <w:ilvl w:val="255"/>
          <w:numId w:val="0"/>
        </w:numPr>
        <w:spacing w:line="360" w:lineRule="auto"/>
        <w:ind w:firstLine="420" w:firstLineChars="200"/>
        <w:rPr>
          <w:color w:val="auto"/>
          <w:highlight w:val="none"/>
        </w:rPr>
      </w:pPr>
      <w:r>
        <w:rPr>
          <w:rFonts w:hint="eastAsia"/>
          <w:color w:val="auto"/>
          <w:highlight w:val="none"/>
        </w:rPr>
        <w:t>1.整体说明：本系统提供晶圆激光快速退火系统一台及相关备件及服务；</w:t>
      </w:r>
    </w:p>
    <w:p>
      <w:pPr>
        <w:numPr>
          <w:ilvl w:val="255"/>
          <w:numId w:val="0"/>
        </w:numPr>
        <w:spacing w:line="360" w:lineRule="auto"/>
        <w:ind w:firstLine="420" w:firstLineChars="200"/>
        <w:rPr>
          <w:color w:val="auto"/>
          <w:highlight w:val="none"/>
        </w:rPr>
      </w:pPr>
      <w:r>
        <w:rPr>
          <w:rFonts w:hint="eastAsia"/>
          <w:color w:val="auto"/>
          <w:highlight w:val="none"/>
        </w:rPr>
        <w:t>2.晶圆激光快速退火系统部分：晶圆尺寸4/6/8 Inch兼容；晶圆厚度最薄可以到80um；提供紫外、绿光两种选择，机台可以配置一种波长激光，也可以同时配置两种波长；紫外激光能量密度≥9J/cm²。</w:t>
      </w:r>
    </w:p>
    <w:p>
      <w:pPr>
        <w:widowControl/>
        <w:shd w:val="clear" w:color="auto" w:fill="FFFFFF" w:themeFill="background1"/>
        <w:spacing w:line="360" w:lineRule="auto"/>
        <w:ind w:firstLine="420" w:firstLineChars="200"/>
        <w:rPr>
          <w:rFonts w:ascii="宋体" w:hAnsi="宋体" w:cs="宋体"/>
          <w:color w:val="auto"/>
          <w:spacing w:val="8"/>
          <w:kern w:val="0"/>
          <w:szCs w:val="21"/>
          <w:highlight w:val="none"/>
        </w:rPr>
      </w:pPr>
      <w:r>
        <w:rPr>
          <w:rFonts w:hint="eastAsia" w:ascii="宋体" w:hAnsi="宋体" w:cs="宋体"/>
          <w:color w:val="auto"/>
          <w:szCs w:val="21"/>
          <w:highlight w:val="none"/>
        </w:rPr>
        <w:t>本项目不接受进口产品投标，</w:t>
      </w:r>
      <w:r>
        <w:rPr>
          <w:rFonts w:hint="eastAsia" w:ascii="宋体" w:hAnsi="宋体" w:cs="宋体"/>
          <w:color w:val="auto"/>
          <w:spacing w:val="8"/>
          <w:kern w:val="0"/>
          <w:szCs w:val="21"/>
          <w:highlight w:val="none"/>
        </w:rPr>
        <w:t>技术参数详见招标文件。</w:t>
      </w:r>
    </w:p>
    <w:p>
      <w:pPr>
        <w:pStyle w:val="2"/>
        <w:rPr>
          <w:rFonts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1.6合同履行期限：</w:t>
      </w:r>
    </w:p>
    <w:p>
      <w:pPr>
        <w:pStyle w:val="2"/>
        <w:rPr>
          <w:rFonts w:asciiTheme="minorEastAsia" w:hAnsiTheme="minorEastAsia" w:eastAsiaTheme="minorEastAsia" w:cstheme="minorEastAsia"/>
          <w:color w:val="auto"/>
          <w:spacing w:val="8"/>
          <w:kern w:val="0"/>
          <w:sz w:val="21"/>
          <w:szCs w:val="21"/>
          <w:highlight w:val="none"/>
        </w:rPr>
      </w:pPr>
      <w:r>
        <w:rPr>
          <w:rFonts w:hint="eastAsia" w:asciiTheme="minorEastAsia" w:hAnsiTheme="minorEastAsia" w:eastAsiaTheme="minorEastAsia" w:cstheme="minorEastAsia"/>
          <w:color w:val="auto"/>
          <w:spacing w:val="8"/>
          <w:kern w:val="0"/>
          <w:sz w:val="21"/>
          <w:szCs w:val="21"/>
          <w:highlight w:val="none"/>
        </w:rPr>
        <w:t>合同签订后12个月内设备安装调试合格。</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1.7本项目不接受联合体投标。</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1.8本项目标的所属行业：工业</w:t>
      </w:r>
    </w:p>
    <w:p>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color w:val="auto"/>
          <w:spacing w:val="8"/>
          <w:kern w:val="0"/>
          <w:sz w:val="24"/>
          <w:highlight w:val="none"/>
        </w:rPr>
      </w:pPr>
      <w:r>
        <w:rPr>
          <w:rFonts w:hint="eastAsia" w:asciiTheme="minorEastAsia" w:hAnsiTheme="minorEastAsia" w:eastAsiaTheme="minorEastAsia" w:cstheme="minorEastAsia"/>
          <w:b/>
          <w:color w:val="auto"/>
          <w:spacing w:val="8"/>
          <w:kern w:val="0"/>
          <w:sz w:val="24"/>
          <w:highlight w:val="none"/>
        </w:rPr>
        <w:t>二、申请人的资格要求：</w:t>
      </w:r>
    </w:p>
    <w:p>
      <w:pPr>
        <w:widowControl/>
        <w:shd w:val="clear" w:color="auto" w:fill="FFFFFF" w:themeFill="background1"/>
        <w:spacing w:line="360" w:lineRule="auto"/>
        <w:ind w:firstLine="454" w:firstLineChars="200"/>
        <w:rPr>
          <w:rFonts w:asciiTheme="minorEastAsia" w:hAnsiTheme="minorEastAsia" w:eastAsiaTheme="minorEastAsia" w:cstheme="minorEastAsia"/>
          <w:b/>
          <w:color w:val="auto"/>
          <w:spacing w:val="8"/>
          <w:kern w:val="0"/>
          <w:szCs w:val="21"/>
          <w:highlight w:val="none"/>
        </w:rPr>
      </w:pPr>
      <w:r>
        <w:rPr>
          <w:rFonts w:hint="eastAsia" w:asciiTheme="minorEastAsia" w:hAnsiTheme="minorEastAsia" w:eastAsiaTheme="minorEastAsia" w:cstheme="minorEastAsia"/>
          <w:b/>
          <w:color w:val="auto"/>
          <w:spacing w:val="8"/>
          <w:kern w:val="0"/>
          <w:szCs w:val="21"/>
          <w:highlight w:val="none"/>
        </w:rPr>
        <w:t>2.1满足《中华人民共和国政府采购法》第二十二条规定；</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 xml:space="preserve">（1）具有独立承担民事责任的能力（提供法人或者其他组织的营业执照；供应商为自然人的，提供其身份证）； </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（2）具有良好的商业信誉和健全的财务会计制度（提供2021年度或2022年度的财务报告，或投标截止时间前六个月内银行出具的资信证明，或财政部门认可的政府采购专业担保机构出具的投标担保函）；</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（3）具有履行合同所必需的设备和专业技术能力（供应商根据履行采购项目合同需要，提供履行合同所必需的设备和专业技术能力的证明材料）；</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（4）有依法缴纳税收和社会保障资金的良好记录（提供参加本次政府采购活动前半年内至少一个月缴纳增值税，或营业税，或企业所得税的凭据；并提供缴纳社会保险的凭据（专用收据或社会保险缴纳清单）；</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（5）参加政府采购活动前三年内，在经营活动中没有重大违法记录（提供承诺书）；</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（6）法律、行政法规规定的其他条件：无</w:t>
      </w:r>
    </w:p>
    <w:p>
      <w:pPr>
        <w:widowControl/>
        <w:shd w:val="clear" w:color="auto" w:fill="FFFFFF" w:themeFill="background1"/>
        <w:spacing w:line="360" w:lineRule="auto"/>
        <w:ind w:firstLine="454"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b/>
          <w:color w:val="auto"/>
          <w:spacing w:val="8"/>
          <w:kern w:val="0"/>
          <w:szCs w:val="21"/>
          <w:highlight w:val="none"/>
        </w:rPr>
        <w:t>2.2落实政府采购政策需满足的资格要求：</w:t>
      </w:r>
      <w:r>
        <w:rPr>
          <w:rFonts w:hint="eastAsia" w:asciiTheme="minorEastAsia" w:hAnsiTheme="minorEastAsia" w:eastAsiaTheme="minorEastAsia" w:cstheme="minorEastAsia"/>
          <w:color w:val="auto"/>
          <w:highlight w:val="none"/>
        </w:rPr>
        <w:t>无</w:t>
      </w:r>
      <w:r>
        <w:rPr>
          <w:rFonts w:hint="eastAsia" w:asciiTheme="minorEastAsia" w:hAnsiTheme="minorEastAsia" w:eastAsiaTheme="minorEastAsia" w:cstheme="minorEastAsia"/>
          <w:color w:val="auto"/>
          <w:spacing w:val="8"/>
          <w:kern w:val="0"/>
          <w:szCs w:val="21"/>
          <w:highlight w:val="none"/>
        </w:rPr>
        <w:t xml:space="preserve"> </w:t>
      </w:r>
    </w:p>
    <w:p>
      <w:pPr>
        <w:spacing w:line="360" w:lineRule="auto"/>
        <w:ind w:firstLine="454"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pacing w:val="8"/>
          <w:kern w:val="0"/>
          <w:szCs w:val="21"/>
          <w:highlight w:val="none"/>
        </w:rPr>
        <w:t>2.3</w:t>
      </w:r>
      <w:r>
        <w:rPr>
          <w:rFonts w:hint="eastAsia" w:asciiTheme="minorEastAsia" w:hAnsiTheme="minorEastAsia" w:eastAsiaTheme="minorEastAsia" w:cstheme="minorEastAsia"/>
          <w:b/>
          <w:color w:val="auto"/>
          <w:szCs w:val="21"/>
          <w:highlight w:val="none"/>
        </w:rPr>
        <w:t>采购人根据采购项目的特殊要求规定的特定条件，并提供符合特殊要求的证明材料或者情况说明：无</w:t>
      </w:r>
    </w:p>
    <w:p>
      <w:pPr>
        <w:widowControl/>
        <w:spacing w:line="360" w:lineRule="auto"/>
        <w:ind w:firstLine="452"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pacing w:val="8"/>
          <w:kern w:val="0"/>
          <w:szCs w:val="21"/>
          <w:highlight w:val="none"/>
        </w:rPr>
        <w:t>2.4</w:t>
      </w:r>
      <w:r>
        <w:rPr>
          <w:rFonts w:hint="eastAsia" w:asciiTheme="minorEastAsia" w:hAnsiTheme="minorEastAsia" w:eastAsiaTheme="minorEastAsia" w:cstheme="minorEastAsia"/>
          <w:bCs/>
          <w:color w:val="auto"/>
          <w:szCs w:val="21"/>
          <w:highlight w:val="none"/>
        </w:rPr>
        <w:t>第2.1（5）条所称重大违法记录，是指供应商因违法经营受到刑事处罚或者责令停产停业、吊销许可证或者执照、较大数额罚款等行政处罚。</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2.5 供应商在参加政府采购活动前3年内因违法经营被禁止在一定期限内参加政府采购活动，期限届满的，可以参加政府采购活动。</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2.6单位负责人为同一人或者存在直接控股、管理关系的不同供应商，不得参加同一合同项下的政府采购活动。</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为采购项目提供整体设计、规范编制或者项目管理、监理、检测等服务的供应商，不得再参加该采购项目的其他采购活动。</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2.7拒绝列入失信被执行人、重大税收违法案件当事人名单、政府采购严重违法失信行为记录名单的供应商参与政府采购活动。采购代理机构将在开标结束后，通过“中国政府采购网”、“信用中国”网站等渠道查询投标人信用记录并保存。</w:t>
      </w:r>
    </w:p>
    <w:p>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color w:val="auto"/>
          <w:spacing w:val="8"/>
          <w:kern w:val="0"/>
          <w:sz w:val="24"/>
          <w:highlight w:val="none"/>
        </w:rPr>
      </w:pPr>
      <w:r>
        <w:rPr>
          <w:rFonts w:hint="eastAsia" w:asciiTheme="minorEastAsia" w:hAnsiTheme="minorEastAsia" w:eastAsiaTheme="minorEastAsia" w:cstheme="minorEastAsia"/>
          <w:b/>
          <w:color w:val="auto"/>
          <w:spacing w:val="8"/>
          <w:kern w:val="0"/>
          <w:sz w:val="24"/>
          <w:highlight w:val="none"/>
        </w:rPr>
        <w:t>三、获取招标文件</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3.1时间：2023年02月06日至2023年02</w:t>
      </w:r>
      <w:bookmarkStart w:id="14" w:name="_GoBack"/>
      <w:bookmarkEnd w:id="14"/>
      <w:r>
        <w:rPr>
          <w:rFonts w:hint="eastAsia" w:asciiTheme="minorEastAsia" w:hAnsiTheme="minorEastAsia" w:eastAsiaTheme="minorEastAsia" w:cstheme="minorEastAsia"/>
          <w:color w:val="auto"/>
          <w:spacing w:val="8"/>
          <w:sz w:val="21"/>
          <w:szCs w:val="21"/>
          <w:highlight w:val="none"/>
        </w:rPr>
        <w:t>月20日，每天上午9:00至12:00，下午14:00至17:00。</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3.2地点：登录中招联合招标采购平台（以下简称平台）网址为：http://www.365trade.com.cn/</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3.3方式：</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1）登陆平台下载电子招标文件。下载者首次登陆平台前，须前往平台免费注册，平台将对下载者注册信息与其提供扫描件信息进行一致性检查。注册为一次性工作，以后若有需要可变更及完善相关信息；注册成功后，可以及时参与平台上所有发布的采购项目；同一单位不同的经办人可各自建立不同账户。</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（2）下载者应充分考虑平台注册、信息检查、资料上传、费用支付所需时间，下载者必须在前述时间段内完成支付，否则将无法保证获取电子招标文件。</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（3）下载者选择“需要邮购纸质标书”的，需支付邮购费，采购代理机构将在文件下载后的1个工作日内寄送。</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4）下载者需要发票的，须通过平台“发票管理”模块进行操作。招标文件服务费及邮购费发票由采购代理机构出具；下载者选择出具增值税普通发票的，可在支付后3日内登陆前述模块下载增值税电子普通发票；选择出具增值税专用发票的，可在开标时在开标现场领取；平台服务费发票由中招联合信息股份有限公司（以下简称平台公司）自动出具增值税电子普通发票，下载者可在支付后3日内登陆前述模块下载。非因采购代理机构或平台公司原因，发票一经开具不予退换。</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5）平台网站首页“帮助中心”提供操作手册，下载者可以下载并根据操作手册提示进行注册、登录、下载支付、发票开具领取等操作。平台咨询电话为：010-86397110，服务时间为工作日上午9时至12时，下午1时到6时。平台会通过短信提醒下载者进行注册、支付、下载等操作。</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（6）联合体投标（如允许）的，联合体各方应当指定牵头人，并授权其以自身名义在平台办理注册、购买文件、缴纳保证金等手续，其在平台的办理行为，对联合体各方均具有约束力。</w:t>
      </w:r>
    </w:p>
    <w:p>
      <w:pPr>
        <w:pStyle w:val="40"/>
        <w:shd w:val="clear" w:color="auto" w:fill="FFFFFF"/>
        <w:spacing w:before="0" w:beforeAutospacing="0" w:after="0" w:afterAutospacing="0" w:line="360" w:lineRule="auto"/>
        <w:ind w:firstLine="452" w:firstLineChars="200"/>
        <w:jc w:val="both"/>
        <w:rPr>
          <w:rFonts w:asciiTheme="minorEastAsia" w:hAnsiTheme="minorEastAsia" w:eastAsiaTheme="minorEastAsia" w:cstheme="minorEastAsia"/>
          <w:color w:val="auto"/>
          <w:spacing w:val="8"/>
          <w:sz w:val="21"/>
          <w:szCs w:val="21"/>
          <w:highlight w:val="none"/>
        </w:rPr>
      </w:pPr>
      <w:r>
        <w:rPr>
          <w:rFonts w:hint="eastAsia" w:asciiTheme="minorEastAsia" w:hAnsiTheme="minorEastAsia" w:eastAsiaTheme="minorEastAsia" w:cstheme="minorEastAsia"/>
          <w:color w:val="auto"/>
          <w:spacing w:val="8"/>
          <w:sz w:val="21"/>
          <w:szCs w:val="21"/>
          <w:highlight w:val="none"/>
        </w:rPr>
        <w:t>3.4招标文件服务费每套400元，平台服务费200元，售后不退。</w:t>
      </w:r>
    </w:p>
    <w:p>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color w:val="auto"/>
          <w:spacing w:val="8"/>
          <w:kern w:val="0"/>
          <w:sz w:val="24"/>
          <w:highlight w:val="none"/>
        </w:rPr>
      </w:pPr>
      <w:r>
        <w:rPr>
          <w:rFonts w:hint="eastAsia" w:asciiTheme="minorEastAsia" w:hAnsiTheme="minorEastAsia" w:eastAsiaTheme="minorEastAsia" w:cstheme="minorEastAsia"/>
          <w:b/>
          <w:color w:val="auto"/>
          <w:spacing w:val="8"/>
          <w:kern w:val="0"/>
          <w:sz w:val="24"/>
          <w:highlight w:val="none"/>
        </w:rPr>
        <w:t>四、提交投标文件截止时间、开标时间和地点</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 xml:space="preserve">4.1 </w:t>
      </w:r>
      <w:r>
        <w:rPr>
          <w:rFonts w:asciiTheme="minorEastAsia" w:hAnsiTheme="minorEastAsia" w:eastAsiaTheme="minorEastAsia" w:cstheme="minorEastAsia"/>
          <w:color w:val="auto"/>
          <w:highlight w:val="none"/>
          <w:u w:val="single" w:color="000000" w:themeColor="text1"/>
        </w:rPr>
        <w:t>202</w:t>
      </w:r>
      <w:r>
        <w:rPr>
          <w:rFonts w:hint="eastAsia" w:asciiTheme="minorEastAsia" w:hAnsiTheme="minorEastAsia" w:eastAsiaTheme="minorEastAsia" w:cstheme="minorEastAsia"/>
          <w:color w:val="auto"/>
          <w:highlight w:val="none"/>
          <w:u w:val="single" w:color="000000" w:themeColor="text1"/>
        </w:rPr>
        <w:t>3</w:t>
      </w:r>
      <w:r>
        <w:rPr>
          <w:rFonts w:hint="eastAsia" w:asciiTheme="minorEastAsia" w:hAnsiTheme="minorEastAsia" w:eastAsiaTheme="minorEastAsia" w:cstheme="minorEastAsia"/>
          <w:color w:val="auto"/>
          <w:spacing w:val="8"/>
          <w:kern w:val="0"/>
          <w:szCs w:val="21"/>
          <w:highlight w:val="none"/>
        </w:rPr>
        <w:t>年</w:t>
      </w:r>
      <w:r>
        <w:rPr>
          <w:rFonts w:hint="eastAsia" w:asciiTheme="minorEastAsia" w:hAnsiTheme="minorEastAsia" w:eastAsiaTheme="minorEastAsia" w:cstheme="minorEastAsia"/>
          <w:color w:val="auto"/>
          <w:highlight w:val="none"/>
          <w:u w:val="single" w:color="000000" w:themeColor="text1"/>
          <w:lang w:val="en-US" w:eastAsia="zh-CN"/>
        </w:rPr>
        <w:t>2</w:t>
      </w:r>
      <w:r>
        <w:rPr>
          <w:rFonts w:hint="eastAsia" w:asciiTheme="minorEastAsia" w:hAnsiTheme="minorEastAsia" w:eastAsiaTheme="minorEastAsia" w:cstheme="minorEastAsia"/>
          <w:color w:val="auto"/>
          <w:spacing w:val="8"/>
          <w:kern w:val="0"/>
          <w:szCs w:val="21"/>
          <w:highlight w:val="none"/>
        </w:rPr>
        <w:t>月</w:t>
      </w:r>
      <w:r>
        <w:rPr>
          <w:rFonts w:hint="eastAsia" w:asciiTheme="minorEastAsia" w:hAnsiTheme="minorEastAsia" w:eastAsiaTheme="minorEastAsia" w:cstheme="minorEastAsia"/>
          <w:color w:val="auto"/>
          <w:spacing w:val="8"/>
          <w:kern w:val="0"/>
          <w:szCs w:val="21"/>
          <w:highlight w:val="none"/>
          <w:u w:val="single"/>
          <w:lang w:val="en-US" w:eastAsia="zh-CN"/>
        </w:rPr>
        <w:t>28</w:t>
      </w:r>
      <w:r>
        <w:rPr>
          <w:rFonts w:hint="eastAsia" w:asciiTheme="minorEastAsia" w:hAnsiTheme="minorEastAsia" w:eastAsiaTheme="minorEastAsia" w:cstheme="minorEastAsia"/>
          <w:color w:val="auto"/>
          <w:spacing w:val="8"/>
          <w:kern w:val="0"/>
          <w:szCs w:val="21"/>
          <w:highlight w:val="none"/>
        </w:rPr>
        <w:t>日</w:t>
      </w:r>
      <w:r>
        <w:rPr>
          <w:rFonts w:asciiTheme="minorEastAsia" w:hAnsiTheme="minorEastAsia" w:eastAsiaTheme="minorEastAsia" w:cstheme="minorEastAsia"/>
          <w:color w:val="auto"/>
          <w:highlight w:val="none"/>
          <w:u w:val="single" w:color="000000" w:themeColor="text1"/>
        </w:rPr>
        <w:t>09</w:t>
      </w:r>
      <w:r>
        <w:rPr>
          <w:rFonts w:hint="eastAsia" w:asciiTheme="minorEastAsia" w:hAnsiTheme="minorEastAsia" w:eastAsiaTheme="minorEastAsia" w:cstheme="minorEastAsia"/>
          <w:color w:val="auto"/>
          <w:spacing w:val="8"/>
          <w:kern w:val="0"/>
          <w:szCs w:val="21"/>
          <w:highlight w:val="none"/>
        </w:rPr>
        <w:t>点</w:t>
      </w:r>
      <w:r>
        <w:rPr>
          <w:rFonts w:asciiTheme="minorEastAsia" w:hAnsiTheme="minorEastAsia" w:eastAsiaTheme="minorEastAsia" w:cstheme="minorEastAsia"/>
          <w:color w:val="auto"/>
          <w:highlight w:val="none"/>
          <w:u w:val="single" w:color="000000" w:themeColor="text1"/>
        </w:rPr>
        <w:t>00</w:t>
      </w:r>
      <w:r>
        <w:rPr>
          <w:rFonts w:hint="eastAsia" w:asciiTheme="minorEastAsia" w:hAnsiTheme="minorEastAsia" w:eastAsiaTheme="minorEastAsia" w:cstheme="minorEastAsia"/>
          <w:color w:val="auto"/>
          <w:spacing w:val="8"/>
          <w:kern w:val="0"/>
          <w:szCs w:val="21"/>
          <w:highlight w:val="none"/>
        </w:rPr>
        <w:t>分（北京时间）</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4.2递交文件地点：南京市鼓楼区清江南路18号鼓楼创新广场D栋11楼开标室1</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开标地点：南京市鼓楼区清江南路18号鼓楼创新广场D栋11楼开标室1</w:t>
      </w:r>
    </w:p>
    <w:p>
      <w:pPr>
        <w:widowControl/>
        <w:spacing w:line="360" w:lineRule="auto"/>
        <w:ind w:firstLine="45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8"/>
          <w:kern w:val="0"/>
          <w:szCs w:val="21"/>
          <w:highlight w:val="none"/>
        </w:rPr>
        <w:t>4.3</w:t>
      </w:r>
      <w:r>
        <w:rPr>
          <w:rFonts w:hint="eastAsia" w:asciiTheme="minorEastAsia" w:hAnsiTheme="minorEastAsia" w:eastAsiaTheme="minorEastAsia" w:cstheme="minorEastAsia"/>
          <w:color w:val="auto"/>
          <w:szCs w:val="21"/>
          <w:highlight w:val="none"/>
        </w:rPr>
        <w:t>投标人应提供电子版投标文件1份（一般应为PDF格式、U盘形式（单独封装）、随纸质正本文件一并提交）。当电子版文件和纸质正本文件不一致时，以纸质正本文件为准。电子版文件用于辅助评标和平台存档，投标人需承担前述不一致造成的不利后果。</w:t>
      </w:r>
    </w:p>
    <w:p>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color w:val="auto"/>
          <w:spacing w:val="8"/>
          <w:kern w:val="0"/>
          <w:sz w:val="24"/>
          <w:highlight w:val="none"/>
        </w:rPr>
      </w:pPr>
      <w:r>
        <w:rPr>
          <w:rFonts w:hint="eastAsia" w:asciiTheme="minorEastAsia" w:hAnsiTheme="minorEastAsia" w:eastAsiaTheme="minorEastAsia" w:cstheme="minorEastAsia"/>
          <w:b/>
          <w:color w:val="auto"/>
          <w:spacing w:val="8"/>
          <w:kern w:val="0"/>
          <w:sz w:val="24"/>
          <w:highlight w:val="none"/>
        </w:rPr>
        <w:t>五、公告期限</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自本公告发布之日起5个工作日。</w:t>
      </w:r>
    </w:p>
    <w:p>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color w:val="auto"/>
          <w:spacing w:val="8"/>
          <w:kern w:val="0"/>
          <w:sz w:val="24"/>
          <w:highlight w:val="none"/>
        </w:rPr>
      </w:pPr>
      <w:r>
        <w:rPr>
          <w:rFonts w:hint="eastAsia" w:asciiTheme="minorEastAsia" w:hAnsiTheme="minorEastAsia" w:eastAsiaTheme="minorEastAsia" w:cstheme="minorEastAsia"/>
          <w:b/>
          <w:color w:val="auto"/>
          <w:spacing w:val="8"/>
          <w:kern w:val="0"/>
          <w:sz w:val="24"/>
          <w:highlight w:val="none"/>
        </w:rPr>
        <w:t>六、其他补充事宜</w:t>
      </w:r>
    </w:p>
    <w:p>
      <w:pPr>
        <w:widowControl/>
        <w:shd w:val="clear" w:color="auto" w:fill="FFFFFF" w:themeFill="background1"/>
        <w:spacing w:line="360" w:lineRule="auto"/>
        <w:ind w:firstLine="420" w:firstLineChars="200"/>
        <w:outlineLvl w:val="1"/>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6.1本项目在</w:t>
      </w:r>
      <w:r>
        <w:rPr>
          <w:rFonts w:hint="eastAsia" w:asciiTheme="minorEastAsia" w:hAnsiTheme="minorEastAsia" w:eastAsiaTheme="minorEastAsia" w:cstheme="minorEastAsia"/>
          <w:color w:val="auto"/>
          <w:highlight w:val="none"/>
        </w:rPr>
        <w:t xml:space="preserve"> 中国政府采购网 </w:t>
      </w:r>
      <w:r>
        <w:rPr>
          <w:rFonts w:hint="eastAsia" w:asciiTheme="minorEastAsia" w:hAnsiTheme="minorEastAsia" w:eastAsiaTheme="minorEastAsia" w:cstheme="minorEastAsia"/>
          <w:color w:val="auto"/>
          <w:szCs w:val="21"/>
          <w:highlight w:val="none"/>
          <w:lang w:val="zh-CN"/>
        </w:rPr>
        <w:t>网站发布公告。</w:t>
      </w:r>
    </w:p>
    <w:p>
      <w:pPr>
        <w:widowControl/>
        <w:shd w:val="clear" w:color="auto" w:fill="FFFFFF" w:themeFill="background1"/>
        <w:spacing w:line="360" w:lineRule="auto"/>
        <w:ind w:firstLine="420" w:firstLineChars="200"/>
        <w:outlineLvl w:val="1"/>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zh-CN"/>
        </w:rPr>
        <w:t>6.</w:t>
      </w: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b/>
          <w:bCs/>
          <w:color w:val="auto"/>
          <w:szCs w:val="21"/>
          <w:highlight w:val="none"/>
        </w:rPr>
        <w:t>本次招标请按“包”购买招标文件，编制、提交电子投标文件</w:t>
      </w:r>
      <w:r>
        <w:rPr>
          <w:rFonts w:hint="eastAsia" w:asciiTheme="minorEastAsia" w:hAnsiTheme="minorEastAsia" w:eastAsiaTheme="minorEastAsia" w:cstheme="minorEastAsia"/>
          <w:color w:val="auto"/>
          <w:szCs w:val="21"/>
          <w:highlight w:val="none"/>
        </w:rPr>
        <w:t>，提交投标保证金，并按“包”开标、评标。</w:t>
      </w:r>
    </w:p>
    <w:p>
      <w:pPr>
        <w:widowControl/>
        <w:shd w:val="clear" w:color="auto" w:fill="FFFFFF" w:themeFill="background1"/>
        <w:spacing w:line="360" w:lineRule="auto"/>
        <w:ind w:firstLine="420" w:firstLineChars="200"/>
        <w:outlineLvl w:val="1"/>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6.</w:t>
      </w: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color w:val="auto"/>
          <w:szCs w:val="21"/>
          <w:highlight w:val="none"/>
          <w:lang w:val="zh-CN"/>
        </w:rPr>
        <w:t xml:space="preserve"> 投标人应当从招标代理机构合法获得招标项目的招标文件。</w:t>
      </w:r>
    </w:p>
    <w:p>
      <w:pPr>
        <w:spacing w:line="400" w:lineRule="exact"/>
        <w:ind w:firstLine="420" w:firstLineChars="200"/>
        <w:rPr>
          <w:rFonts w:ascii="宋体" w:hAnsi="宋体" w:eastAsiaTheme="minorEastAsia"/>
          <w:color w:val="auto"/>
          <w:szCs w:val="21"/>
          <w:highlight w:val="none"/>
        </w:rPr>
      </w:pPr>
      <w:r>
        <w:rPr>
          <w:rFonts w:hint="eastAsia" w:asciiTheme="minorEastAsia" w:hAnsiTheme="minorEastAsia" w:eastAsiaTheme="minorEastAsia" w:cstheme="minorEastAsia"/>
          <w:bCs/>
          <w:color w:val="auto"/>
          <w:szCs w:val="21"/>
          <w:highlight w:val="none"/>
        </w:rPr>
        <w:t>6.4 勘察现场或答疑：</w:t>
      </w:r>
      <w:r>
        <w:rPr>
          <w:rFonts w:hint="eastAsia" w:ascii="宋体" w:hAnsi="宋体" w:eastAsiaTheme="minorEastAsia"/>
          <w:color w:val="auto"/>
          <w:szCs w:val="21"/>
          <w:highlight w:val="none"/>
        </w:rPr>
        <w:t>无</w:t>
      </w:r>
    </w:p>
    <w:p>
      <w:pPr>
        <w:widowControl/>
        <w:shd w:val="clear" w:color="auto" w:fill="FFFFFF" w:themeFill="background1"/>
        <w:spacing w:line="360" w:lineRule="auto"/>
        <w:ind w:firstLine="420" w:firstLineChars="200"/>
        <w:jc w:val="left"/>
        <w:outlineLvl w:val="1"/>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bCs/>
          <w:color w:val="auto"/>
          <w:szCs w:val="21"/>
          <w:highlight w:val="none"/>
        </w:rPr>
        <w:t xml:space="preserve">6.5 </w:t>
      </w:r>
      <w:r>
        <w:rPr>
          <w:rFonts w:hint="eastAsia" w:asciiTheme="minorEastAsia" w:hAnsiTheme="minorEastAsia" w:eastAsiaTheme="minorEastAsia" w:cstheme="minorEastAsia"/>
          <w:color w:val="auto"/>
          <w:szCs w:val="21"/>
          <w:highlight w:val="none"/>
          <w:lang w:val="zh-CN"/>
        </w:rPr>
        <w:t>投标人前来投标的授权代表，必须为本单位员工，需提供投标人为其缴纳的截止至投标截止时间前3个月的社保缴纳证明材料。</w:t>
      </w:r>
    </w:p>
    <w:p>
      <w:pPr>
        <w:widowControl/>
        <w:shd w:val="clear" w:color="auto" w:fill="FFFFFF" w:themeFill="background1"/>
        <w:spacing w:line="360" w:lineRule="auto"/>
        <w:ind w:firstLine="514" w:firstLineChars="200"/>
        <w:outlineLvl w:val="1"/>
        <w:rPr>
          <w:rFonts w:asciiTheme="minorEastAsia" w:hAnsiTheme="minorEastAsia" w:eastAsiaTheme="minorEastAsia" w:cstheme="minorEastAsia"/>
          <w:b/>
          <w:color w:val="auto"/>
          <w:spacing w:val="8"/>
          <w:kern w:val="0"/>
          <w:sz w:val="24"/>
          <w:highlight w:val="none"/>
        </w:rPr>
      </w:pPr>
      <w:r>
        <w:rPr>
          <w:rFonts w:hint="eastAsia" w:asciiTheme="minorEastAsia" w:hAnsiTheme="minorEastAsia" w:eastAsiaTheme="minorEastAsia" w:cstheme="minorEastAsia"/>
          <w:b/>
          <w:color w:val="auto"/>
          <w:spacing w:val="8"/>
          <w:kern w:val="0"/>
          <w:sz w:val="24"/>
          <w:highlight w:val="none"/>
        </w:rPr>
        <w:t>七、对本次招标提出询问，请按以下方式联系</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7.1采购人信息</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 称：东南大学</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地址：南京市四牌楼2号</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联系方式：</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微纳系统国际创新中心</w:t>
      </w:r>
      <w:r>
        <w:rPr>
          <w:rFonts w:asciiTheme="minorEastAsia" w:hAnsiTheme="minorEastAsia" w:eastAsiaTheme="minorEastAsia" w:cstheme="minorEastAsia"/>
          <w:color w:val="auto"/>
          <w:spacing w:val="8"/>
          <w:kern w:val="0"/>
          <w:szCs w:val="21"/>
          <w:highlight w:val="none"/>
        </w:rPr>
        <w:t>：</w:t>
      </w:r>
      <w:r>
        <w:rPr>
          <w:rFonts w:hint="eastAsia" w:asciiTheme="minorEastAsia" w:hAnsiTheme="minorEastAsia" w:eastAsiaTheme="minorEastAsia" w:cstheme="minorEastAsia"/>
          <w:color w:val="auto"/>
          <w:spacing w:val="8"/>
          <w:kern w:val="0"/>
          <w:szCs w:val="21"/>
          <w:highlight w:val="none"/>
        </w:rPr>
        <w:t>刘老师</w:t>
      </w:r>
      <w:r>
        <w:rPr>
          <w:rFonts w:asciiTheme="minorEastAsia" w:hAnsiTheme="minorEastAsia" w:eastAsiaTheme="minorEastAsia" w:cstheme="minorEastAsia"/>
          <w:color w:val="auto"/>
          <w:spacing w:val="8"/>
          <w:kern w:val="0"/>
          <w:szCs w:val="21"/>
          <w:highlight w:val="none"/>
        </w:rPr>
        <w:t xml:space="preserve">  </w:t>
      </w:r>
      <w:r>
        <w:rPr>
          <w:rFonts w:hint="eastAsia" w:asciiTheme="minorEastAsia" w:hAnsiTheme="minorEastAsia" w:eastAsiaTheme="minorEastAsia" w:cstheme="minorEastAsia"/>
          <w:color w:val="auto"/>
          <w:spacing w:val="8"/>
          <w:kern w:val="0"/>
          <w:szCs w:val="21"/>
          <w:highlight w:val="none"/>
        </w:rPr>
        <w:t xml:space="preserve"> 025-83795811；</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实验室与设备管理处</w:t>
      </w:r>
      <w:r>
        <w:rPr>
          <w:rFonts w:asciiTheme="minorEastAsia" w:hAnsiTheme="minorEastAsia" w:eastAsiaTheme="minorEastAsia" w:cstheme="minorEastAsia"/>
          <w:color w:val="auto"/>
          <w:spacing w:val="8"/>
          <w:kern w:val="0"/>
          <w:szCs w:val="21"/>
          <w:highlight w:val="none"/>
        </w:rPr>
        <w:t>：刘</w:t>
      </w:r>
      <w:r>
        <w:rPr>
          <w:rFonts w:hint="eastAsia" w:asciiTheme="minorEastAsia" w:hAnsiTheme="minorEastAsia" w:eastAsiaTheme="minorEastAsia" w:cstheme="minorEastAsia"/>
          <w:color w:val="auto"/>
          <w:spacing w:val="8"/>
          <w:kern w:val="0"/>
          <w:szCs w:val="21"/>
          <w:highlight w:val="none"/>
        </w:rPr>
        <w:t>老师</w:t>
      </w:r>
      <w:r>
        <w:rPr>
          <w:rFonts w:asciiTheme="minorEastAsia" w:hAnsiTheme="minorEastAsia" w:eastAsiaTheme="minorEastAsia" w:cstheme="minorEastAsia"/>
          <w:color w:val="auto"/>
          <w:spacing w:val="8"/>
          <w:kern w:val="0"/>
          <w:szCs w:val="21"/>
          <w:highlight w:val="none"/>
        </w:rPr>
        <w:t xml:space="preserve">  </w:t>
      </w:r>
      <w:r>
        <w:rPr>
          <w:rFonts w:hint="eastAsia" w:asciiTheme="minorEastAsia" w:hAnsiTheme="minorEastAsia" w:eastAsiaTheme="minorEastAsia" w:cstheme="minorEastAsia"/>
          <w:color w:val="auto"/>
          <w:spacing w:val="8"/>
          <w:kern w:val="0"/>
          <w:szCs w:val="21"/>
          <w:highlight w:val="none"/>
        </w:rPr>
        <w:t xml:space="preserve">   </w:t>
      </w:r>
      <w:r>
        <w:rPr>
          <w:rFonts w:asciiTheme="minorEastAsia" w:hAnsiTheme="minorEastAsia" w:eastAsiaTheme="minorEastAsia" w:cstheme="minorEastAsia"/>
          <w:color w:val="auto"/>
          <w:spacing w:val="8"/>
          <w:kern w:val="0"/>
          <w:szCs w:val="21"/>
          <w:highlight w:val="none"/>
        </w:rPr>
        <w:t>025-83792693。</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7.2采购代理机构信息</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 称：江苏省设备成套股份有限公司</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　址：</w:t>
      </w:r>
      <w:r>
        <w:rPr>
          <w:rFonts w:hint="eastAsia" w:asciiTheme="minorEastAsia" w:hAnsiTheme="minorEastAsia" w:eastAsiaTheme="minorEastAsia" w:cstheme="minorEastAsia"/>
          <w:color w:val="auto"/>
          <w:spacing w:val="8"/>
          <w:kern w:val="0"/>
          <w:szCs w:val="21"/>
          <w:highlight w:val="none"/>
        </w:rPr>
        <w:t>南京市鼓楼区清江南路18号鼓楼创新广场D栋9楼902室</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联系方式：褚燕琳 黄旭 025-86636850、18851991012  </w:t>
      </w:r>
    </w:p>
    <w:p>
      <w:pPr>
        <w:widowControl/>
        <w:shd w:val="clear" w:color="auto" w:fill="FFFFFF" w:themeFill="background1"/>
        <w:spacing w:line="360" w:lineRule="auto"/>
        <w:ind w:firstLine="452" w:firstLineChars="200"/>
        <w:rPr>
          <w:rFonts w:asciiTheme="minorEastAsia" w:hAnsiTheme="minorEastAsia" w:eastAsiaTheme="minorEastAsia" w:cstheme="minorEastAsia"/>
          <w:color w:val="auto"/>
          <w:spacing w:val="8"/>
          <w:kern w:val="0"/>
          <w:szCs w:val="21"/>
          <w:highlight w:val="none"/>
        </w:rPr>
      </w:pPr>
      <w:r>
        <w:rPr>
          <w:rFonts w:hint="eastAsia" w:asciiTheme="minorEastAsia" w:hAnsiTheme="minorEastAsia" w:eastAsiaTheme="minorEastAsia" w:cstheme="minorEastAsia"/>
          <w:color w:val="auto"/>
          <w:spacing w:val="8"/>
          <w:kern w:val="0"/>
          <w:szCs w:val="21"/>
          <w:highlight w:val="none"/>
        </w:rPr>
        <w:t>7.3项目联系方式</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项目联系人：褚燕琳 黄旭 </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电　话：025-86636850、18851991012</w:t>
      </w:r>
      <w:bookmarkStart w:id="2" w:name="_Toc43902849"/>
      <w:r>
        <w:rPr>
          <w:rFonts w:hint="eastAsia" w:asciiTheme="minorEastAsia" w:hAnsiTheme="minorEastAsia" w:eastAsiaTheme="minorEastAsia" w:cstheme="minorEastAsia"/>
          <w:color w:val="auto"/>
          <w:highlight w:val="none"/>
        </w:rPr>
        <w:br w:type="page"/>
      </w:r>
    </w:p>
    <w:p>
      <w:pPr>
        <w:pStyle w:val="3"/>
        <w:numPr>
          <w:ilvl w:val="0"/>
          <w:numId w:val="0"/>
        </w:numPr>
        <w:spacing w:before="0" w:after="0"/>
        <w:ind w:firstLine="643"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第二章</w:t>
      </w:r>
      <w:bookmarkStart w:id="3" w:name="_Toc452625218"/>
      <w:r>
        <w:rPr>
          <w:rFonts w:hint="eastAsia" w:asciiTheme="minorEastAsia" w:hAnsiTheme="minorEastAsia" w:eastAsiaTheme="minorEastAsia" w:cstheme="minorEastAsia"/>
          <w:color w:val="auto"/>
          <w:highlight w:val="none"/>
        </w:rPr>
        <w:t xml:space="preserve"> 投标人须知</w:t>
      </w:r>
      <w:bookmarkEnd w:id="2"/>
      <w:bookmarkEnd w:id="3"/>
    </w:p>
    <w:p>
      <w:pPr>
        <w:widowControl/>
        <w:shd w:val="clear" w:color="auto" w:fill="FFFFFF"/>
        <w:spacing w:line="360" w:lineRule="auto"/>
        <w:ind w:firstLine="424" w:firstLineChars="201"/>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一、总 则</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1、适用法律</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2、定义</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2.1“招标人（采购人）”是指依法进行政府采购的国家机关、事业单位、团体组织。</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2.2“投标人（供应商）”是指参加投标竞争，并符合招标文件规定资格条件的法人、其他组织或者自然人。</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2.3“招标代理机构（采购代理机构）”是指集中采购机构和集中采购机构以外的采购代理机构，集中采购机构以外的招标（采购）代理机构，是从事招标（采购）代理业务的社会中介机构。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2.4“货物和服务”指本招标文件中所述</w:t>
      </w:r>
      <w:r>
        <w:rPr>
          <w:rFonts w:hint="eastAsia" w:asciiTheme="minorEastAsia" w:hAnsiTheme="minorEastAsia" w:eastAsiaTheme="minorEastAsia" w:cstheme="minorEastAsia"/>
          <w:bCs/>
          <w:color w:val="auto"/>
          <w:kern w:val="0"/>
          <w:szCs w:val="21"/>
          <w:highlight w:val="none"/>
        </w:rPr>
        <w:t>产品</w:t>
      </w:r>
      <w:r>
        <w:rPr>
          <w:rFonts w:hint="eastAsia" w:asciiTheme="minorEastAsia" w:hAnsiTheme="minorEastAsia" w:eastAsiaTheme="minorEastAsia" w:cstheme="minorEastAsia"/>
          <w:color w:val="auto"/>
          <w:kern w:val="0"/>
          <w:szCs w:val="21"/>
          <w:highlight w:val="none"/>
        </w:rPr>
        <w:t>及相关服务。</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2.5“用户或使用单位”是指使用货物，接受服务的单位。</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3、政策功能</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宋体" w:hAnsi="宋体" w:cs="宋体"/>
          <w:color w:val="auto"/>
          <w:szCs w:val="21"/>
          <w:highlight w:val="none"/>
        </w:rPr>
        <w:t>3.1</w:t>
      </w:r>
      <w:r>
        <w:rPr>
          <w:rFonts w:ascii="宋体" w:hAnsi="宋体" w:cs="宋体"/>
          <w:color w:val="auto"/>
          <w:szCs w:val="21"/>
          <w:highlight w:val="none"/>
        </w:rPr>
        <w:t>政府采购促进中小企业发展，在政府采购活动中，</w:t>
      </w:r>
      <w:r>
        <w:rPr>
          <w:rFonts w:ascii="宋体" w:hAnsi="宋体" w:cs="宋体"/>
          <w:b/>
          <w:bCs/>
          <w:color w:val="auto"/>
          <w:szCs w:val="21"/>
          <w:highlight w:val="none"/>
        </w:rPr>
        <w:t>供应商提供的货物、工程或者服务符合《政府采购促进中小企业发展</w:t>
      </w:r>
      <w:r>
        <w:rPr>
          <w:rFonts w:hint="eastAsia" w:ascii="宋体" w:hAnsi="宋体" w:cs="宋体"/>
          <w:b/>
          <w:bCs/>
          <w:color w:val="auto"/>
          <w:szCs w:val="21"/>
          <w:highlight w:val="none"/>
        </w:rPr>
        <w:t>管理</w:t>
      </w:r>
      <w:r>
        <w:rPr>
          <w:rFonts w:ascii="宋体" w:hAnsi="宋体" w:cs="宋体"/>
          <w:b/>
          <w:bCs/>
          <w:color w:val="auto"/>
          <w:szCs w:val="21"/>
          <w:highlight w:val="none"/>
        </w:rPr>
        <w:t>办法》（财库〔20</w:t>
      </w:r>
      <w:r>
        <w:rPr>
          <w:rFonts w:hint="eastAsia" w:ascii="宋体" w:hAnsi="宋体" w:cs="宋体"/>
          <w:b/>
          <w:bCs/>
          <w:color w:val="auto"/>
          <w:szCs w:val="21"/>
          <w:highlight w:val="none"/>
        </w:rPr>
        <w:t>20</w:t>
      </w:r>
      <w:r>
        <w:rPr>
          <w:rFonts w:ascii="宋体" w:hAnsi="宋体" w:cs="宋体"/>
          <w:b/>
          <w:bCs/>
          <w:color w:val="auto"/>
          <w:szCs w:val="21"/>
          <w:highlight w:val="none"/>
        </w:rPr>
        <w:t>〕</w:t>
      </w:r>
      <w:r>
        <w:rPr>
          <w:rFonts w:hint="eastAsia" w:ascii="宋体" w:hAnsi="宋体" w:cs="宋体"/>
          <w:b/>
          <w:bCs/>
          <w:color w:val="auto"/>
          <w:szCs w:val="21"/>
          <w:highlight w:val="none"/>
        </w:rPr>
        <w:t>46</w:t>
      </w:r>
      <w:r>
        <w:rPr>
          <w:rFonts w:ascii="宋体" w:hAnsi="宋体" w:cs="宋体"/>
          <w:b/>
          <w:bCs/>
          <w:color w:val="auto"/>
          <w:szCs w:val="21"/>
          <w:highlight w:val="none"/>
        </w:rPr>
        <w:t>号）</w:t>
      </w:r>
      <w:r>
        <w:rPr>
          <w:rFonts w:ascii="宋体" w:hAnsi="宋体" w:cs="宋体"/>
          <w:color w:val="auto"/>
          <w:szCs w:val="21"/>
          <w:highlight w:val="none"/>
        </w:rPr>
        <w:t>的</w:t>
      </w:r>
      <w:r>
        <w:rPr>
          <w:rFonts w:hint="eastAsia" w:ascii="宋体" w:hAnsi="宋体" w:cs="宋体"/>
          <w:color w:val="auto"/>
          <w:szCs w:val="21"/>
          <w:highlight w:val="none"/>
        </w:rPr>
        <w:t>规定的</w:t>
      </w:r>
      <w:r>
        <w:rPr>
          <w:rFonts w:ascii="宋体" w:hAnsi="宋体" w:cs="宋体"/>
          <w:color w:val="auto"/>
          <w:szCs w:val="21"/>
          <w:highlight w:val="none"/>
        </w:rPr>
        <w:t>，享受中小企业扶持政策</w:t>
      </w:r>
      <w:r>
        <w:rPr>
          <w:rFonts w:hint="eastAsia" w:ascii="宋体" w:hAnsi="宋体" w:cs="宋体"/>
          <w:color w:val="auto"/>
          <w:szCs w:val="21"/>
          <w:highlight w:val="none"/>
        </w:rPr>
        <w:t>。</w:t>
      </w:r>
      <w:r>
        <w:rPr>
          <w:rFonts w:ascii="宋体" w:hAnsi="宋体" w:cs="宋体"/>
          <w:color w:val="auto"/>
          <w:szCs w:val="21"/>
          <w:highlight w:val="none"/>
        </w:rPr>
        <w:t>中小企业参加政府采购活动，应当出具《中小企业声明函》（格式见附件），否则不得享受相关中小企业扶持政策</w:t>
      </w:r>
      <w:r>
        <w:rPr>
          <w:rFonts w:hint="eastAsia" w:ascii="宋体" w:hAnsi="宋体" w:cs="宋体"/>
          <w:color w:val="auto"/>
          <w:szCs w:val="21"/>
          <w:highlight w:val="none"/>
        </w:rPr>
        <w:t>。（“中小企业划型标准”详见《关于印发中小企业划型标准规定的通知》工信部联企业〔2011〕300号及《国家统计局关于印发&lt;统计上大中小微型企业划分办法（</w:t>
      </w:r>
      <w:r>
        <w:rPr>
          <w:rFonts w:ascii="宋体" w:hAnsi="宋体" w:cs="宋体"/>
          <w:color w:val="auto"/>
          <w:szCs w:val="21"/>
          <w:highlight w:val="none"/>
        </w:rPr>
        <w:t>2017</w:t>
      </w:r>
      <w:r>
        <w:rPr>
          <w:rFonts w:hint="eastAsia" w:ascii="宋体" w:hAnsi="宋体" w:cs="宋体"/>
          <w:color w:val="auto"/>
          <w:szCs w:val="21"/>
          <w:highlight w:val="none"/>
        </w:rPr>
        <w:t>）&gt;的通知》国统字〔2017〕213号）</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3.2政府采购支持监狱和戒毒企业发展政策，监狱和戒毒企业提供的产品和服务在评标时将获得优势，参加投标的监狱和戒毒企业，应当提供由省级以上监狱管理局、戒毒管理局（含新疆生产建设兵团）出具的属于监狱企业的证明文件，监狱和戒毒企业享受政府采购支持政策的要求详见《关于政府采购支持监狱企业发展有关问题的通知》（财库〔2014〕68号）。</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3.3政府采购促进残疾人就业政策，残疾人福利性单位提供的产品和服务在评标时将获得优势，参加投标的残疾人福利性单位，应当提供《残疾人福利性单位声明函》，残疾人福利性单位享受政府采购支持政策的要求详见《关于促进残疾人就业政府采购政策的通知》（财库〔2017〕141号）。</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3.4 政府采购节能产品、环境标志产品实施品目清单管理。拟采购产品属于节能产品品目清单规定必须强制采购的，实行强制采购。拟采购产品属于节能产品、环境标志产品品目清单规定优先采购的，在性能、技术、服务等指标同等条件下，实行优先采购，优先采购的评审标准详见本招标文件第三章。参加政府采购活动的节能产品、环境标志产品投标人应当提供国家确定的认证机构出具的、处于有效期之内的节能产品、环境标志产品认证证书。</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3.5 强制采购信息安全产品。参加政府采购活动的信息安全产品投标人应当选择经国家认证的信息安全产品投标，并提供由国家信息安全认证中心按国家标准认证颁发的有效认证证书。</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3.6进口产品政策</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（1）除招标公告载明接受进口产品参加外，不允许进口产品参加。进口产品认定依照《财政部关于政府采购进口产品管理有关问题的通知》（财办库〔2008〕248号）的规定。</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（2）允许进口产品参加的，满足需求的国内产品可以参加。</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（3）允许进口产品参加的，优先采购向我国企业转让技术、与我国企业签订消化吸收再创新方案的投标人的进口产品。</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3.7未按要求提供相关材料的，不享受相关政策。</w:t>
      </w:r>
    </w:p>
    <w:p>
      <w:pPr>
        <w:widowControl/>
        <w:shd w:val="clear" w:color="auto" w:fill="FFFFFF"/>
        <w:spacing w:line="360" w:lineRule="auto"/>
        <w:ind w:firstLine="412"/>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二、招标文件构成</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4、招标文件组成</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4.1招标文件包括以下主要内容：招标公告；投标人须知；投标人应当提交的资格、资信证明文件；为落实政府采购政策，采购标的需满足的要求，以及投标人须提供的证明材料；投标文件编制要求、投标报价要求和投标保证金交纳、退还方式以及不予退还投标保证金的情形；招标项目预算金额，设定最高限价的，还应当公开最高限价；招标项目的技术规格、数量、服务标准、验收等要求，包括附件、图纸等；拟签订的合同文本；货物、服务提供的时间、地点、方式；采购资金的支付方式、时间、条件；评标方法、评标标准和投标无效情形；投标有效期；投标截止时间、开标时间及地点；招标代理机构代理费用的收取标准和方式；投标人信用信息查询渠道及截止时点、信用信息查询记录和证据留存的具体方式、信用信息的使用规则等；省级以上财政部门规定的其他事项。</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4.2 招标的最小单位是包。招标货物数量及技术要求中未分包的，投标人对要求提供的货物和服务不得部分投标；招标货物数量及技术要求中已经分包的，可以以包为单位投标。</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4.3 招标代理机构如果要求投标人按照招标文件规定提交备选投标方案的，投标人可以提交备选方案；否则，备选方案将被拒绝。</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4.4招标文件中要求的产品品牌或型号，是招标人根据项目所要实现的功能推荐的品牌或型号，仅供投标人参考，并不是限制条件。</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5、招标文件的澄清或者修改</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5.1招标人或者招标代理机构可以对已发出的招标文件进行必要的澄清或者修改，但不得改变采购标的和资格条件。澄清或者修改应当在原公告发布媒体上发布澄清公告。澄清或者修改的内容为招标文件的组成部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澄清或者修改的内容可能影响投标文件编制的，招标人或者招标代理机构应当在投标截止时间至少15日前，以书面形式通知所有获取招标文件的潜在投标人；不足15日的，招标人或者招标代理机构应当顺延提交投标文件的截止时间。</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三、投标文件的编制</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6、投标文件的语言、计量单位、货币和编制</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6.1投标人提交的投标文件、技术文件和资料，包括图纸中的说明，以及投标人与招标代理机构就有关投标的所有来往函电均应使用中文。投标文件中若有英文或其他语言文字的资料，应提供相应的中文翻译资料。对不同文本投标文件的解释发生异议的，以中文文本为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6.2投标人所使用的计量单位应为国家法定计量单位。</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6.3投标人应用人民币报价。投标产品如果是进口产品的，应提供人民币与</w:t>
      </w:r>
      <w:r>
        <w:rPr>
          <w:rFonts w:hint="eastAsia" w:asciiTheme="minorEastAsia" w:hAnsiTheme="minorEastAsia" w:eastAsiaTheme="minorEastAsia" w:cstheme="minorEastAsia"/>
          <w:b/>
          <w:bCs/>
          <w:color w:val="auto"/>
          <w:kern w:val="0"/>
          <w:szCs w:val="21"/>
          <w:highlight w:val="none"/>
        </w:rPr>
        <w:t>外币之间的汇率；报价单位为“美元”。</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6.4投标文件应按照招标文件规定的顺序，统一用A4规格幅面打印、装订成册并编制目录，由于编排混乱导致投标文件被误读或查找不到，责任由投标人承担。</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6.5投标人应在投标文件中写清相应的项目编号、项目名称、投标人全称、地址、电话、传真等。</w:t>
      </w:r>
    </w:p>
    <w:p>
      <w:pPr>
        <w:widowControl/>
        <w:shd w:val="clear" w:color="auto" w:fill="FFFFFF"/>
        <w:spacing w:line="360" w:lineRule="auto"/>
        <w:ind w:firstLine="412"/>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6.6</w:t>
      </w:r>
      <w:r>
        <w:rPr>
          <w:rFonts w:hint="eastAsia" w:asciiTheme="minorEastAsia" w:hAnsiTheme="minorEastAsia" w:eastAsiaTheme="minorEastAsia" w:cstheme="minorEastAsia"/>
          <w:color w:val="auto"/>
          <w:kern w:val="0"/>
          <w:szCs w:val="21"/>
          <w:highlight w:val="none"/>
        </w:rPr>
        <w:t>投标人根据招标文件载明的标的采购项目实际情况，拟在中标后将中标项目的非主体、非关键性工作交由他人完成的，应当在投标文件中载明。</w:t>
      </w:r>
    </w:p>
    <w:p>
      <w:pPr>
        <w:widowControl/>
        <w:shd w:val="clear" w:color="auto" w:fill="FFFFFF"/>
        <w:spacing w:line="360" w:lineRule="auto"/>
        <w:ind w:firstLine="42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7、联合体投标</w:t>
      </w:r>
    </w:p>
    <w:p>
      <w:pPr>
        <w:widowControl/>
        <w:shd w:val="clear" w:color="auto" w:fill="FFFFFF"/>
        <w:spacing w:line="360" w:lineRule="auto"/>
        <w:ind w:firstLine="42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7.1 两个以上的自然人、法人或者其他组织可以组成一个联合体，以一个投标人的身份共同参加政府采购。</w:t>
      </w:r>
    </w:p>
    <w:p>
      <w:pPr>
        <w:widowControl/>
        <w:shd w:val="clear" w:color="auto" w:fill="FFFFFF"/>
        <w:spacing w:line="360" w:lineRule="auto"/>
        <w:ind w:firstLine="42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7.2 联合体中有同类资质的投标人按照联合体分工承担相同工作的，按照资质等级较低的投标人确定资质等级。</w:t>
      </w:r>
    </w:p>
    <w:p>
      <w:pPr>
        <w:widowControl/>
        <w:shd w:val="clear" w:color="auto" w:fill="FFFFFF"/>
        <w:spacing w:line="360" w:lineRule="auto"/>
        <w:ind w:firstLine="42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7.3 联合体各方之间应当签订联合体协议，明确约定联合体各方承担的工作和相应的责任，并将联合体协议连同投标文件一同提交。</w:t>
      </w:r>
    </w:p>
    <w:p>
      <w:pPr>
        <w:widowControl/>
        <w:shd w:val="clear" w:color="auto" w:fill="FFFFFF"/>
        <w:spacing w:line="360" w:lineRule="auto"/>
        <w:ind w:firstLine="412"/>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7.4 以联合体形式参加政府采购活动的，联合体各方不得再单独参加或者与其他投标人另外组成联合体参加同一合同项下的政府采购活动。</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8、投标文件的组成</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8.1投标人应当根据招标文件要求编制投标文件，投标文件应对招标文件提出的要求和条件作出实质性响应，并在《商务条款偏离表》和《技术规格偏离表》等处逐条标明满足与否。</w:t>
      </w:r>
      <w:r>
        <w:rPr>
          <w:rFonts w:hint="eastAsia" w:asciiTheme="minorEastAsia" w:hAnsiTheme="minorEastAsia" w:eastAsiaTheme="minorEastAsia" w:cstheme="minorEastAsia"/>
          <w:b/>
          <w:color w:val="auto"/>
          <w:kern w:val="0"/>
          <w:szCs w:val="21"/>
          <w:highlight w:val="none"/>
        </w:rPr>
        <w:t>对带</w:t>
      </w:r>
      <w:r>
        <w:rPr>
          <w:rFonts w:hint="eastAsia" w:asciiTheme="minorEastAsia" w:hAnsiTheme="minorEastAsia" w:eastAsiaTheme="minorEastAsia" w:cstheme="minorEastAsia"/>
          <w:b/>
          <w:bCs/>
          <w:color w:val="auto"/>
          <w:kern w:val="0"/>
          <w:szCs w:val="21"/>
          <w:highlight w:val="none"/>
        </w:rPr>
        <w:t>星号（“</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kern w:val="0"/>
          <w:szCs w:val="21"/>
          <w:highlight w:val="none"/>
        </w:rPr>
        <w:t>”）的技术条款必须在投标文件中提供技术支持资料（如白皮书、彩页、手册、检测报告等），未提供技术支持资料的，视为未对招标文件实质性要求作出响应，评审时不予认可。</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8.2 投标文件由商务部分、技术部分、价格部分以及其他部分组成。</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9、投标文件的商务部分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9.1商务部分是证明投标人有资格参加投标和中标后有能力履行合同的文件，这些文件应能满足招标的要求，包括但不限于下列文件（</w:t>
      </w:r>
      <w:r>
        <w:rPr>
          <w:rFonts w:hint="eastAsia" w:asciiTheme="minorEastAsia" w:hAnsiTheme="minorEastAsia" w:eastAsiaTheme="minorEastAsia" w:cstheme="minorEastAsia"/>
          <w:b/>
          <w:color w:val="auto"/>
          <w:kern w:val="0"/>
          <w:szCs w:val="21"/>
          <w:highlight w:val="none"/>
        </w:rPr>
        <w:t>（1）-（6）所述材料不得有缺失或提供不全或不满足招标文件的实质性要求</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（1）投标函（投标申请及声明）</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bCs/>
          <w:color w:val="auto"/>
          <w:szCs w:val="21"/>
          <w:highlight w:val="none"/>
        </w:rPr>
        <w:t>格式见附件</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360" w:lineRule="auto"/>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（2）法定代表人授权委托书及委托代理人的身份证明文件的复印件</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bCs/>
          <w:color w:val="auto"/>
          <w:szCs w:val="21"/>
          <w:highlight w:val="none"/>
        </w:rPr>
        <w:t>格式见附件</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（3）投标人资格资信证明文件：</w:t>
      </w:r>
    </w:p>
    <w:p>
      <w:pPr>
        <w:pStyle w:val="140"/>
        <w:numPr>
          <w:ilvl w:val="1"/>
          <w:numId w:val="3"/>
        </w:numPr>
        <w:tabs>
          <w:tab w:val="left" w:pos="840"/>
          <w:tab w:val="clear" w:pos="990"/>
        </w:tabs>
        <w:spacing w:line="360" w:lineRule="auto"/>
        <w:ind w:left="0" w:firstLine="367" w:firstLineChars="175"/>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第一章招标公告中 2.1《中华人民共和国政府采购法》规定的资格条件证明文件；</w:t>
      </w:r>
    </w:p>
    <w:p>
      <w:pPr>
        <w:pStyle w:val="140"/>
        <w:numPr>
          <w:ilvl w:val="1"/>
          <w:numId w:val="3"/>
        </w:numPr>
        <w:tabs>
          <w:tab w:val="left" w:pos="840"/>
          <w:tab w:val="clear" w:pos="990"/>
        </w:tabs>
        <w:spacing w:line="360" w:lineRule="auto"/>
        <w:ind w:left="0" w:firstLine="367" w:firstLineChars="175"/>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第一章招标公告中 2.2</w:t>
      </w:r>
      <w:r>
        <w:rPr>
          <w:rFonts w:hint="eastAsia" w:asciiTheme="minorEastAsia" w:hAnsiTheme="minorEastAsia" w:eastAsiaTheme="minorEastAsia" w:cstheme="minorEastAsia"/>
          <w:color w:val="auto"/>
          <w:spacing w:val="8"/>
          <w:kern w:val="0"/>
          <w:szCs w:val="21"/>
          <w:highlight w:val="none"/>
        </w:rPr>
        <w:t>落实政府采购政策需满足的资格要求；</w:t>
      </w:r>
    </w:p>
    <w:p>
      <w:pPr>
        <w:pStyle w:val="140"/>
        <w:numPr>
          <w:ilvl w:val="1"/>
          <w:numId w:val="3"/>
        </w:numPr>
        <w:tabs>
          <w:tab w:val="left" w:pos="840"/>
          <w:tab w:val="clear" w:pos="990"/>
        </w:tabs>
        <w:spacing w:line="360" w:lineRule="auto"/>
        <w:ind w:left="0" w:firstLine="367" w:firstLineChars="175"/>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第一章招标公告中 2.3 采购人根据采购项目的特殊要求规定的特定条件证明文件。</w:t>
      </w:r>
    </w:p>
    <w:p>
      <w:pPr>
        <w:widowControl/>
        <w:shd w:val="clear" w:color="auto" w:fill="FFFFFF"/>
        <w:spacing w:line="360" w:lineRule="auto"/>
        <w:ind w:firstLine="420" w:firstLineChars="2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（4）开标一览表</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bCs/>
          <w:color w:val="auto"/>
          <w:szCs w:val="21"/>
          <w:highlight w:val="none"/>
        </w:rPr>
        <w:t>格式见附件</w:t>
      </w:r>
      <w:r>
        <w:rPr>
          <w:rFonts w:hint="eastAsia" w:asciiTheme="minorEastAsia" w:hAnsiTheme="minorEastAsia" w:eastAsiaTheme="minorEastAsia" w:cstheme="minorEastAsia"/>
          <w:bCs/>
          <w:color w:val="auto"/>
          <w:szCs w:val="21"/>
          <w:highlight w:val="none"/>
        </w:rPr>
        <w:t>）；</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（5）投标人缴纳投标保证金凭证（如需要）；</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（6）《商务条款偏离表》；</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（7）分项报价表</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b/>
          <w:bCs/>
          <w:color w:val="auto"/>
          <w:szCs w:val="21"/>
          <w:highlight w:val="none"/>
        </w:rPr>
        <w:t>格式见附件</w:t>
      </w:r>
      <w:r>
        <w:rPr>
          <w:rFonts w:hint="eastAsia" w:asciiTheme="minorEastAsia" w:hAnsiTheme="minorEastAsia" w:eastAsiaTheme="minorEastAsia" w:cstheme="minorEastAsia"/>
          <w:bCs/>
          <w:color w:val="auto"/>
          <w:szCs w:val="21"/>
          <w:highlight w:val="none"/>
        </w:rPr>
        <w:t>）</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（8）第三章评标标准中对应的其它所需证明材料（如有自行添加）；</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（9）要求采购人提供的配合（如有自拟并自行添加）；</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（10）其它（投标人认为有必要提供的声明和文件，如有，自行拟定并添加）。</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10、投标文件的技术部分</w:t>
      </w:r>
    </w:p>
    <w:p>
      <w:pPr>
        <w:widowControl/>
        <w:adjustRightInd w:val="0"/>
        <w:spacing w:line="360" w:lineRule="auto"/>
        <w:ind w:firstLine="420"/>
        <w:jc w:val="left"/>
        <w:rPr>
          <w:rFonts w:asciiTheme="minorEastAsia" w:hAnsiTheme="minorEastAsia" w:eastAsiaTheme="minorEastAsia" w:cstheme="minorEastAsia"/>
          <w:color w:val="auto"/>
          <w:szCs w:val="21"/>
          <w:highlight w:val="none"/>
          <w:lang w:val="zh-CN"/>
        </w:rPr>
      </w:pPr>
      <w:r>
        <w:rPr>
          <w:rFonts w:hint="eastAsia" w:asciiTheme="minorEastAsia" w:hAnsiTheme="minorEastAsia" w:eastAsiaTheme="minorEastAsia" w:cstheme="minorEastAsia"/>
          <w:color w:val="auto"/>
          <w:szCs w:val="21"/>
          <w:highlight w:val="none"/>
          <w:lang w:val="zh-CN"/>
        </w:rPr>
        <w:t>技术部分是证明</w:t>
      </w:r>
      <w:r>
        <w:rPr>
          <w:rFonts w:hint="eastAsia" w:asciiTheme="minorEastAsia" w:hAnsiTheme="minorEastAsia" w:eastAsiaTheme="minorEastAsia" w:cstheme="minorEastAsia"/>
          <w:color w:val="auto"/>
          <w:szCs w:val="21"/>
          <w:highlight w:val="none"/>
        </w:rPr>
        <w:t>投标人提供的货物和服务是合格的、并符合招标文件要求的证明文件，以及</w:t>
      </w:r>
      <w:r>
        <w:rPr>
          <w:rFonts w:hint="eastAsia" w:asciiTheme="minorEastAsia" w:hAnsiTheme="minorEastAsia" w:eastAsiaTheme="minorEastAsia" w:cstheme="minorEastAsia"/>
          <w:color w:val="auto"/>
          <w:szCs w:val="21"/>
          <w:highlight w:val="none"/>
          <w:lang w:val="zh-CN"/>
        </w:rPr>
        <w:t>对货物和服务的详细说明，这些文件可以是文字资料、图纸和数据等。提供的货物和服务如与招标文件要求有不符之处，应说明其差别之所在。包括但不限于下列文件：</w:t>
      </w:r>
    </w:p>
    <w:p>
      <w:pPr>
        <w:widowControl/>
        <w:adjustRightInd w:val="0"/>
        <w:spacing w:line="360" w:lineRule="auto"/>
        <w:ind w:firstLine="420"/>
        <w:jc w:val="left"/>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（1）技术说明或服务方案；</w:t>
      </w:r>
    </w:p>
    <w:p>
      <w:pPr>
        <w:widowControl/>
        <w:adjustRightInd w:val="0"/>
        <w:spacing w:line="360" w:lineRule="auto"/>
        <w:ind w:firstLine="420"/>
        <w:jc w:val="left"/>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（2）《技术条款偏离表》；</w:t>
      </w:r>
    </w:p>
    <w:p>
      <w:pPr>
        <w:widowControl/>
        <w:adjustRightInd w:val="0"/>
        <w:spacing w:line="360" w:lineRule="auto"/>
        <w:ind w:firstLine="420"/>
        <w:jc w:val="left"/>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（3）服务承诺；</w:t>
      </w:r>
    </w:p>
    <w:p>
      <w:pPr>
        <w:widowControl/>
        <w:adjustRightInd w:val="0"/>
        <w:spacing w:line="360" w:lineRule="auto"/>
        <w:ind w:firstLine="420"/>
        <w:jc w:val="left"/>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（4）投标人拟投入本项目的设备、人员情况一览表；</w:t>
      </w:r>
    </w:p>
    <w:p>
      <w:pPr>
        <w:widowControl/>
        <w:adjustRightInd w:val="0"/>
        <w:spacing w:line="360" w:lineRule="auto"/>
        <w:ind w:firstLine="420"/>
        <w:jc w:val="left"/>
        <w:rPr>
          <w:rFonts w:asciiTheme="minorEastAsia" w:hAnsiTheme="minorEastAsia" w:eastAsiaTheme="minorEastAsia" w:cstheme="minorEastAsia"/>
          <w:color w:val="auto"/>
          <w:kern w:val="0"/>
          <w:szCs w:val="21"/>
          <w:highlight w:val="none"/>
          <w:lang w:val="zh-CN"/>
        </w:rPr>
      </w:pPr>
      <w:r>
        <w:rPr>
          <w:rFonts w:hint="eastAsia" w:asciiTheme="minorEastAsia" w:hAnsiTheme="minorEastAsia" w:eastAsiaTheme="minorEastAsia" w:cstheme="minorEastAsia"/>
          <w:color w:val="auto"/>
          <w:kern w:val="0"/>
          <w:szCs w:val="21"/>
          <w:highlight w:val="none"/>
          <w:lang w:val="zh-CN"/>
        </w:rPr>
        <w:t>（5）投标人认为需要提供的其他技术资料。</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11、投标文件的价格部分</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11.1价格部分是对采购标的价格构成的说明，招标文件如无特别说明，每一项货物及服务仅接受一个价格。</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11.2报价应包含本次招标标的有关的所有费用</w:t>
      </w:r>
      <w:r>
        <w:rPr>
          <w:rFonts w:hint="eastAsia" w:asciiTheme="minorEastAsia" w:hAnsiTheme="minorEastAsia" w:eastAsiaTheme="minorEastAsia" w:cstheme="minorEastAsia"/>
          <w:color w:val="auto"/>
          <w:kern w:val="0"/>
          <w:szCs w:val="21"/>
          <w:highlight w:val="none"/>
          <w:lang w:val="zh-CN"/>
        </w:rPr>
        <w:t>，以及技术资料、支付给员工的工资和国家强制缴纳的各种社会保障资金</w:t>
      </w:r>
      <w:r>
        <w:rPr>
          <w:rFonts w:hint="eastAsia" w:asciiTheme="minorEastAsia" w:hAnsiTheme="minorEastAsia" w:eastAsiaTheme="minorEastAsia" w:cstheme="minorEastAsia"/>
          <w:bCs/>
          <w:color w:val="auto"/>
          <w:szCs w:val="21"/>
          <w:highlight w:val="none"/>
        </w:rPr>
        <w:t>，以</w:t>
      </w:r>
      <w:r>
        <w:rPr>
          <w:rFonts w:hint="eastAsia" w:asciiTheme="minorEastAsia" w:hAnsiTheme="minorEastAsia" w:eastAsiaTheme="minorEastAsia" w:cstheme="minorEastAsia"/>
          <w:color w:val="auto"/>
          <w:szCs w:val="21"/>
          <w:highlight w:val="none"/>
        </w:rPr>
        <w:t>及投标人认为需要的其他费用等</w:t>
      </w:r>
      <w:r>
        <w:rPr>
          <w:rFonts w:hint="eastAsia" w:asciiTheme="minorEastAsia" w:hAnsiTheme="minorEastAsia" w:eastAsiaTheme="minorEastAsia" w:cstheme="minorEastAsia"/>
          <w:b/>
          <w:color w:val="auto"/>
          <w:szCs w:val="21"/>
          <w:highlight w:val="none"/>
        </w:rPr>
        <w:t>。</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11.3投标人的任何错漏、优惠、竞争性报价不得作为减轻责任、减少服务、增加收费、降低质量的理由。</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11.4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评标委员会应当将其作为</w:t>
      </w:r>
      <w:r>
        <w:rPr>
          <w:rFonts w:hint="eastAsia" w:asciiTheme="minorEastAsia" w:hAnsiTheme="minorEastAsia" w:eastAsiaTheme="minorEastAsia" w:cstheme="minorEastAsia"/>
          <w:b/>
          <w:bCs/>
          <w:color w:val="auto"/>
          <w:kern w:val="0"/>
          <w:szCs w:val="21"/>
          <w:highlight w:val="none"/>
        </w:rPr>
        <w:t>无效投标处理</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11.5 </w:t>
      </w:r>
      <w:r>
        <w:rPr>
          <w:rFonts w:hint="eastAsia" w:ascii="宋体" w:hAnsi="宋体" w:cs="宋体"/>
          <w:color w:val="auto"/>
          <w:szCs w:val="21"/>
          <w:highlight w:val="none"/>
        </w:rPr>
        <w:t>投标人应在《开标一览表》、《分项报价》等标明投标货物和服务等的单价、总价以及分项报价。</w:t>
      </w:r>
      <w:r>
        <w:rPr>
          <w:rFonts w:hint="eastAsia" w:ascii="宋体" w:hAnsi="宋体" w:cs="宋体"/>
          <w:b/>
          <w:bCs/>
          <w:color w:val="auto"/>
          <w:szCs w:val="21"/>
          <w:highlight w:val="none"/>
        </w:rPr>
        <w:t>投标人符合本须知3.1条所述情形的</w:t>
      </w:r>
      <w:r>
        <w:rPr>
          <w:rFonts w:hint="eastAsia" w:ascii="宋体" w:hAnsi="宋体" w:cs="宋体"/>
          <w:color w:val="auto"/>
          <w:szCs w:val="21"/>
          <w:highlight w:val="none"/>
        </w:rPr>
        <w:t>，须在《开标一览表》、《分项报价》中注明。</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11.6 《开标一览表》一式两份，一份装订在投标文件中，一份单独封装，并标明“开标一览表”字样，随投标文件一并递交，以便唱标时使用。</w:t>
      </w:r>
    </w:p>
    <w:p>
      <w:pPr>
        <w:widowControl/>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11.7本项目预算为：详见第一章</w:t>
      </w:r>
      <w:r>
        <w:rPr>
          <w:rFonts w:hint="eastAsia" w:asciiTheme="minorEastAsia" w:hAnsiTheme="minorEastAsia" w:eastAsiaTheme="minorEastAsia" w:cstheme="minorEastAsia"/>
          <w:bCs/>
          <w:color w:val="auto"/>
          <w:kern w:val="0"/>
          <w:szCs w:val="21"/>
          <w:highlight w:val="none"/>
        </w:rPr>
        <w:t>。</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12、投标文件的其他部分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12.1 其他部分由投标人根据编制投标文件需要提供的其他相关文件组成。</w:t>
      </w:r>
    </w:p>
    <w:p>
      <w:pPr>
        <w:widowControl/>
        <w:shd w:val="clear" w:color="auto" w:fill="FFFFFF"/>
        <w:spacing w:line="360" w:lineRule="auto"/>
        <w:ind w:firstLine="42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13、投标保证金</w:t>
      </w:r>
    </w:p>
    <w:p>
      <w:pPr>
        <w:spacing w:line="360" w:lineRule="auto"/>
        <w:ind w:firstLine="426" w:firstLineChars="202"/>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13.1投标保证金的交纳办法：</w:t>
      </w:r>
    </w:p>
    <w:p>
      <w:pPr>
        <w:spacing w:line="360" w:lineRule="auto"/>
        <w:ind w:firstLine="426" w:firstLineChars="202"/>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1"/>
          <w:highlight w:val="none"/>
        </w:rPr>
        <w:t>作为投标文件的一部分，投标人应提供贰拾万元的投标保证金；投标保证金有效期应当与投标有效期一致。</w:t>
      </w:r>
      <w:r>
        <w:rPr>
          <w:rFonts w:hint="eastAsia" w:asciiTheme="minorEastAsia" w:hAnsiTheme="minorEastAsia" w:eastAsiaTheme="minorEastAsia" w:cstheme="minorEastAsia"/>
          <w:b/>
          <w:color w:val="auto"/>
          <w:highlight w:val="none"/>
        </w:rPr>
        <w:t>投标保证金必须从本单位法人账户缴纳（银行保函除外）。</w:t>
      </w:r>
    </w:p>
    <w:p>
      <w:pPr>
        <w:spacing w:line="360" w:lineRule="auto"/>
        <w:ind w:firstLine="426" w:firstLineChars="20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13.2投标保证金的递交形式：电汇、银行保函、本票、汇票等非现金形式。</w:t>
      </w:r>
    </w:p>
    <w:p>
      <w:pPr>
        <w:spacing w:line="360" w:lineRule="auto"/>
        <w:ind w:firstLine="426" w:firstLineChars="20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color w:val="auto"/>
          <w:szCs w:val="21"/>
          <w:highlight w:val="none"/>
        </w:rPr>
        <w:t>13.2.1投标保证金以电汇形式递交的：</w:t>
      </w:r>
    </w:p>
    <w:p>
      <w:pPr>
        <w:spacing w:line="360" w:lineRule="auto"/>
        <w:ind w:firstLine="424" w:firstLineChars="202"/>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投标保证金收款账户名称、收款开户行、收款账号：下载者下载招标文件后，进入中招联合招标采购平台“缴纳保证金”模块，填写相关信息后自动生成“投标保证金”账户信息，按此账户信息电汇投标保证金（该账号为虚拟账号，只针对本投标人本项目有效，对于其他投标人、其他项目均无效）。</w:t>
      </w:r>
    </w:p>
    <w:p>
      <w:pPr>
        <w:widowControl/>
        <w:shd w:val="clear" w:color="auto" w:fill="FFFFFF"/>
        <w:spacing w:line="360" w:lineRule="auto"/>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招标代理机构委托平台公司和平安银行股份有限公司北京分行办理投标保证金收、退、转及对账、结算等相关业务。</w:t>
      </w:r>
    </w:p>
    <w:p>
      <w:pPr>
        <w:widowControl/>
        <w:shd w:val="clear" w:color="auto" w:fill="FFFFFF"/>
        <w:spacing w:line="360" w:lineRule="auto"/>
        <w:ind w:firstLine="42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13.2.2投标保证金以银行保函、本票、汇票等形式递交的：</w:t>
      </w:r>
    </w:p>
    <w:p>
      <w:pPr>
        <w:widowControl/>
        <w:shd w:val="clear" w:color="auto" w:fill="FFFFFF"/>
        <w:spacing w:line="360" w:lineRule="auto"/>
        <w:ind w:firstLine="42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color w:val="auto"/>
          <w:szCs w:val="21"/>
          <w:highlight w:val="none"/>
        </w:rPr>
        <w:t>应将银行保函、本票、汇票等凭证正本单独封装，随投标文件纸质正本一同密封递交，同时将凭证复印件加盖投标人单位公章装订在投标文件纸质正、副本中。</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13.3 投标保证金应按照上述规定的数额和办法缴纳。</w:t>
      </w:r>
    </w:p>
    <w:p>
      <w:pPr>
        <w:spacing w:line="360" w:lineRule="auto"/>
        <w:ind w:firstLine="424" w:firstLineChars="202"/>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highlight w:val="none"/>
        </w:rPr>
        <w:t>13.4 联合体投标的，以牵头方名义提交投标保证金的，对联合体各方均具有约束力。</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13.5 招标人或者招标代理机构将自</w:t>
      </w:r>
      <w:r>
        <w:rPr>
          <w:color w:val="auto"/>
          <w:highlight w:val="none"/>
        </w:rPr>
        <w:fldChar w:fldCharType="begin"/>
      </w:r>
      <w:r>
        <w:rPr>
          <w:color w:val="auto"/>
          <w:highlight w:val="none"/>
        </w:rPr>
        <w:instrText xml:space="preserve"> HYPERLINK "http://lilun.caigou2003.com/recijiedu/2539156.html" \t "_blank" </w:instrText>
      </w:r>
      <w:r>
        <w:rPr>
          <w:color w:val="auto"/>
          <w:highlight w:val="none"/>
        </w:rPr>
        <w:fldChar w:fldCharType="separate"/>
      </w:r>
      <w:r>
        <w:rPr>
          <w:rFonts w:hint="eastAsia" w:asciiTheme="minorEastAsia" w:hAnsiTheme="minorEastAsia" w:eastAsiaTheme="minorEastAsia" w:cstheme="minorEastAsia"/>
          <w:color w:val="auto"/>
          <w:kern w:val="0"/>
          <w:szCs w:val="21"/>
          <w:highlight w:val="none"/>
        </w:rPr>
        <w:t>中标通知书</w:t>
      </w:r>
      <w:r>
        <w:rPr>
          <w:rFonts w:asciiTheme="minorEastAsia" w:hAnsiTheme="minorEastAsia" w:eastAsiaTheme="minorEastAsia" w:cstheme="minorEastAsia"/>
          <w:color w:val="auto"/>
          <w:kern w:val="0"/>
          <w:szCs w:val="21"/>
          <w:highlight w:val="none"/>
        </w:rPr>
        <w:fldChar w:fldCharType="end"/>
      </w:r>
      <w:r>
        <w:rPr>
          <w:rFonts w:hint="eastAsia" w:asciiTheme="minorEastAsia" w:hAnsiTheme="minorEastAsia" w:eastAsiaTheme="minorEastAsia" w:cstheme="minorEastAsia"/>
          <w:color w:val="auto"/>
          <w:kern w:val="0"/>
          <w:szCs w:val="21"/>
          <w:highlight w:val="none"/>
        </w:rPr>
        <w:t>发出之日起5个工作日内退还未中标人的投标保证金，自采购合同签订之日起5个工作日内退还中标人的投标保证金。未中标投标人应</w:t>
      </w:r>
      <w:r>
        <w:rPr>
          <w:rFonts w:hint="eastAsia" w:asciiTheme="minorEastAsia" w:hAnsiTheme="minorEastAsia" w:eastAsiaTheme="minorEastAsia" w:cstheme="minorEastAsia"/>
          <w:b/>
          <w:bCs/>
          <w:color w:val="auto"/>
          <w:kern w:val="0"/>
          <w:szCs w:val="21"/>
          <w:highlight w:val="none"/>
        </w:rPr>
        <w:t>主动与投标文件接收人联系办理投标保证金退还事宜，以及办理退还手续，</w:t>
      </w:r>
      <w:r>
        <w:rPr>
          <w:rFonts w:hint="eastAsia" w:asciiTheme="minorEastAsia" w:hAnsiTheme="minorEastAsia" w:eastAsiaTheme="minorEastAsia" w:cstheme="minorEastAsia"/>
          <w:color w:val="auto"/>
          <w:kern w:val="0"/>
          <w:szCs w:val="21"/>
          <w:highlight w:val="none"/>
        </w:rPr>
        <w:t>由于投标人自身原因未及时办理投标保证金退还的，其责任和由此造成的后果由投标人自行承担。</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13.6 发生下列情况之一的，投标保证金不予退还：</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（1）投标有效期内撤回其投标的；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（2）中标通知书发出后三十天内，中标人未与采购人签订合同的；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（3）提供虚假材料谋取中标的；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（4）经查实属于串通投标的等。</w:t>
      </w:r>
    </w:p>
    <w:p>
      <w:pPr>
        <w:widowControl/>
        <w:shd w:val="clear" w:color="auto" w:fill="FFFFFF"/>
        <w:spacing w:line="360" w:lineRule="auto"/>
        <w:ind w:firstLine="42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14、投标有效期</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14.1 自开标之日起</w:t>
      </w:r>
      <w:r>
        <w:rPr>
          <w:rFonts w:hint="eastAsia" w:asciiTheme="minorEastAsia" w:hAnsiTheme="minorEastAsia" w:eastAsiaTheme="minorEastAsia" w:cstheme="minorEastAsia"/>
          <w:b/>
          <w:color w:val="auto"/>
          <w:kern w:val="0"/>
          <w:szCs w:val="21"/>
          <w:highlight w:val="none"/>
        </w:rPr>
        <w:t>90</w:t>
      </w:r>
      <w:r>
        <w:rPr>
          <w:rFonts w:hint="eastAsia" w:asciiTheme="minorEastAsia" w:hAnsiTheme="minorEastAsia" w:eastAsiaTheme="minorEastAsia" w:cstheme="minorEastAsia"/>
          <w:color w:val="auto"/>
          <w:kern w:val="0"/>
          <w:szCs w:val="21"/>
          <w:highlight w:val="none"/>
        </w:rPr>
        <w:t>天内投标有效</w:t>
      </w:r>
      <w:r>
        <w:rPr>
          <w:rFonts w:hint="eastAsia" w:asciiTheme="minorEastAsia" w:hAnsiTheme="minorEastAsia" w:eastAsiaTheme="minorEastAsia" w:cstheme="minorEastAsia"/>
          <w:b/>
          <w:color w:val="auto"/>
          <w:highlight w:val="none"/>
        </w:rPr>
        <w:t>，投标有效期从提交投标文件的截止之日起算。投标文件中承诺的投标有效期应当不少于招标文件中载明的投标有效期。</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14.2 特殊情况下，在原投标有效期截止之前，招标代理机构可要求投标人同意延长投标有效期，这种要求与答复均应以书面形式提交。投标人可拒绝这种要求，并且不影响投标保证金的退还。接受延长投标有效期的投标人将不会要求和允许修正其投标，而只会被要求相应地延长其投标保证金的有效期。在这种情况下，有关投标保证金的退还规定在延长了的有效期内继续有效。</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15、投标文件签署</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15.1 投标文件的正本和副本均应由投标人法定代表人或经正式授权并对投标人有约束力的委托代理人签字，如果它们之间内容有差异，则以正本为准。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16、投标费用</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16.1 投标人应承担所有与准备和参加投标有关的费用，无论招标结果如何，招标代理机构和招标人在任何情况下均无义务和责任承担这些费用。</w:t>
      </w:r>
    </w:p>
    <w:p>
      <w:pPr>
        <w:widowControl/>
        <w:shd w:val="clear" w:color="auto" w:fill="FFFFFF"/>
        <w:spacing w:line="360" w:lineRule="auto"/>
        <w:ind w:firstLine="42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16.2 招标代理服务费：本次招标，中标人参照《招标代理服务费管理暂行办法》（国家发展计划委员会计价格【2002】1980号）代理</w:t>
      </w:r>
      <w:r>
        <w:rPr>
          <w:rFonts w:hint="eastAsia" w:asciiTheme="minorEastAsia" w:hAnsiTheme="minorEastAsia" w:eastAsiaTheme="minorEastAsia" w:cstheme="minorEastAsia"/>
          <w:b/>
          <w:color w:val="auto"/>
          <w:kern w:val="0"/>
          <w:szCs w:val="21"/>
          <w:highlight w:val="none"/>
          <w:u w:val="single"/>
        </w:rPr>
        <w:t>货物</w:t>
      </w:r>
      <w:r>
        <w:rPr>
          <w:rFonts w:hint="eastAsia" w:asciiTheme="minorEastAsia" w:hAnsiTheme="minorEastAsia" w:eastAsiaTheme="minorEastAsia" w:cstheme="minorEastAsia"/>
          <w:b/>
          <w:color w:val="auto"/>
          <w:kern w:val="0"/>
          <w:szCs w:val="21"/>
          <w:highlight w:val="none"/>
        </w:rPr>
        <w:t>招标收费基准费率</w:t>
      </w:r>
      <w:r>
        <w:rPr>
          <w:rFonts w:hint="eastAsia" w:asciiTheme="minorEastAsia" w:hAnsiTheme="minorEastAsia" w:eastAsiaTheme="minorEastAsia" w:cstheme="minorEastAsia"/>
          <w:b/>
          <w:color w:val="auto"/>
          <w:kern w:val="0"/>
          <w:szCs w:val="21"/>
          <w:highlight w:val="none"/>
          <w:u w:val="single"/>
        </w:rPr>
        <w:t>62.6</w:t>
      </w:r>
      <w:r>
        <w:rPr>
          <w:rFonts w:hint="eastAsia" w:asciiTheme="minorEastAsia" w:hAnsiTheme="minorEastAsia" w:eastAsiaTheme="minorEastAsia" w:cstheme="minorEastAsia"/>
          <w:b/>
          <w:color w:val="auto"/>
          <w:kern w:val="0"/>
          <w:szCs w:val="21"/>
          <w:highlight w:val="none"/>
        </w:rPr>
        <w:t>%计算，招标代理服务费最高限价5.68万元，在领取中标通知书前向招标代理机构支付招标服务费。本项费用无需在投标报价表中单列。</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16.3开标公证费</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中标人在领取中标通知书前,向南京市南京公证处支付开标公证费,开标公证费按下列标准支付：</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中标金额≤200万元人民币，开标公证费500元人民币；</w:t>
      </w:r>
      <w:r>
        <w:rPr>
          <w:rFonts w:hint="eastAsia" w:asciiTheme="minorEastAsia" w:hAnsiTheme="minorEastAsia" w:eastAsiaTheme="minorEastAsia" w:cstheme="minorEastAsia"/>
          <w:color w:val="auto"/>
          <w:kern w:val="0"/>
          <w:szCs w:val="21"/>
          <w:highlight w:val="none"/>
        </w:rPr>
        <w:br w:type="textWrapping"/>
      </w:r>
      <w:r>
        <w:rPr>
          <w:rFonts w:hint="eastAsia" w:asciiTheme="minorEastAsia" w:hAnsiTheme="minorEastAsia" w:eastAsiaTheme="minorEastAsia" w:cstheme="minorEastAsia"/>
          <w:color w:val="auto"/>
          <w:kern w:val="0"/>
          <w:szCs w:val="21"/>
          <w:highlight w:val="none"/>
        </w:rPr>
        <w:t xml:space="preserve">    200万元人民币＜中标金额≤600万元人民币，开标公证费600元人民币；</w:t>
      </w:r>
      <w:r>
        <w:rPr>
          <w:rFonts w:hint="eastAsia" w:asciiTheme="minorEastAsia" w:hAnsiTheme="minorEastAsia" w:eastAsiaTheme="minorEastAsia" w:cstheme="minorEastAsia"/>
          <w:color w:val="auto"/>
          <w:kern w:val="0"/>
          <w:szCs w:val="21"/>
          <w:highlight w:val="none"/>
        </w:rPr>
        <w:br w:type="textWrapping"/>
      </w:r>
      <w:r>
        <w:rPr>
          <w:rFonts w:hint="eastAsia" w:asciiTheme="minorEastAsia" w:hAnsiTheme="minorEastAsia" w:eastAsiaTheme="minorEastAsia" w:cstheme="minorEastAsia"/>
          <w:color w:val="auto"/>
          <w:kern w:val="0"/>
          <w:szCs w:val="21"/>
          <w:highlight w:val="none"/>
        </w:rPr>
        <w:t xml:space="preserve">    600万元人民币＜中标金额≤1000万元人民币，开标公证费800元人民币；</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中标金额＞1000万元人民币，开标公证费按中标金额的万分之一收取，但最高不超过3000元人民币。</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开标公证费一次付清,由公证处出具收费发票。</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四、投标文件的递交</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17、投标文件的密封和递交</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17.1</w:t>
      </w:r>
      <w:r>
        <w:rPr>
          <w:rFonts w:hint="eastAsia" w:asciiTheme="minorEastAsia" w:hAnsiTheme="minorEastAsia" w:eastAsiaTheme="minorEastAsia" w:cstheme="minorEastAsia"/>
          <w:b/>
          <w:bCs/>
          <w:color w:val="auto"/>
          <w:kern w:val="0"/>
          <w:szCs w:val="21"/>
          <w:highlight w:val="none"/>
        </w:rPr>
        <w:t>投标人的投标文件</w:t>
      </w:r>
      <w:r>
        <w:rPr>
          <w:rFonts w:hint="eastAsia" w:asciiTheme="minorEastAsia" w:hAnsiTheme="minorEastAsia" w:eastAsiaTheme="minorEastAsia" w:cstheme="minorEastAsia"/>
          <w:b/>
          <w:color w:val="auto"/>
          <w:highlight w:val="none"/>
        </w:rPr>
        <w:t>一式柒份（</w:t>
      </w:r>
      <w:r>
        <w:rPr>
          <w:rFonts w:hint="eastAsia" w:asciiTheme="minorEastAsia" w:hAnsiTheme="minorEastAsia" w:eastAsiaTheme="minorEastAsia" w:cstheme="minorEastAsia"/>
          <w:b/>
          <w:bCs/>
          <w:color w:val="auto"/>
          <w:kern w:val="0"/>
          <w:szCs w:val="21"/>
          <w:highlight w:val="none"/>
        </w:rPr>
        <w:t>正本一份、副本陆份</w:t>
      </w:r>
      <w:r>
        <w:rPr>
          <w:rFonts w:hint="eastAsia" w:asciiTheme="minorEastAsia" w:hAnsiTheme="minorEastAsia" w:eastAsiaTheme="minorEastAsia" w:cstheme="minorEastAsia"/>
          <w:b/>
          <w:color w:val="auto"/>
          <w:highlight w:val="none"/>
        </w:rPr>
        <w:t>），所有投标文件均应密封后递交，同时应提供电子版投标文件</w:t>
      </w:r>
      <w:r>
        <w:rPr>
          <w:rFonts w:hint="eastAsia" w:asciiTheme="minorEastAsia" w:hAnsiTheme="minorEastAsia" w:eastAsiaTheme="minorEastAsia" w:cstheme="minorEastAsia"/>
          <w:b/>
          <w:color w:val="auto"/>
          <w:szCs w:val="21"/>
          <w:highlight w:val="none"/>
        </w:rPr>
        <w:t>壹份（一般应为PDF格式、U盘形式（单独封装）、随纸质正本文件一并提交）</w:t>
      </w:r>
      <w:r>
        <w:rPr>
          <w:rFonts w:hint="eastAsia" w:asciiTheme="minorEastAsia" w:hAnsiTheme="minorEastAsia" w:eastAsiaTheme="minorEastAsia" w:cstheme="minorEastAsia"/>
          <w:b/>
          <w:color w:val="auto"/>
          <w:highlight w:val="none"/>
        </w:rPr>
        <w:t>。</w:t>
      </w:r>
      <w:r>
        <w:rPr>
          <w:rFonts w:hint="eastAsia" w:asciiTheme="minorEastAsia" w:hAnsiTheme="minorEastAsia" w:eastAsiaTheme="minorEastAsia" w:cstheme="minorEastAsia"/>
          <w:color w:val="auto"/>
          <w:highlight w:val="none"/>
        </w:rPr>
        <w:t>当电子版文件和纸质正本文件不一致时，以纸质正本文件为准。</w:t>
      </w:r>
      <w:r>
        <w:rPr>
          <w:rFonts w:hint="eastAsia" w:asciiTheme="minorEastAsia" w:hAnsiTheme="minorEastAsia" w:eastAsiaTheme="minorEastAsia" w:cstheme="minorEastAsia"/>
          <w:color w:val="auto"/>
          <w:kern w:val="0"/>
          <w:szCs w:val="21"/>
          <w:highlight w:val="none"/>
        </w:rPr>
        <w:t>每套投标文件须清楚标明“正本”、“副本”。</w:t>
      </w:r>
      <w:r>
        <w:rPr>
          <w:rFonts w:hint="eastAsia" w:asciiTheme="minorEastAsia" w:hAnsiTheme="minorEastAsia" w:eastAsiaTheme="minorEastAsia" w:cstheme="minorEastAsia"/>
          <w:color w:val="auto"/>
          <w:highlight w:val="none"/>
        </w:rPr>
        <w:t>如果它们之间内容有差异，以正本为准。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17.2 </w:t>
      </w:r>
      <w:r>
        <w:rPr>
          <w:rFonts w:hint="eastAsia" w:asciiTheme="minorEastAsia" w:hAnsiTheme="minorEastAsia" w:eastAsiaTheme="minorEastAsia" w:cstheme="minorEastAsia"/>
          <w:b/>
          <w:color w:val="auto"/>
          <w:highlight w:val="none"/>
        </w:rPr>
        <w:t>投标文件正本和所有副本均需打印或用不褪色墨水书写，并由投标人的法定代表人或授权代表签字并在招标文件中注明须加盖公章的地方加盖公章，如为授权代表签字的应附“法定代表人授权委托书”，正本必须为原件，但投标人的相关证明文件可采用复印件，采用复印件的，评标委员会认为需要时，投标人应提供原件供核对。</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17.3 投标文件不应有涂改、增删之处，如必须修改时，修改处必须有投标人法定代表人或授权代表签字，同时加盖投标人公章。</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17.4投标文件提倡按照A4幅面打印或复印并进行装订，如有资料超过A4幅面折叠成A4幅面；投标文件装订提倡采用胶装的形式。</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17.5 投标人应当在招标文件要求提交投标文件的截止时间前，将投标文件密封送达投标地点。任何单位和个人不得在开标前开启投标文件。</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18、有下列情形的投标文件将被拒收：</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18.1逾期送达的；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18.2未按照招标文件要求密封的。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19、投标文件的修改和撤回</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19.1投标人在投标截止时间前，可以对所递交的投标文件进行补充、修改或者撤回，并书面通知招标人或者招标代理机构。补充、修改的内容应当按照招标文件要求签署、盖章、密封后，作为投标文件的组成部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19.2 投标截止时间之后，投标文件不得撤回；如撤回，投标保证金不予退还。</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20、诚实信用</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20.1投标人应当遵循公平竞争的原则，不得恶意串通，不得妨碍其他投标人的竞争行为，不得损害招标人或者其他投标人的合法权益。</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20.2在评标过程中发现投标人有上述情形的，评标委员会应当认定其投标无效，并书面报告本级财政部门。</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五、开标、评标与定标</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21、开标</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21.1 招标代理机构将在招标文件确定的时间和地点进行公开开标。投标人应委派代表准时参加，参加开标的代表须签名报到以证明其出席。</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21.2开标时，应当由投标人或者其推选的代表检查投标文件的密封情况；经确认无误后，由招标人或者招标代理机构工作人员当众拆封，宣布投标人名称、投标价格和招标文件规定的需要宣布的其他内容。</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21.3投标人不足3家的，不得开标。</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21.4开标过程由招标代理机构负责记录，由参加开标的各投标人代表和相关工作人员签字确认后随招标文件一并存档。</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标人代表对开标过程和开标记录有疑义，以及认为招标人、招标代理机构相关工作人员有需要回避的情形的，应当场提出询问或者回避申请。招标人、招标代理机构对投标人代表提出的询问或者回避申请及时处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21.5投标人未参加开标的，视同认可开标结果。</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21.6公开招标数额标准以上的采购项目，投标截止后投标人不足3家或者通过资格审查或符合性审查的投标人不足3家的，除采购任务取消情形外，按照以下方式处理：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（1）招标文件存在不合理条款或者招标程序不符合规定的，招标人、招标代理机构改正后依法重新招标；</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（2）招标文件没有不合理条款、招标程序符合规定，需要采用其他采购方式采购的，招标人依法报财政部门批准，</w:t>
      </w:r>
      <w:r>
        <w:rPr>
          <w:rFonts w:hint="eastAsia" w:asciiTheme="minorEastAsia" w:hAnsiTheme="minorEastAsia" w:eastAsiaTheme="minorEastAsia" w:cstheme="minorEastAsia"/>
          <w:color w:val="auto"/>
          <w:kern w:val="0"/>
          <w:szCs w:val="21"/>
          <w:highlight w:val="none"/>
        </w:rPr>
        <w:t>经批准后，可变更为其他采购方式采购。本次招标文件中对投标人资格条件要求、技术要求和商务等要求，将作为其他采购方式采购的基本要求和谈判依据。</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22、评标</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22.1 评标委员会</w:t>
      </w:r>
    </w:p>
    <w:p>
      <w:pPr>
        <w:widowControl/>
        <w:shd w:val="clear" w:color="auto" w:fill="FFFFFF"/>
        <w:spacing w:line="360" w:lineRule="auto"/>
        <w:ind w:firstLine="42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22.1.1</w:t>
      </w:r>
      <w:r>
        <w:rPr>
          <w:rFonts w:hint="eastAsia" w:asciiTheme="minorEastAsia" w:hAnsiTheme="minorEastAsia" w:eastAsiaTheme="minorEastAsia" w:cstheme="minorEastAsia"/>
          <w:bCs/>
          <w:color w:val="auto"/>
          <w:kern w:val="0"/>
          <w:szCs w:val="21"/>
          <w:highlight w:val="none"/>
        </w:rPr>
        <w:t>评标委员会负责具体评标事务，并独立履行下列职责：</w:t>
      </w:r>
    </w:p>
    <w:p>
      <w:pPr>
        <w:widowControl/>
        <w:shd w:val="clear" w:color="auto" w:fill="FFFFFF"/>
        <w:spacing w:line="360" w:lineRule="auto"/>
        <w:ind w:firstLine="42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（一）审查、评价投标文件是否符合招标文件的商务、技术等实质性要求；</w:t>
      </w:r>
    </w:p>
    <w:p>
      <w:pPr>
        <w:widowControl/>
        <w:shd w:val="clear" w:color="auto" w:fill="FFFFFF"/>
        <w:spacing w:line="360" w:lineRule="auto"/>
        <w:ind w:firstLine="42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（二）要求投标人对投标文件有关事项作出澄清或者说明；</w:t>
      </w:r>
    </w:p>
    <w:p>
      <w:pPr>
        <w:widowControl/>
        <w:shd w:val="clear" w:color="auto" w:fill="FFFFFF"/>
        <w:spacing w:line="360" w:lineRule="auto"/>
        <w:ind w:firstLine="42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（三）对投标文件进行比较和评价；</w:t>
      </w:r>
    </w:p>
    <w:p>
      <w:pPr>
        <w:widowControl/>
        <w:shd w:val="clear" w:color="auto" w:fill="FFFFFF"/>
        <w:spacing w:line="360" w:lineRule="auto"/>
        <w:ind w:firstLine="420"/>
        <w:rPr>
          <w:rFonts w:asciiTheme="minorEastAsia" w:hAnsiTheme="minorEastAsia" w:eastAsiaTheme="minorEastAsia" w:cstheme="minorEastAsia"/>
          <w:bCs/>
          <w:color w:val="auto"/>
          <w:kern w:val="0"/>
          <w:szCs w:val="21"/>
          <w:highlight w:val="none"/>
        </w:rPr>
      </w:pPr>
      <w:r>
        <w:rPr>
          <w:rFonts w:hint="eastAsia" w:asciiTheme="minorEastAsia" w:hAnsiTheme="minorEastAsia" w:eastAsiaTheme="minorEastAsia" w:cstheme="minorEastAsia"/>
          <w:bCs/>
          <w:color w:val="auto"/>
          <w:kern w:val="0"/>
          <w:szCs w:val="21"/>
          <w:highlight w:val="none"/>
        </w:rPr>
        <w:t>（四）确定中标候选人名单，以及根据采购人委托直接确定中标人；</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kern w:val="0"/>
          <w:szCs w:val="21"/>
          <w:highlight w:val="none"/>
        </w:rPr>
        <w:t>（五）向招标人、招标代理机构或者有关部门报告评标中发现的违法行为。</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 xml:space="preserve">22.1.2 </w:t>
      </w:r>
      <w:r>
        <w:rPr>
          <w:rFonts w:hint="eastAsia" w:asciiTheme="minorEastAsia" w:hAnsiTheme="minorEastAsia" w:eastAsiaTheme="minorEastAsia" w:cstheme="minorEastAsia"/>
          <w:color w:val="auto"/>
          <w:kern w:val="0"/>
          <w:szCs w:val="21"/>
          <w:highlight w:val="none"/>
        </w:rPr>
        <w:t>评标委员会由</w:t>
      </w:r>
      <w:r>
        <w:rPr>
          <w:rFonts w:hint="eastAsia" w:asciiTheme="minorEastAsia" w:hAnsiTheme="minorEastAsia" w:eastAsiaTheme="minorEastAsia" w:cstheme="minorEastAsia"/>
          <w:bCs/>
          <w:color w:val="auto"/>
          <w:kern w:val="0"/>
          <w:szCs w:val="21"/>
          <w:highlight w:val="none"/>
        </w:rPr>
        <w:t>招标</w:t>
      </w:r>
      <w:r>
        <w:rPr>
          <w:rFonts w:hint="eastAsia" w:asciiTheme="minorEastAsia" w:hAnsiTheme="minorEastAsia" w:eastAsiaTheme="minorEastAsia" w:cstheme="minorEastAsia"/>
          <w:color w:val="auto"/>
          <w:kern w:val="0"/>
          <w:szCs w:val="21"/>
          <w:highlight w:val="none"/>
        </w:rPr>
        <w:t>人代表和有关技术、经济等方面的专家组成，独立开展评审工作。</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22.2  评标程序</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 xml:space="preserve">22.2.1 </w:t>
      </w:r>
      <w:r>
        <w:rPr>
          <w:rFonts w:hint="eastAsia" w:asciiTheme="minorEastAsia" w:hAnsiTheme="minorEastAsia" w:eastAsiaTheme="minorEastAsia" w:cstheme="minorEastAsia"/>
          <w:b/>
          <w:bCs/>
          <w:color w:val="auto"/>
          <w:kern w:val="0"/>
          <w:szCs w:val="21"/>
          <w:highlight w:val="none"/>
        </w:rPr>
        <w:t>投标文件的资格性检查。</w:t>
      </w:r>
      <w:r>
        <w:rPr>
          <w:rFonts w:hint="eastAsia" w:asciiTheme="minorEastAsia" w:hAnsiTheme="minorEastAsia" w:eastAsiaTheme="minorEastAsia" w:cstheme="minorEastAsia"/>
          <w:color w:val="auto"/>
          <w:kern w:val="0"/>
          <w:szCs w:val="21"/>
          <w:highlight w:val="none"/>
        </w:rPr>
        <w:t>公开招标采购项目开标结束后，</w:t>
      </w:r>
      <w:r>
        <w:rPr>
          <w:rFonts w:hint="eastAsia" w:asciiTheme="minorEastAsia" w:hAnsiTheme="minorEastAsia" w:eastAsiaTheme="minorEastAsia" w:cstheme="minorEastAsia"/>
          <w:color w:val="auto"/>
          <w:highlight w:val="none"/>
        </w:rPr>
        <w:t>招标</w:t>
      </w:r>
      <w:r>
        <w:rPr>
          <w:rFonts w:hint="eastAsia" w:asciiTheme="minorEastAsia" w:hAnsiTheme="minorEastAsia" w:eastAsiaTheme="minorEastAsia" w:cstheme="minorEastAsia"/>
          <w:color w:val="auto"/>
          <w:kern w:val="0"/>
          <w:szCs w:val="21"/>
          <w:highlight w:val="none"/>
        </w:rPr>
        <w:t>人或者</w:t>
      </w:r>
      <w:r>
        <w:rPr>
          <w:rFonts w:hint="eastAsia" w:asciiTheme="minorEastAsia" w:hAnsiTheme="minorEastAsia" w:eastAsiaTheme="minorEastAsia" w:cstheme="minorEastAsia"/>
          <w:color w:val="auto"/>
          <w:highlight w:val="none"/>
        </w:rPr>
        <w:t>招标</w:t>
      </w:r>
      <w:r>
        <w:rPr>
          <w:rFonts w:hint="eastAsia" w:asciiTheme="minorEastAsia" w:hAnsiTheme="minorEastAsia" w:eastAsiaTheme="minorEastAsia" w:cstheme="minorEastAsia"/>
          <w:color w:val="auto"/>
          <w:kern w:val="0"/>
          <w:szCs w:val="21"/>
          <w:highlight w:val="none"/>
        </w:rPr>
        <w:t>代理机构应当依法对投标人的资格进行审查。合格投标人不足3家的，不得评标。</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22.2.2投标文件的符合性审查</w:t>
      </w:r>
      <w:r>
        <w:rPr>
          <w:rFonts w:hint="eastAsia" w:asciiTheme="minorEastAsia" w:hAnsiTheme="minorEastAsia" w:eastAsiaTheme="minorEastAsia" w:cstheme="minorEastAsia"/>
          <w:color w:val="auto"/>
          <w:kern w:val="0"/>
          <w:szCs w:val="21"/>
          <w:highlight w:val="none"/>
        </w:rPr>
        <w:t>。评标委员会对通过资格性检查的投标人的投标文件进行符合性审查，以确定其是否满足招标文件的实质性要求。投标文件有下列情况之一的，在符合性检查时按照无效投标处理：</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（1）未按投标邀请规定的数额和办法交纳投标保证金的；</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（2）未按照招标文件规定要求密封、签署、盖章的</w:t>
      </w:r>
      <w:r>
        <w:rPr>
          <w:rFonts w:hint="eastAsia" w:asciiTheme="minorEastAsia" w:hAnsiTheme="minorEastAsia" w:eastAsiaTheme="minorEastAsia" w:cstheme="minorEastAsia"/>
          <w:b/>
          <w:bCs/>
          <w:color w:val="auto"/>
          <w:kern w:val="0"/>
          <w:szCs w:val="21"/>
          <w:highlight w:val="none"/>
        </w:rPr>
        <w:t>；</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（3）不具备招标文件中规定资格要求的；</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（4）报价超过招标文件中规定的预算金额或者最高限价的；</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（5）投标文件含有采购人不能接受的附加条件的；</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（6）投标文件内容不全或不符合招标文件中规定的其它实质性要求的；</w:t>
      </w:r>
    </w:p>
    <w:p>
      <w:pPr>
        <w:widowControl/>
        <w:shd w:val="clear" w:color="auto" w:fill="FFFFFF"/>
        <w:spacing w:line="360" w:lineRule="auto"/>
        <w:ind w:firstLine="42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（7）现行法律、法规、规章和招标文件规定的其他无效情形。</w:t>
      </w:r>
    </w:p>
    <w:p>
      <w:pPr>
        <w:widowControl/>
        <w:shd w:val="clear" w:color="auto" w:fill="FFFFFF"/>
        <w:spacing w:line="360" w:lineRule="auto"/>
        <w:ind w:firstLine="420"/>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22.2.2.1 实质性要求是指本招标文件中用带星号（“</w:t>
      </w:r>
      <w:r>
        <w:rPr>
          <w:rFonts w:hint="eastAsia" w:asciiTheme="minorEastAsia" w:hAnsiTheme="minorEastAsia" w:eastAsiaTheme="minorEastAsia" w:cstheme="minorEastAsia"/>
          <w:b/>
          <w:bCs/>
          <w:color w:val="auto"/>
          <w:highlight w:val="none"/>
        </w:rPr>
        <w:t>*</w:t>
      </w:r>
      <w:r>
        <w:rPr>
          <w:rFonts w:hint="eastAsia" w:asciiTheme="minorEastAsia" w:hAnsiTheme="minorEastAsia" w:eastAsiaTheme="minorEastAsia" w:cstheme="minorEastAsia"/>
          <w:b/>
          <w:bCs/>
          <w:color w:val="auto"/>
          <w:kern w:val="0"/>
          <w:szCs w:val="21"/>
          <w:highlight w:val="none"/>
        </w:rPr>
        <w:t>”）、“必须”或“应（应当）”等其他文字说明的商务和技术要求。</w:t>
      </w:r>
    </w:p>
    <w:p>
      <w:pPr>
        <w:widowControl/>
        <w:shd w:val="clear" w:color="auto" w:fill="FFFFFF"/>
        <w:spacing w:line="360" w:lineRule="auto"/>
        <w:ind w:firstLine="420"/>
        <w:jc w:val="left"/>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22.2.2.2</w:t>
      </w:r>
      <w:r>
        <w:rPr>
          <w:rFonts w:hint="eastAsia" w:asciiTheme="minorEastAsia" w:hAnsiTheme="minorEastAsia" w:eastAsiaTheme="minorEastAsia" w:cstheme="minorEastAsia"/>
          <w:color w:val="auto"/>
          <w:kern w:val="0"/>
          <w:szCs w:val="21"/>
          <w:highlight w:val="none"/>
        </w:rPr>
        <w:t>有下列情形之一的予以废标：</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（1）符合专业条件的投标人或者对招标文件作实质性响应的投标人不足三家的；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（2）出现影响采购公正的违法、违规行为的；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（3）投标人的报价均超过了采购预算，采购人不能支付的；</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（4）因重大变故，采购任务取消的。</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22.2.3</w:t>
      </w:r>
      <w:r>
        <w:rPr>
          <w:rFonts w:hint="eastAsia" w:asciiTheme="minorEastAsia" w:hAnsiTheme="minorEastAsia" w:eastAsiaTheme="minorEastAsia" w:cstheme="minorEastAsia"/>
          <w:b/>
          <w:bCs/>
          <w:color w:val="auto"/>
          <w:kern w:val="0"/>
          <w:szCs w:val="21"/>
          <w:highlight w:val="none"/>
        </w:rPr>
        <w:t>澄清有关问题</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22.2.3.1对于投标文件中含义不明确、同类问题表述不一致或者有明显文字和计算错误的内容，评标委员会应当以书面形式要求投标人作出必要的澄清、说明或者补正。</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22.2.3.2投标人的澄清、说明或者补正应当采用书面形式，并加盖公章，或者由法定代表人或其授权代表签字。投标人的澄清、说明或者补正不得超出投标文件的范围或者改变投标文件的实质性内容。</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22.2.3.3投标文件报价出现前后不一致的，除招标文件另有规定外，按照下列规定修正：</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（1）投标文件中开标一览表（报价表）内容与投标文件中相应内容不一致的，以开标一览表（报价表）为准；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（2）大写金额和小写金额不一致的，以大写金额为准；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（3）单价金额小数点或者百分比有明显错位的，以开标一览表的总价为准，并修改单价；</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（4）总价金额与按单价汇总金额不一致的，以单价金额计算结果为准。</w:t>
      </w:r>
    </w:p>
    <w:p>
      <w:pPr>
        <w:widowControl/>
        <w:shd w:val="clear" w:color="auto" w:fill="FFFFFF"/>
        <w:spacing w:line="360" w:lineRule="auto"/>
        <w:ind w:firstLine="42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同时出现两种以上不一致的，按照前款规定的顺序修正。</w:t>
      </w:r>
      <w:r>
        <w:rPr>
          <w:rFonts w:hint="eastAsia" w:asciiTheme="minorEastAsia" w:hAnsiTheme="minorEastAsia" w:eastAsiaTheme="minorEastAsia" w:cstheme="minorEastAsia"/>
          <w:b/>
          <w:color w:val="auto"/>
          <w:kern w:val="0"/>
          <w:szCs w:val="21"/>
          <w:highlight w:val="none"/>
        </w:rPr>
        <w:t>修正后的报价按照前款规定经投标人确认后产生约束力，投标人不确认的，其投标无效。</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22.2.3.4</w:t>
      </w:r>
      <w:r>
        <w:rPr>
          <w:rFonts w:hint="eastAsia" w:asciiTheme="minorEastAsia" w:hAnsiTheme="minorEastAsia" w:eastAsiaTheme="minorEastAsia" w:cstheme="minorEastAsia"/>
          <w:color w:val="auto"/>
          <w:highlight w:val="none"/>
        </w:rPr>
        <w:t>评标委员会认为投标人的报价明显低于其他通过符合性审查投标人的报价，有可能影响产品质量或者不能诚信履约的，将要求其在评标现场合理的时间内提供书面说明，必要时提交相关证明材料；</w:t>
      </w:r>
      <w:r>
        <w:rPr>
          <w:rFonts w:hint="eastAsia" w:asciiTheme="minorEastAsia" w:hAnsiTheme="minorEastAsia" w:eastAsiaTheme="minorEastAsia" w:cstheme="minorEastAsia"/>
          <w:b/>
          <w:color w:val="auto"/>
          <w:highlight w:val="none"/>
        </w:rPr>
        <w:t>投标人不能证明其报价合理性的，评标委员会将其作为无效投标处理。</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22.2.4</w:t>
      </w:r>
      <w:r>
        <w:rPr>
          <w:rFonts w:hint="eastAsia" w:asciiTheme="minorEastAsia" w:hAnsiTheme="minorEastAsia" w:eastAsiaTheme="minorEastAsia" w:cstheme="minorEastAsia"/>
          <w:bCs/>
          <w:color w:val="auto"/>
          <w:kern w:val="0"/>
          <w:szCs w:val="21"/>
          <w:highlight w:val="none"/>
        </w:rPr>
        <w:t>比较与评价。</w:t>
      </w:r>
      <w:r>
        <w:rPr>
          <w:rFonts w:hint="eastAsia" w:asciiTheme="minorEastAsia" w:hAnsiTheme="minorEastAsia" w:eastAsiaTheme="minorEastAsia" w:cstheme="minorEastAsia"/>
          <w:color w:val="auto"/>
          <w:kern w:val="0"/>
          <w:szCs w:val="21"/>
          <w:highlight w:val="none"/>
        </w:rPr>
        <w:t>评标委员会应当按照招标文件中规定的评标方法和标准，对符合性审查合格的投标文件进行商务和技术评估，综合比较与评价。</w:t>
      </w:r>
    </w:p>
    <w:p>
      <w:pPr>
        <w:widowControl/>
        <w:shd w:val="clear" w:color="auto" w:fill="FFFFFF"/>
        <w:spacing w:line="360" w:lineRule="auto"/>
        <w:ind w:firstLine="42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22.2.5</w:t>
      </w:r>
      <w:r>
        <w:rPr>
          <w:rFonts w:hint="eastAsia" w:asciiTheme="minorEastAsia" w:hAnsiTheme="minorEastAsia" w:eastAsiaTheme="minorEastAsia" w:cstheme="minorEastAsia"/>
          <w:color w:val="auto"/>
          <w:highlight w:val="none"/>
        </w:rPr>
        <w:t>相同品牌产品的投标</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用最低评标价法的采购项目，提供相同品牌产品的不同投标人参加同一合同项下投标的，以其中通过资格审查、符合性审查且报价最低的参加评标；报价相同的，由采购人委托评标委员会按照招标文件规定的方式确定一个参加评标的投标人，招标文件未规定的采取随机抽取方式确定，其他投标无效。</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招标文件规定的方式确定一个投标人获得中标人推荐资格，招标文件未规定的采取随机抽取方式确定，其他同品牌投标人不作为中标候选人。</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非单一产品采购项目，确定核心产品的方法在招标文件技术需求中载明。多家投标人提供的核心产品品牌相同的，按前两款规定处理。</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22.3 评标方法和标准</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22.3.1评标方法分为最低评标价法和综合评分法。本次招标的评标方法和标准，详见本招标文件第三章。</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22.3.2最低评标价法，是指投标文件满足招标文件全部实质性要求，且投标报价最低的投标人为中标候选人的评标方法。</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采用最低评标价法评标时，除了算术修正和落实政府采购政策需进行的价格扣除外，不对投标人的投标价格进行任何调整。</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22.3.3综合评分法，是指投标文件满足招标文件全部实质性要求，且按照评审因素的量化指标评审得分最高的投标人为中标候选人的评标方法。</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评审因素，包括价格、技术、商务等。</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评标时，评标委员会各成员应当独立对每个投标人的投标文件进行评价，并汇总每个投标人的得分。</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价格分采用低价优先法计算，即满足招标文件要求且投标价格最低的投标报价为评标基准价，其价格分为满分。</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评标总得分＝F1×A1＋F2×A2＋……＋Fn×An</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F1、F2……Fn分别为各项评审因素的得分；</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A1、A2、……An 分别为各项评审因素所占的权重(A1＋A2＋……＋An＝1)。</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因落实政府采购政策进行价格调整的，以调整后的价格计算评标基准价和投标报价。</w:t>
      </w:r>
    </w:p>
    <w:p>
      <w:pPr>
        <w:widowControl/>
        <w:shd w:val="clear" w:color="auto" w:fill="FFFFFF"/>
        <w:spacing w:line="360" w:lineRule="auto"/>
        <w:ind w:firstLine="42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bCs/>
          <w:color w:val="auto"/>
          <w:kern w:val="0"/>
          <w:szCs w:val="21"/>
          <w:highlight w:val="none"/>
        </w:rPr>
        <w:t>23、</w:t>
      </w:r>
      <w:r>
        <w:rPr>
          <w:rFonts w:hint="eastAsia" w:asciiTheme="minorEastAsia" w:hAnsiTheme="minorEastAsia" w:eastAsiaTheme="minorEastAsia" w:cstheme="minorEastAsia"/>
          <w:b/>
          <w:color w:val="auto"/>
          <w:kern w:val="0"/>
          <w:szCs w:val="21"/>
          <w:highlight w:val="none"/>
        </w:rPr>
        <w:t>确定中标人</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23.1 采用最低评标价法的，评标结果按投标报价由低到高顺序排列。投标报价相同的并列。投标文件满足招标文件全部实质性要求且投标报价最低的投标人为排名第一的中标候选人。</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23.2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23.3 中标人确定后，在省级以上财政部门指定的媒体上公告中标结果，中标公告期为1个工作日，公告的同时向中标人发出中标通知书。</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23.4 中标通知书对招标人和中标人具有同等法律效力。</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23.5 中标通知书发出后，招标人或中标人拒绝签订合同的，拒绝签订合同的一方应至少向另一方支付与投标保证金相等的补偿金，以及为招标、投标所发生的有关费用和双方商定的其他补偿。</w:t>
      </w:r>
    </w:p>
    <w:p>
      <w:pPr>
        <w:widowControl/>
        <w:shd w:val="clear" w:color="auto" w:fill="FFFFFF"/>
        <w:spacing w:line="360" w:lineRule="auto"/>
        <w:ind w:firstLine="420"/>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23.6 中标通知书发出后，中标人无正当理由不与招标人签订合同的，投标保证金不予退还；情节严重的，由财政部门将其列入不良行为记录名单，在一至三年内禁止参加政府采购活动，并予以通报。</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23.7 所有投标文件不论中标与否，均不退回。</w:t>
      </w:r>
    </w:p>
    <w:p>
      <w:pPr>
        <w:widowControl/>
        <w:shd w:val="clear" w:color="auto" w:fill="FFFFFF"/>
        <w:spacing w:line="360" w:lineRule="auto"/>
        <w:ind w:firstLine="412"/>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24、编写评标报告</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24.1评标委员会根据全体评标成员签字的原始评标记录和评标结果编写评标报告。</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25、评标过程的保密性</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25.1 招标人和招标代理机构将采取必要措施，保证评标在严格保密的情况下进行。</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25.2 任何单位和个人不得非法干预、影响评标办法的确定，以及评标过程和结果。</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25.3 凡是与审查、澄清、评价和比较投标的有关资料等，均不向投标人及与评标无关的其他人员透露。</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六、签订合同</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26、签订合同</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26.1招标人与中标人应当自中标通知书发出之日起30日内，按照招标文件和中标人投标文件的规定，签订书面合同。所签订的合同不得对招标文件确定的事项和中标人投标文件作实质性修改。</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26.2招标人不得向中标人提出任何不合理的要求作为签订合同的条件。</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26.3中标人拒绝与采购人签订合同的，招标人可以按照评审报告推荐的中标或者成交候选人名单排序，确定下一候选人为中标或者成交供应商，也可以重新开展政府采购活动。</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26.4 政府采购合同履行中，招标人需追加与合同标的相同的货物或者服务的，在不改变合同其他条款的前提下，可以与供应商协商签订补充合同，但所有补充合同的采购金额不得超过原合同采购金额的百分之十。</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26.5 招标人与中标人应当根据合同的约定依法履行合同义务。</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七、质疑和投诉</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27、质疑</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27.1供应商对招标活动事项有疑问的，可以向招标代理机构提出询问，招标代理机构将依法作出答复，但答复的内容不涉及商业秘密</w:t>
      </w:r>
      <w:r>
        <w:rPr>
          <w:rFonts w:hint="eastAsia" w:asciiTheme="minorEastAsia" w:hAnsiTheme="minorEastAsia" w:eastAsiaTheme="minorEastAsia" w:cstheme="minorEastAsia"/>
          <w:b/>
          <w:bCs/>
          <w:color w:val="auto"/>
          <w:kern w:val="0"/>
          <w:szCs w:val="21"/>
          <w:highlight w:val="none"/>
        </w:rPr>
        <w:t>。</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27.2提出质疑的供应商应当是参与所质疑项目采购活动的供应商。潜在供应商已依法获取其可质疑的采购文件的，可以对该文件提出质疑。</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以联合体形式参加政府采购活动的，其质疑应当由组成联合体的所有供应商共同提出。</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27.3供应商认为采购文件、采购过程和中标结果使自己的合法权益受到损害的，可以在知道或者应知其权益受到损害之日起七个工作日内，将质疑文件原件送达采购人或采购代理机构。</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供应商应知其权益受到损害之日，是指：对采购文件提出质疑的，应当在获取采购文件或者采购文件公告期限届满之日起7个工作日内提出；对采购过程提出质疑的，为各采购程序环节结束之日；对中标或者成交结果提出质疑的，为中标或者成交结果公告期限届满之日。</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t>供应商必须在法定质疑期内一次性提出针对同一采购程序环节的质疑。</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27.4 供应商提出质疑应当提交质疑函和必要的证明材料。质疑函应当包括下列内容：</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（一）供应商的姓名或者名称、地址、邮编、联系人及联系电话；</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（二）质疑项目的名称、编号；</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（三）具体、明确的质疑事项和与质疑事项相关的请求（具体条款）；</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（四）事实依据（具体条款）；</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（五）必要的法律依据（具体条款）；</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（六）提出质疑的日期。</w:t>
      </w:r>
    </w:p>
    <w:p>
      <w:pPr>
        <w:widowControl/>
        <w:shd w:val="clear" w:color="auto" w:fill="FFFFFF"/>
        <w:spacing w:line="360" w:lineRule="auto"/>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供应商为自然人的，应当由本人签字；供应商为法人或者其他组织的，应当由法定代表人、主要负责人，或者其授权代表签字或者盖章，并加盖公章。代理人提出质疑和投诉，应当提交供应商签署的授权委托书。其授权委托书应当载明代理人的姓名或者名称、代理事项、具体权限、期限和相关事项。</w:t>
      </w:r>
    </w:p>
    <w:p>
      <w:pPr>
        <w:widowControl/>
        <w:shd w:val="clear" w:color="auto" w:fill="FFFFFF"/>
        <w:spacing w:line="360" w:lineRule="auto"/>
        <w:ind w:firstLine="42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质疑函应当使用中文。相关当事人提供外文书证或者外国语视听资料的，应当附有中文译本，由翻译机构盖章或者翻译人员签名。</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27.5质疑函应当现场提交至采购代理机构联系人处，提交时应出示有效身份证明。未按上述要求提交质疑函的，质疑不予受理。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27.6 投标人不得虚假质疑和恶意质疑，并对质疑内容的真实性承担责任。投标人或者其他利害关系人通过捏造事实、伪造证明材料等方式提出异议或投诉，阻碍招投标活动正常进行的，属于严重不良行为，代理机构将提请财政部门将其列入不良行为记录名单，并依法予以处罚。</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27.7采购代理机构在收到投标人的书面质疑后将及时组织调查核实，在</w:t>
      </w:r>
      <w:r>
        <w:rPr>
          <w:rFonts w:hint="eastAsia" w:asciiTheme="minorEastAsia" w:hAnsiTheme="minorEastAsia" w:eastAsiaTheme="minorEastAsia" w:cstheme="minorEastAsia"/>
          <w:b/>
          <w:bCs/>
          <w:color w:val="auto"/>
          <w:kern w:val="0"/>
          <w:szCs w:val="21"/>
          <w:highlight w:val="none"/>
        </w:rPr>
        <w:t>七个工作日内</w:t>
      </w:r>
      <w:r>
        <w:rPr>
          <w:rFonts w:hint="eastAsia" w:asciiTheme="minorEastAsia" w:hAnsiTheme="minorEastAsia" w:eastAsiaTheme="minorEastAsia" w:cstheme="minorEastAsia"/>
          <w:color w:val="auto"/>
          <w:kern w:val="0"/>
          <w:szCs w:val="21"/>
          <w:highlight w:val="none"/>
        </w:rPr>
        <w:t>作出答复，并以书面或在网站公告形式通知质疑投标人和其他有关投标人，答复的内容不涉及商业秘密。</w:t>
      </w:r>
    </w:p>
    <w:p>
      <w:pPr>
        <w:widowControl/>
        <w:shd w:val="clear" w:color="auto" w:fill="FFFFFF"/>
        <w:spacing w:line="360" w:lineRule="auto"/>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任何单位和个人对代理机构在招标采购活动中的违法行为，有权控告和检举，联系电话：025-86636139（招标代理机构质量管理部门）、025-86636853（招标代理机构纪检监察部门）。</w:t>
      </w:r>
    </w:p>
    <w:p>
      <w:pPr>
        <w:widowControl/>
        <w:shd w:val="clear" w:color="auto" w:fill="FFFFFF"/>
        <w:spacing w:line="42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t>28、投诉</w:t>
      </w:r>
    </w:p>
    <w:p>
      <w:pPr>
        <w:spacing w:line="42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28.1质疑供应商对采购代理机构的答复不满意或者采购代理机构未在规定的时间内作出答复的，可以在答复期满后十五个工作日内向同级政府采购监督管理部门投诉。</w:t>
      </w:r>
    </w:p>
    <w:p>
      <w:pPr>
        <w:spacing w:line="42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28.2供应商投诉应当有明确的请求和必要的证明材料。供应商投诉的事项不得超出已质疑事项的范围。</w:t>
      </w:r>
    </w:p>
    <w:p>
      <w:pPr>
        <w:spacing w:line="42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28.3投诉人对政府采购监督管理部门的投诉处理决定不服或者政府采购监督管理部门逾期未作处理的，可以依法申请行政复议或者向人民法院提起行政诉讼。</w:t>
      </w:r>
    </w:p>
    <w:p>
      <w:pPr>
        <w:spacing w:line="42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28.4 投诉人有下列行为之一的，属于严重失信行为，</w:t>
      </w:r>
      <w:r>
        <w:rPr>
          <w:rFonts w:hint="eastAsia" w:asciiTheme="minorEastAsia" w:hAnsiTheme="minorEastAsia" w:eastAsiaTheme="minorEastAsia" w:cstheme="minorEastAsia"/>
          <w:color w:val="auto"/>
          <w:szCs w:val="21"/>
          <w:highlight w:val="none"/>
        </w:rPr>
        <w:t>由财政部门列入不良行为记录名单，禁止其一至三年内参加政府采购活动。</w:t>
      </w:r>
    </w:p>
    <w:p>
      <w:pPr>
        <w:spacing w:line="42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（1）投诉人在全国范围12个月内三次以上投诉查无实据的；</w:t>
      </w:r>
    </w:p>
    <w:p>
      <w:pPr>
        <w:spacing w:line="42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（2）采用捏造事实、提供虚假材料或者以非法手段取得证明材料等方式进行虚假、恶意投诉。</w:t>
      </w:r>
    </w:p>
    <w:p>
      <w:pPr>
        <w:spacing w:line="42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证据来源的合法性存在明显疑问，投诉人无法证明其取得方式合法的，视为以非法手段取得证明材料。</w:t>
      </w:r>
    </w:p>
    <w:p>
      <w:pPr>
        <w:widowControl/>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pStyle w:val="3"/>
        <w:numPr>
          <w:ilvl w:val="0"/>
          <w:numId w:val="0"/>
        </w:numP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 </w:t>
      </w:r>
      <w:bookmarkStart w:id="4" w:name="_Toc43902850"/>
      <w:bookmarkStart w:id="5" w:name="_Toc481057145"/>
      <w:r>
        <w:rPr>
          <w:rFonts w:hint="eastAsia" w:asciiTheme="minorEastAsia" w:hAnsiTheme="minorEastAsia" w:eastAsiaTheme="minorEastAsia" w:cstheme="minorEastAsia"/>
          <w:color w:val="auto"/>
          <w:kern w:val="0"/>
          <w:highlight w:val="none"/>
        </w:rPr>
        <w:t>第三章  评标标准</w:t>
      </w:r>
      <w:bookmarkEnd w:id="4"/>
    </w:p>
    <w:bookmarkEnd w:id="5"/>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采用综合评分法，评分统计方法采用百分制（满分100分），将全部评委评分直接进行算术平均，小数点后保留2位。按评审后得分由高到低顺序排列，得分相同的，按投标报价由低到高顺序排列，得分且投标报价相同的，按技术指标优劣顺序排列，由评标委员会确定中标人。</w:t>
      </w:r>
    </w:p>
    <w:tbl>
      <w:tblPr>
        <w:tblStyle w:val="46"/>
        <w:tblW w:w="8755" w:type="dxa"/>
        <w:tblInd w:w="108" w:type="dxa"/>
        <w:tblLayout w:type="fixed"/>
        <w:tblCellMar>
          <w:top w:w="0" w:type="dxa"/>
          <w:left w:w="108" w:type="dxa"/>
          <w:bottom w:w="0" w:type="dxa"/>
          <w:right w:w="108" w:type="dxa"/>
        </w:tblCellMar>
      </w:tblPr>
      <w:tblGrid>
        <w:gridCol w:w="1418"/>
        <w:gridCol w:w="7337"/>
      </w:tblGrid>
      <w:tr>
        <w:tblPrEx>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价格</w:t>
            </w:r>
          </w:p>
          <w:p>
            <w:pPr>
              <w:spacing w:line="360" w:lineRule="auto"/>
              <w:jc w:val="center"/>
              <w:rPr>
                <w:rFonts w:ascii="宋体" w:hAnsi="宋体" w:cs="Arial"/>
                <w:color w:val="auto"/>
                <w:szCs w:val="21"/>
                <w:highlight w:val="none"/>
              </w:rPr>
            </w:pPr>
            <w:r>
              <w:rPr>
                <w:rFonts w:hint="eastAsia" w:ascii="宋体" w:hAnsi="宋体"/>
                <w:color w:val="auto"/>
                <w:szCs w:val="21"/>
                <w:highlight w:val="none"/>
              </w:rPr>
              <w:t>（</w:t>
            </w:r>
            <w:r>
              <w:rPr>
                <w:rFonts w:ascii="宋体" w:hAnsi="宋体"/>
                <w:color w:val="auto"/>
                <w:szCs w:val="21"/>
                <w:highlight w:val="none"/>
              </w:rPr>
              <w:t>30</w:t>
            </w:r>
            <w:r>
              <w:rPr>
                <w:rFonts w:hint="eastAsia" w:ascii="宋体" w:hAnsi="宋体"/>
                <w:color w:val="auto"/>
                <w:szCs w:val="21"/>
                <w:highlight w:val="none"/>
              </w:rPr>
              <w:t>分）</w:t>
            </w:r>
          </w:p>
        </w:tc>
        <w:tc>
          <w:tcPr>
            <w:tcW w:w="73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价格分采用低价优先法计算，即满足招标文件要求且投标价格最低的投标报价为评标基准价，其价格分为满分。其他投标人的价格分统一按照下列公式计算：投标报价得分=(评标基准价／投标报价)×30</w:t>
            </w:r>
            <w:r>
              <w:rPr>
                <w:rFonts w:hint="eastAsia" w:ascii="宋体" w:hAnsi="宋体"/>
                <w:color w:val="auto"/>
                <w:szCs w:val="21"/>
                <w:highlight w:val="none"/>
              </w:rPr>
              <w:t>。</w:t>
            </w:r>
          </w:p>
        </w:tc>
      </w:tr>
      <w:tr>
        <w:tblPrEx>
          <w:tblCellMar>
            <w:top w:w="0" w:type="dxa"/>
            <w:left w:w="108" w:type="dxa"/>
            <w:bottom w:w="0" w:type="dxa"/>
            <w:right w:w="108" w:type="dxa"/>
          </w:tblCellMar>
        </w:tblPrEx>
        <w:tc>
          <w:tcPr>
            <w:tcW w:w="141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技术能力</w:t>
            </w:r>
          </w:p>
          <w:p>
            <w:pPr>
              <w:spacing w:line="360" w:lineRule="auto"/>
              <w:jc w:val="center"/>
              <w:rPr>
                <w:rFonts w:ascii="宋体" w:hAnsi="宋体" w:cs="Arial"/>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4分）</w:t>
            </w:r>
          </w:p>
        </w:tc>
        <w:tc>
          <w:tcPr>
            <w:tcW w:w="73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olor w:val="auto"/>
                <w:szCs w:val="21"/>
                <w:highlight w:val="none"/>
              </w:rPr>
              <w:t>投标产品对招标文件具体需求的响应程度能够满足招标文件技术要求的得44分，其中，加★为关键项指标，不允许有负偏离；加▲项技术要求如有负偏离每有一项扣4分，其他一般性技术要求每有一项负偏离扣2分，直至扣完为止。</w:t>
            </w:r>
          </w:p>
        </w:tc>
      </w:tr>
      <w:tr>
        <w:tblPrEx>
          <w:tblCellMar>
            <w:top w:w="0" w:type="dxa"/>
            <w:left w:w="108" w:type="dxa"/>
            <w:bottom w:w="0" w:type="dxa"/>
            <w:right w:w="108" w:type="dxa"/>
          </w:tblCellMar>
        </w:tblPrEx>
        <w:tc>
          <w:tcPr>
            <w:tcW w:w="1418" w:type="dxa"/>
            <w:vMerge w:val="continue"/>
            <w:tcBorders>
              <w:left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3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olor w:val="auto"/>
                <w:szCs w:val="21"/>
                <w:highlight w:val="none"/>
              </w:rPr>
              <w:t>根据产品的性能稳定性、质量可靠性等方面进行综合评审，上述因素匹配性优越得10分，匹配性一般得7分，匹配性差得4分。</w:t>
            </w:r>
          </w:p>
        </w:tc>
      </w:tr>
      <w:tr>
        <w:tblPrEx>
          <w:tblCellMar>
            <w:top w:w="0" w:type="dxa"/>
            <w:left w:w="108" w:type="dxa"/>
            <w:bottom w:w="0" w:type="dxa"/>
            <w:right w:w="108" w:type="dxa"/>
          </w:tblCellMar>
        </w:tblPrEx>
        <w:tc>
          <w:tcPr>
            <w:tcW w:w="141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服务</w:t>
            </w:r>
          </w:p>
          <w:p>
            <w:pPr>
              <w:spacing w:line="360" w:lineRule="auto"/>
              <w:jc w:val="center"/>
              <w:rPr>
                <w:rFonts w:ascii="宋体" w:hAnsi="宋体" w:cs="Arial"/>
                <w:color w:val="auto"/>
                <w:szCs w:val="21"/>
                <w:highlight w:val="none"/>
              </w:rPr>
            </w:pPr>
            <w:r>
              <w:rPr>
                <w:rFonts w:hint="eastAsia" w:ascii="宋体" w:hAnsi="宋体"/>
                <w:color w:val="auto"/>
                <w:szCs w:val="21"/>
                <w:highlight w:val="none"/>
              </w:rPr>
              <w:t>（8分）</w:t>
            </w:r>
          </w:p>
        </w:tc>
        <w:tc>
          <w:tcPr>
            <w:tcW w:w="73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olor w:val="auto"/>
                <w:szCs w:val="21"/>
                <w:highlight w:val="none"/>
              </w:rPr>
              <w:t>售后服务：根据投标人提供的售后服务体系、售后服务人员、售后服务承诺、售后服务应答及处理时间，质保期内的售后服务范围、质保期满后的售后服务范围进行打分。方案详细，可操作性强得4分，方案较详细，可操作性较强得2分，方案粗略，可操作性一般得1分</w:t>
            </w:r>
            <w:r>
              <w:rPr>
                <w:rFonts w:hint="eastAsia" w:ascii="宋体" w:hAnsi="宋体" w:cs="宋体"/>
                <w:color w:val="auto"/>
                <w:szCs w:val="21"/>
                <w:highlight w:val="none"/>
              </w:rPr>
              <w:t>，未提供方案得0分</w:t>
            </w:r>
            <w:r>
              <w:rPr>
                <w:rFonts w:hint="eastAsia" w:ascii="宋体" w:hAnsi="宋体"/>
                <w:color w:val="auto"/>
                <w:szCs w:val="21"/>
                <w:highlight w:val="none"/>
              </w:rPr>
              <w:t>。</w:t>
            </w:r>
          </w:p>
        </w:tc>
      </w:tr>
      <w:tr>
        <w:tblPrEx>
          <w:tblCellMar>
            <w:top w:w="0" w:type="dxa"/>
            <w:left w:w="108" w:type="dxa"/>
            <w:bottom w:w="0" w:type="dxa"/>
            <w:right w:w="108" w:type="dxa"/>
          </w:tblCellMar>
        </w:tblPrEx>
        <w:trPr>
          <w:trHeight w:val="1287" w:hRule="atLeast"/>
        </w:trPr>
        <w:tc>
          <w:tcPr>
            <w:tcW w:w="1418" w:type="dxa"/>
            <w:vMerge w:val="continue"/>
            <w:tcBorders>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p>
        </w:tc>
        <w:tc>
          <w:tcPr>
            <w:tcW w:w="7337" w:type="dxa"/>
            <w:tcBorders>
              <w:top w:val="single" w:color="auto" w:sz="4" w:space="0"/>
              <w:left w:val="single" w:color="auto" w:sz="4" w:space="0"/>
              <w:bottom w:val="single" w:color="auto" w:sz="4" w:space="0"/>
              <w:right w:val="single" w:color="auto" w:sz="4" w:space="0"/>
            </w:tcBorders>
            <w:vAlign w:val="center"/>
          </w:tcPr>
          <w:p>
            <w:pPr>
              <w:keepNext/>
              <w:keepLines/>
              <w:spacing w:line="360" w:lineRule="auto"/>
              <w:outlineLvl w:val="3"/>
              <w:rPr>
                <w:rFonts w:ascii="宋体" w:hAnsi="宋体"/>
                <w:color w:val="auto"/>
                <w:szCs w:val="21"/>
                <w:highlight w:val="none"/>
              </w:rPr>
            </w:pPr>
            <w:r>
              <w:rPr>
                <w:rFonts w:hint="eastAsia" w:ascii="宋体" w:hAnsi="宋体"/>
                <w:color w:val="auto"/>
                <w:szCs w:val="21"/>
                <w:highlight w:val="none"/>
              </w:rPr>
              <w:t>培训：对买方操作、维护人员的培训方案及计划等方面综合评分。方案详细，可操作性强得4分，方案较详细，可操作性较强得2分，方案粗略，可操作性一般得1分</w:t>
            </w:r>
            <w:r>
              <w:rPr>
                <w:rFonts w:hint="eastAsia" w:ascii="宋体" w:hAnsi="宋体" w:cs="宋体"/>
                <w:color w:val="auto"/>
                <w:szCs w:val="21"/>
                <w:highlight w:val="none"/>
              </w:rPr>
              <w:t>，未提供方案得0分</w:t>
            </w:r>
            <w:r>
              <w:rPr>
                <w:rFonts w:hint="eastAsia" w:ascii="宋体" w:hAnsi="宋体"/>
                <w:color w:val="auto"/>
                <w:szCs w:val="21"/>
                <w:highlight w:val="none"/>
              </w:rPr>
              <w:t>。</w:t>
            </w:r>
          </w:p>
        </w:tc>
      </w:tr>
      <w:tr>
        <w:tblPrEx>
          <w:tblCellMar>
            <w:top w:w="0" w:type="dxa"/>
            <w:left w:w="108" w:type="dxa"/>
            <w:bottom w:w="0" w:type="dxa"/>
            <w:right w:w="108" w:type="dxa"/>
          </w:tblCellMar>
        </w:tblPrEx>
        <w:tc>
          <w:tcPr>
            <w:tcW w:w="14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业绩</w:t>
            </w:r>
          </w:p>
          <w:p>
            <w:pPr>
              <w:spacing w:line="360" w:lineRule="auto"/>
              <w:jc w:val="center"/>
              <w:rPr>
                <w:rFonts w:ascii="宋体" w:hAnsi="宋体"/>
                <w:color w:val="auto"/>
                <w:szCs w:val="21"/>
                <w:highlight w:val="none"/>
              </w:rPr>
            </w:pPr>
            <w:r>
              <w:rPr>
                <w:rFonts w:hint="eastAsia" w:ascii="宋体" w:hAnsi="宋体"/>
                <w:color w:val="auto"/>
                <w:szCs w:val="21"/>
                <w:highlight w:val="none"/>
              </w:rPr>
              <w:t>（6分）</w:t>
            </w:r>
          </w:p>
        </w:tc>
        <w:tc>
          <w:tcPr>
            <w:tcW w:w="7337"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auto"/>
                <w:szCs w:val="21"/>
                <w:highlight w:val="none"/>
              </w:rPr>
            </w:pPr>
            <w:r>
              <w:rPr>
                <w:rFonts w:hint="eastAsia" w:ascii="宋体" w:hAnsi="宋体" w:cs="宋体"/>
                <w:color w:val="auto"/>
                <w:szCs w:val="21"/>
                <w:highlight w:val="none"/>
              </w:rPr>
              <w:t>所投同类产品近三年(2020年1月-2022年12月)的销售业绩。每提供一份有效合同复印件得2分，最多得6分。</w:t>
            </w:r>
            <w:r>
              <w:rPr>
                <w:rFonts w:hint="eastAsia" w:ascii="宋体" w:hAnsi="宋体"/>
                <w:color w:val="auto"/>
                <w:szCs w:val="21"/>
                <w:highlight w:val="none"/>
              </w:rPr>
              <w:t>提供合同复印件加盖公章，原件备查。</w:t>
            </w:r>
          </w:p>
        </w:tc>
      </w:tr>
      <w:tr>
        <w:tblPrEx>
          <w:tblCellMar>
            <w:top w:w="0" w:type="dxa"/>
            <w:left w:w="108" w:type="dxa"/>
            <w:bottom w:w="0" w:type="dxa"/>
            <w:right w:w="108" w:type="dxa"/>
          </w:tblCellMar>
        </w:tblPrEx>
        <w:tc>
          <w:tcPr>
            <w:tcW w:w="1418"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color w:val="auto"/>
                <w:szCs w:val="21"/>
                <w:highlight w:val="none"/>
              </w:rPr>
            </w:pPr>
            <w:r>
              <w:rPr>
                <w:rFonts w:hint="eastAsia" w:ascii="宋体" w:hAnsi="宋体"/>
                <w:color w:val="auto"/>
                <w:szCs w:val="21"/>
                <w:highlight w:val="none"/>
              </w:rPr>
              <w:t>国家政策导向</w:t>
            </w:r>
          </w:p>
          <w:p>
            <w:pPr>
              <w:spacing w:line="360" w:lineRule="auto"/>
              <w:jc w:val="center"/>
              <w:rPr>
                <w:rFonts w:ascii="宋体" w:hAnsi="宋体"/>
                <w:color w:val="auto"/>
                <w:szCs w:val="21"/>
                <w:highlight w:val="none"/>
              </w:rPr>
            </w:pPr>
            <w:r>
              <w:rPr>
                <w:rFonts w:hint="eastAsia" w:ascii="宋体" w:hAnsi="宋体"/>
                <w:color w:val="auto"/>
                <w:szCs w:val="21"/>
                <w:highlight w:val="none"/>
              </w:rPr>
              <w:t>（2分）</w:t>
            </w:r>
          </w:p>
        </w:tc>
        <w:tc>
          <w:tcPr>
            <w:tcW w:w="73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rPr>
            </w:pPr>
            <w:r>
              <w:rPr>
                <w:rFonts w:hint="eastAsia" w:ascii="宋体" w:hAnsi="宋体" w:cs="宋体"/>
                <w:color w:val="auto"/>
                <w:szCs w:val="21"/>
                <w:highlight w:val="none"/>
              </w:rPr>
              <w:t>环境标志产品：投标产品有《环境标志产品政府采购品目清单》内产品，并提供参与实施政府采购环境标志产品认证机构出具的认证证书得1分。</w:t>
            </w:r>
          </w:p>
        </w:tc>
      </w:tr>
      <w:tr>
        <w:tblPrEx>
          <w:tblCellMar>
            <w:top w:w="0" w:type="dxa"/>
            <w:left w:w="108" w:type="dxa"/>
            <w:bottom w:w="0" w:type="dxa"/>
            <w:right w:w="108" w:type="dxa"/>
          </w:tblCellMar>
        </w:tblPrEx>
        <w:tc>
          <w:tcPr>
            <w:tcW w:w="1418" w:type="dxa"/>
            <w:vMerge w:val="continue"/>
            <w:tcBorders>
              <w:left w:val="single" w:color="auto" w:sz="4" w:space="0"/>
              <w:bottom w:val="single" w:color="auto" w:sz="4" w:space="0"/>
              <w:right w:val="single" w:color="auto" w:sz="4" w:space="0"/>
            </w:tcBorders>
            <w:vAlign w:val="center"/>
          </w:tcPr>
          <w:p>
            <w:pPr>
              <w:widowControl/>
              <w:spacing w:line="360" w:lineRule="auto"/>
              <w:jc w:val="center"/>
              <w:rPr>
                <w:rFonts w:ascii="宋体" w:hAnsi="宋体"/>
                <w:color w:val="auto"/>
                <w:szCs w:val="21"/>
                <w:highlight w:val="none"/>
              </w:rPr>
            </w:pPr>
          </w:p>
        </w:tc>
        <w:tc>
          <w:tcPr>
            <w:tcW w:w="733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ascii="宋体" w:hAnsi="宋体"/>
                <w:color w:val="auto"/>
                <w:szCs w:val="21"/>
                <w:highlight w:val="none"/>
              </w:rPr>
            </w:pPr>
            <w:r>
              <w:rPr>
                <w:rFonts w:hint="eastAsia" w:ascii="宋体" w:hAnsi="宋体" w:cs="宋体"/>
                <w:color w:val="auto"/>
                <w:szCs w:val="21"/>
                <w:highlight w:val="none"/>
              </w:rPr>
              <w:t>节能产品：投标产品有《节能产品政府采购品目清单》内产品，并提供参与实施政府采购节能产品认证机构出具的认证证书得1分。</w:t>
            </w:r>
          </w:p>
        </w:tc>
      </w:tr>
    </w:tbl>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说明：</w:t>
      </w:r>
    </w:p>
    <w:p>
      <w:pPr>
        <w:numPr>
          <w:ilvl w:val="255"/>
          <w:numId w:val="0"/>
        </w:num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1.所有认证、证明和业绩均以有效清晰的证明文件的复印件为依据，原件备查。</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2.小微企业价格扣除</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2.1对于专门面向中小企业或小型、微型企业的项目，只面向中小企业或小型、微型企业采购。对于非专门面向中小企业的项目，对小型和微型企业的价格给予10%的扣除，用扣除后的价格参与评审。</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2.2大中型企业和其他自然人、法人或者其他组织与小型、微型企业组成联合体共同参加投标，如果联合协议中约定，小型、微型企业的协议合同金额占到联合体协议合同总金额30%以上的，给予联合体4%的价格扣除。联合体各方均为小型、微型企业的，联合体视同为小型、微型企业给予10%价格扣除，用扣除后的价格参与评审。组成联合体的大中型企业和其他自然人、法人或者其他组织，与小型、微型企业之间不得存在投资关系。</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3.监狱和戒毒企业的价格扣除</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3.1 本项目对监狱和戒毒企业，给予10%的价格扣除，用扣除后的价格参与评审。</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3.2 监狱企业需提供由省级以上监狱管理局、戒毒管理局（含新疆生产建设兵团）出具的属于监狱企业的证明文件。</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3.3 监狱企业标准请参照《关于政府采购支持监狱企业发展有关问题的通知》（财库〔2014〕68号）。</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4.残疾人福利性单位的价格扣除</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4.1 本项目对残疾人福利性单位，给予10%的价格扣除，用扣除后的价格参与评审。</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4.2 残疾人福利性单位需提供《残疾人福利性单位声明函》</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4.3 残疾人福利性单位标准请参照《关于促进残疾人就业政府采购政策的通知》（财库〔2017〕141号）。</w:t>
      </w:r>
    </w:p>
    <w:p>
      <w:pPr>
        <w:spacing w:line="360" w:lineRule="auto"/>
        <w:ind w:firstLine="442" w:firstLineChars="200"/>
        <w:rPr>
          <w:rFonts w:asciiTheme="minorEastAsia" w:hAnsiTheme="minorEastAsia" w:eastAsiaTheme="minorEastAsia" w:cstheme="minorEastAsia"/>
          <w:b/>
          <w:color w:val="auto"/>
          <w:sz w:val="22"/>
          <w:szCs w:val="28"/>
          <w:highlight w:val="none"/>
        </w:rPr>
      </w:pPr>
      <w:r>
        <w:rPr>
          <w:rFonts w:hint="eastAsia" w:asciiTheme="minorEastAsia" w:hAnsiTheme="minorEastAsia" w:eastAsiaTheme="minorEastAsia" w:cstheme="minorEastAsia"/>
          <w:b/>
          <w:color w:val="auto"/>
          <w:sz w:val="22"/>
          <w:szCs w:val="28"/>
          <w:highlight w:val="none"/>
        </w:rPr>
        <w:t>5. 监狱企业、残疾人福利性单位属于小型、微型企业的，不重复享受政策。</w:t>
      </w:r>
    </w:p>
    <w:p>
      <w:pPr>
        <w:rPr>
          <w:rFonts w:asciiTheme="minorEastAsia" w:hAnsiTheme="minorEastAsia" w:eastAsiaTheme="minorEastAsia" w:cstheme="minorEastAsia"/>
          <w:color w:val="auto"/>
          <w:kern w:val="0"/>
          <w:highlight w:val="none"/>
        </w:rPr>
      </w:pPr>
      <w:bookmarkStart w:id="6" w:name="_Toc43902851"/>
      <w:r>
        <w:rPr>
          <w:rFonts w:hint="eastAsia" w:asciiTheme="minorEastAsia" w:hAnsiTheme="minorEastAsia" w:eastAsiaTheme="minorEastAsia" w:cstheme="minorEastAsia"/>
          <w:color w:val="auto"/>
          <w:kern w:val="0"/>
          <w:highlight w:val="none"/>
        </w:rPr>
        <w:br w:type="page"/>
      </w:r>
    </w:p>
    <w:p>
      <w:pPr>
        <w:pStyle w:val="3"/>
        <w:numPr>
          <w:ilvl w:val="0"/>
          <w:numId w:val="4"/>
        </w:numPr>
        <w:rPr>
          <w:rFonts w:asciiTheme="minorEastAsia" w:hAnsiTheme="minorEastAsia" w:eastAsiaTheme="minorEastAsia" w:cstheme="minorEastAsia"/>
          <w:color w:val="auto"/>
          <w:kern w:val="0"/>
          <w:highlight w:val="none"/>
        </w:rPr>
      </w:pPr>
      <w:r>
        <w:rPr>
          <w:rFonts w:hint="eastAsia" w:asciiTheme="minorEastAsia" w:hAnsiTheme="minorEastAsia" w:eastAsiaTheme="minorEastAsia" w:cstheme="minorEastAsia"/>
          <w:color w:val="auto"/>
          <w:kern w:val="0"/>
          <w:highlight w:val="none"/>
        </w:rPr>
        <w:t>采购需求</w:t>
      </w:r>
      <w:bookmarkEnd w:id="6"/>
      <w:bookmarkStart w:id="7" w:name="_Toc481057147"/>
      <w:bookmarkStart w:id="8" w:name="_Toc43902852"/>
    </w:p>
    <w:p>
      <w:pPr>
        <w:spacing w:line="360" w:lineRule="auto"/>
        <w:rPr>
          <w:rFonts w:ascii="宋体" w:hAnsi="宋体"/>
          <w:b/>
          <w:color w:val="auto"/>
          <w:sz w:val="24"/>
          <w:highlight w:val="none"/>
        </w:rPr>
      </w:pPr>
      <w:r>
        <w:rPr>
          <w:rFonts w:ascii="宋体" w:hAnsi="宋体"/>
          <w:b/>
          <w:color w:val="auto"/>
          <w:sz w:val="24"/>
          <w:highlight w:val="none"/>
        </w:rPr>
        <w:t>一、投标产品须注明生产厂家及型号规格。</w:t>
      </w:r>
    </w:p>
    <w:p>
      <w:pPr>
        <w:spacing w:line="360" w:lineRule="auto"/>
        <w:rPr>
          <w:rFonts w:ascii="宋体" w:hAnsi="宋体"/>
          <w:b/>
          <w:color w:val="auto"/>
          <w:sz w:val="24"/>
          <w:highlight w:val="none"/>
        </w:rPr>
      </w:pPr>
      <w:r>
        <w:rPr>
          <w:rFonts w:ascii="宋体" w:hAnsi="宋体"/>
          <w:b/>
          <w:color w:val="auto"/>
          <w:sz w:val="24"/>
          <w:highlight w:val="none"/>
        </w:rPr>
        <w:t>二、技术要求：</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系统构成：晶圆激光快速退火系统一台，相关备件及服务</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★兼容</w:t>
      </w:r>
      <w:r>
        <w:rPr>
          <w:rFonts w:ascii="宋体" w:hAnsi="宋体"/>
          <w:color w:val="auto"/>
          <w:sz w:val="24"/>
          <w:highlight w:val="none"/>
        </w:rPr>
        <w:t>4/6/8</w:t>
      </w:r>
      <w:r>
        <w:rPr>
          <w:rFonts w:hint="eastAsia" w:ascii="宋体" w:hAnsi="宋体"/>
          <w:color w:val="auto"/>
          <w:sz w:val="24"/>
          <w:highlight w:val="none"/>
        </w:rPr>
        <w:t>英寸碳化硅晶圆及不规则小片，兼容硅片及其他材料晶圆片</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碳化硅晶圆厚度最薄可以到80um</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提供紫外、绿光两种选择，机台可以配置一种波长激光，也可以同时配置两种波长</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▲紫外激光能量密度≥9J/cm²；绿光激光能量密度≥12J/cm²</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★激光输出稳定性≤1%</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紫外或绿光激光器的标称寿命＞15000h</w:t>
      </w:r>
    </w:p>
    <w:p>
      <w:pPr>
        <w:pStyle w:val="189"/>
        <w:numPr>
          <w:ilvl w:val="0"/>
          <w:numId w:val="5"/>
        </w:numPr>
        <w:spacing w:line="360" w:lineRule="auto"/>
        <w:ind w:firstLineChars="0"/>
        <w:rPr>
          <w:rFonts w:ascii="宋体" w:hAnsi="宋体"/>
          <w:color w:val="auto"/>
          <w:sz w:val="24"/>
          <w:highlight w:val="none"/>
        </w:rPr>
      </w:pPr>
      <w:r>
        <w:rPr>
          <w:rStyle w:val="205"/>
          <w:rFonts w:hint="default"/>
          <w:color w:val="auto"/>
          <w:highlight w:val="none"/>
        </w:rPr>
        <w:t>重复精度≤1</w:t>
      </w:r>
      <w:r>
        <w:rPr>
          <w:rStyle w:val="205"/>
          <w:color w:val="auto"/>
          <w:highlight w:val="none"/>
        </w:rPr>
        <w:t>um</w:t>
      </w:r>
      <w:r>
        <w:rPr>
          <w:rStyle w:val="205"/>
          <w:rFonts w:hint="default"/>
          <w:color w:val="auto"/>
          <w:highlight w:val="none"/>
        </w:rPr>
        <w:t>,运动速度均匀性＜0.2%</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★非退火面温度&lt;</w:t>
      </w:r>
      <w:r>
        <w:rPr>
          <w:rFonts w:ascii="宋体" w:hAnsi="宋体"/>
          <w:color w:val="auto"/>
          <w:sz w:val="24"/>
          <w:highlight w:val="none"/>
        </w:rPr>
        <w:t>120</w:t>
      </w:r>
      <w:r>
        <w:rPr>
          <w:rFonts w:hint="eastAsia" w:ascii="宋体" w:hAnsi="宋体"/>
          <w:color w:val="auto"/>
          <w:sz w:val="24"/>
          <w:highlight w:val="none"/>
        </w:rPr>
        <w:t>℃</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典型扫描时间180 sec/p @4inch</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▲具备小型化密封腔室，氧含量最低可控≤10PPM</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▲碳化硅衬底比电阻接触率≤ 10</w:t>
      </w:r>
      <w:r>
        <w:rPr>
          <w:rFonts w:hint="eastAsia" w:ascii="宋体" w:hAnsi="宋体"/>
          <w:color w:val="auto"/>
          <w:sz w:val="24"/>
          <w:highlight w:val="none"/>
          <w:vertAlign w:val="superscript"/>
        </w:rPr>
        <w:t>-5</w:t>
      </w:r>
      <w:r>
        <w:rPr>
          <w:rFonts w:hint="eastAsia" w:ascii="宋体" w:hAnsi="宋体"/>
          <w:color w:val="auto"/>
          <w:sz w:val="24"/>
          <w:highlight w:val="none"/>
        </w:rPr>
        <w:t>Ωcm²</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主机提供退火工艺菜单</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提供Simulation基础参数调节服务</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可实现分区扫描退火，可通过软件设定扇形分区或条状分区</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提供专用分析软件并终身免费升级</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▲支持合作调试金刚石和氧化镓衬底的欧姆接触工艺</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具备</w:t>
      </w:r>
      <w:r>
        <w:rPr>
          <w:rFonts w:ascii="宋体" w:hAnsi="宋体"/>
          <w:color w:val="auto"/>
          <w:sz w:val="24"/>
          <w:highlight w:val="none"/>
        </w:rPr>
        <w:t>24</w:t>
      </w:r>
      <w:r>
        <w:rPr>
          <w:rFonts w:hint="eastAsia" w:ascii="宋体" w:hAnsi="宋体"/>
          <w:color w:val="auto"/>
          <w:sz w:val="24"/>
          <w:highlight w:val="none"/>
        </w:rPr>
        <w:t>小时上门服务的本地售后服务组织机构和组织</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具备常年的备品备件以应对客户需求</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具备向不少于</w:t>
      </w:r>
      <w:r>
        <w:rPr>
          <w:rFonts w:ascii="宋体" w:hAnsi="宋体"/>
          <w:color w:val="auto"/>
          <w:sz w:val="24"/>
          <w:highlight w:val="none"/>
        </w:rPr>
        <w:t>5</w:t>
      </w:r>
      <w:r>
        <w:rPr>
          <w:rFonts w:hint="eastAsia" w:ascii="宋体" w:hAnsi="宋体"/>
          <w:color w:val="auto"/>
          <w:sz w:val="24"/>
          <w:highlight w:val="none"/>
        </w:rPr>
        <w:t>条产线出货及提供运维的经验，提供单位及联系人</w:t>
      </w:r>
    </w:p>
    <w:p>
      <w:pPr>
        <w:pStyle w:val="189"/>
        <w:numPr>
          <w:ilvl w:val="0"/>
          <w:numId w:val="5"/>
        </w:numPr>
        <w:spacing w:line="360" w:lineRule="auto"/>
        <w:ind w:firstLineChars="0"/>
        <w:rPr>
          <w:rFonts w:ascii="宋体" w:hAnsi="宋体"/>
          <w:color w:val="auto"/>
          <w:sz w:val="24"/>
          <w:highlight w:val="none"/>
        </w:rPr>
      </w:pPr>
      <w:r>
        <w:rPr>
          <w:rFonts w:hint="eastAsia" w:ascii="宋体" w:hAnsi="宋体"/>
          <w:color w:val="auto"/>
          <w:sz w:val="24"/>
          <w:highlight w:val="none"/>
        </w:rPr>
        <w:t>所有指标需要提供测试报告</w:t>
      </w:r>
    </w:p>
    <w:p>
      <w:pPr>
        <w:pStyle w:val="148"/>
        <w:spacing w:line="360" w:lineRule="auto"/>
        <w:rPr>
          <w:rFonts w:asciiTheme="minorEastAsia" w:hAnsiTheme="minorEastAsia" w:eastAsiaTheme="minorEastAsia"/>
          <w:color w:val="auto"/>
          <w:sz w:val="24"/>
          <w:szCs w:val="24"/>
          <w:highlight w:val="none"/>
        </w:rPr>
      </w:pPr>
      <w:r>
        <w:rPr>
          <w:rFonts w:hint="eastAsia" w:ascii="宋体" w:hAnsi="宋体"/>
          <w:color w:val="auto"/>
          <w:sz w:val="21"/>
          <w:szCs w:val="21"/>
          <w:highlight w:val="none"/>
        </w:rPr>
        <w:t xml:space="preserve">  </w:t>
      </w:r>
      <w:r>
        <w:rPr>
          <w:rFonts w:ascii="宋体" w:hAnsi="宋体" w:cs="宋体"/>
          <w:color w:val="auto"/>
          <w:sz w:val="24"/>
          <w:highlight w:val="none"/>
        </w:rPr>
        <w:br w:type="page"/>
      </w:r>
      <w:r>
        <w:rPr>
          <w:rFonts w:asciiTheme="minorEastAsia" w:hAnsiTheme="minorEastAsia" w:eastAsiaTheme="minorEastAsia"/>
          <w:color w:val="auto"/>
          <w:sz w:val="24"/>
          <w:szCs w:val="24"/>
          <w:highlight w:val="none"/>
        </w:rPr>
        <w:t>三、其他内容</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1．具有独立法人、提供加载统一社会信用代码的营业执照。</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2．提供公司简介及与本采购类似的近期业绩情况（提供项目合同复印件等相关资料）。</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3．提供公司法人投标委托书原件（需有法人及投标人签字并加盖公章），以及被委托人身份证复印件（投标时投标人需要带上身份证原件备查）。</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4．按本招标文件所列技术要求报价。报价中应包括单价、复价、总价，并都应为最终成交价。</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5．交货及安装地点为东南大学无锡校区，设备的搬运、安装调试等不另行付费。</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6．交货期：合同签订后12个月内设备安装调试合格。</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7．付款方式：合同签订后预付30%，余款70%货到验收合格后一次性付清，结算时需提供高限额的发票。</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8．投标公司需提供质量保证承诺及维修响应承诺，设备质量保证期要求2年及以上全免费上门质保，设备故障报修后24小时内响应，质保期后供货商应负责上门维修。</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9．所有报价及承诺事项须加盖公司印章。</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10．投标人自行承担所有参与投标的有关费用。</w:t>
      </w:r>
    </w:p>
    <w:p>
      <w:pPr>
        <w:pStyle w:val="148"/>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11．投标人一旦购买了本次采购文件并参加投标，即被认为接受了本次采购文件的所有条件和规定。</w:t>
      </w:r>
    </w:p>
    <w:p>
      <w:pPr>
        <w:pStyle w:val="148"/>
        <w:spacing w:line="360" w:lineRule="auto"/>
        <w:ind w:left="210" w:leftChars="100"/>
        <w:rPr>
          <w:rFonts w:asciiTheme="minorEastAsia" w:hAnsiTheme="minorEastAsia" w:eastAsiaTheme="minorEastAsia"/>
          <w:color w:val="auto"/>
          <w:sz w:val="24"/>
          <w:szCs w:val="24"/>
          <w:highlight w:val="none"/>
        </w:rPr>
      </w:pPr>
    </w:p>
    <w:p>
      <w:pPr>
        <w:pStyle w:val="148"/>
        <w:spacing w:line="360" w:lineRule="auto"/>
        <w:ind w:left="210" w:leftChars="100"/>
        <w:rPr>
          <w:rFonts w:asciiTheme="minorEastAsia" w:hAnsiTheme="minorEastAsia" w:eastAsiaTheme="minorEastAsia"/>
          <w:color w:val="auto"/>
          <w:sz w:val="24"/>
          <w:szCs w:val="24"/>
          <w:highlight w:val="none"/>
        </w:rPr>
        <w:sectPr>
          <w:footerReference r:id="rId4" w:type="first"/>
          <w:footerReference r:id="rId3" w:type="default"/>
          <w:pgSz w:w="11906" w:h="16838"/>
          <w:pgMar w:top="1440" w:right="1800" w:bottom="1440" w:left="1600" w:header="851" w:footer="992" w:gutter="0"/>
          <w:cols w:space="720" w:num="1"/>
          <w:titlePg/>
          <w:docGrid w:type="lines" w:linePitch="312" w:charSpace="0"/>
        </w:sectPr>
      </w:pPr>
    </w:p>
    <w:p>
      <w:pPr>
        <w:pStyle w:val="3"/>
        <w:numPr>
          <w:ilvl w:val="0"/>
          <w:numId w:val="4"/>
        </w:numP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主要条款及格式</w:t>
      </w:r>
      <w:bookmarkEnd w:id="7"/>
      <w:bookmarkEnd w:id="8"/>
    </w:p>
    <w:p>
      <w:pPr>
        <w:spacing w:line="360" w:lineRule="auto"/>
        <w:jc w:val="center"/>
        <w:rPr>
          <w:rFonts w:ascii="宋体" w:hAnsi="宋体"/>
          <w:b/>
          <w:color w:val="auto"/>
          <w:sz w:val="36"/>
          <w:szCs w:val="36"/>
          <w:highlight w:val="none"/>
        </w:rPr>
      </w:pPr>
      <w:r>
        <w:rPr>
          <w:rFonts w:hint="eastAsia" w:ascii="宋体" w:hAnsi="宋体"/>
          <w:b/>
          <w:color w:val="auto"/>
          <w:sz w:val="36"/>
          <w:szCs w:val="36"/>
          <w:highlight w:val="none"/>
        </w:rPr>
        <w:t>东南大学物资设备采购合同</w:t>
      </w:r>
    </w:p>
    <w:p>
      <w:pPr>
        <w:spacing w:line="360" w:lineRule="auto"/>
        <w:ind w:right="420"/>
        <w:rPr>
          <w:b/>
          <w:bCs/>
          <w:color w:val="auto"/>
          <w:kern w:val="44"/>
          <w:szCs w:val="21"/>
          <w:highlight w:val="none"/>
        </w:rPr>
      </w:pPr>
      <w:r>
        <w:rPr>
          <w:rFonts w:hint="eastAsia"/>
          <w:b/>
          <w:bCs/>
          <w:color w:val="auto"/>
          <w:kern w:val="44"/>
          <w:szCs w:val="21"/>
          <w:highlight w:val="none"/>
        </w:rPr>
        <w:t xml:space="preserve">                             （ 适用内贸 ）进口产品合同另行签订          </w:t>
      </w:r>
    </w:p>
    <w:p>
      <w:pPr>
        <w:spacing w:line="360" w:lineRule="auto"/>
        <w:ind w:right="420"/>
        <w:rPr>
          <w:b/>
          <w:bCs/>
          <w:color w:val="auto"/>
          <w:kern w:val="44"/>
          <w:szCs w:val="21"/>
          <w:highlight w:val="none"/>
        </w:rPr>
      </w:pPr>
      <w:r>
        <w:rPr>
          <w:rFonts w:hint="eastAsia"/>
          <w:b/>
          <w:bCs/>
          <w:color w:val="auto"/>
          <w:kern w:val="44"/>
          <w:szCs w:val="21"/>
          <w:highlight w:val="none"/>
        </w:rPr>
        <w:t xml:space="preserve"> 合同编号：</w:t>
      </w:r>
    </w:p>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甲方（采购人）：东南大学</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乙方（供应商）：                           </w:t>
      </w:r>
    </w:p>
    <w:p>
      <w:pPr>
        <w:spacing w:line="360" w:lineRule="auto"/>
        <w:rPr>
          <w:rFonts w:ascii="宋体" w:hAnsi="宋体" w:cs="宋体"/>
          <w:color w:val="auto"/>
          <w:sz w:val="24"/>
          <w:highlight w:val="none"/>
        </w:rPr>
      </w:pP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依据《民法典》、《中华人民共和国政府采购法》、《中华人民共和国政府采购法实施条例》、《政府采购货物和服务招标投标管理办法》等有关政府采购法律法规的规定，现依照采购结果（采购文件编号：\项目编号：     ），甲乙双方达成如下协议：</w:t>
      </w:r>
    </w:p>
    <w:p>
      <w:pPr>
        <w:wordWrap w:val="0"/>
        <w:spacing w:before="156" w:beforeLines="50" w:after="156" w:afterLines="5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第一条 采购标的及价款</w:t>
      </w:r>
    </w:p>
    <w:p>
      <w:pPr>
        <w:wordWrap w:val="0"/>
        <w:spacing w:after="156"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 本次甲方采购物资设备为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，合同总金额含税价人民币大写</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元整（¥ </w:t>
      </w:r>
      <w:r>
        <w:rPr>
          <w:rFonts w:hint="eastAsia" w:ascii="宋体" w:hAnsi="宋体" w:cs="宋体"/>
          <w:color w:val="auto"/>
          <w:sz w:val="24"/>
          <w:highlight w:val="none"/>
          <w:u w:val="single"/>
        </w:rPr>
        <w:t xml:space="preserve">      .00  </w:t>
      </w:r>
      <w:r>
        <w:rPr>
          <w:rFonts w:hint="eastAsia" w:ascii="宋体" w:hAnsi="宋体" w:cs="宋体"/>
          <w:color w:val="auto"/>
          <w:sz w:val="24"/>
          <w:highlight w:val="none"/>
        </w:rPr>
        <w:t>元），具体如下列清单所示：</w:t>
      </w:r>
    </w:p>
    <w:tbl>
      <w:tblPr>
        <w:tblStyle w:val="46"/>
        <w:tblpPr w:leftFromText="180" w:rightFromText="180" w:vertAnchor="text" w:horzAnchor="margin" w:tblpY="4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819"/>
        <w:gridCol w:w="1785"/>
        <w:gridCol w:w="945"/>
        <w:gridCol w:w="735"/>
        <w:gridCol w:w="1050"/>
        <w:gridCol w:w="105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180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物资设备名称</w:t>
            </w:r>
          </w:p>
        </w:tc>
        <w:tc>
          <w:tcPr>
            <w:tcW w:w="81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品牌</w:t>
            </w:r>
          </w:p>
        </w:tc>
        <w:tc>
          <w:tcPr>
            <w:tcW w:w="1785"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型号、配置</w:t>
            </w:r>
          </w:p>
        </w:tc>
        <w:tc>
          <w:tcPr>
            <w:tcW w:w="945"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产地</w:t>
            </w:r>
          </w:p>
        </w:tc>
        <w:tc>
          <w:tcPr>
            <w:tcW w:w="735"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数量</w:t>
            </w:r>
          </w:p>
        </w:tc>
        <w:tc>
          <w:tcPr>
            <w:tcW w:w="105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单价</w:t>
            </w:r>
          </w:p>
        </w:tc>
        <w:tc>
          <w:tcPr>
            <w:tcW w:w="105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金额</w:t>
            </w:r>
          </w:p>
        </w:tc>
        <w:tc>
          <w:tcPr>
            <w:tcW w:w="1260"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具体用户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pPr>
              <w:spacing w:line="360" w:lineRule="auto"/>
              <w:rPr>
                <w:rFonts w:ascii="宋体" w:hAnsi="宋体" w:cs="宋体"/>
                <w:color w:val="auto"/>
                <w:sz w:val="24"/>
                <w:highlight w:val="none"/>
              </w:rPr>
            </w:pPr>
          </w:p>
        </w:tc>
        <w:tc>
          <w:tcPr>
            <w:tcW w:w="819" w:type="dxa"/>
          </w:tcPr>
          <w:p>
            <w:pPr>
              <w:spacing w:line="360" w:lineRule="auto"/>
              <w:rPr>
                <w:rFonts w:ascii="宋体" w:hAnsi="宋体" w:cs="宋体"/>
                <w:color w:val="auto"/>
                <w:sz w:val="24"/>
                <w:highlight w:val="none"/>
              </w:rPr>
            </w:pPr>
          </w:p>
        </w:tc>
        <w:tc>
          <w:tcPr>
            <w:tcW w:w="1785" w:type="dxa"/>
            <w:vAlign w:val="center"/>
          </w:tcPr>
          <w:p>
            <w:pPr>
              <w:spacing w:line="360" w:lineRule="auto"/>
              <w:rPr>
                <w:rFonts w:ascii="宋体" w:hAnsi="宋体" w:cs="宋体"/>
                <w:color w:val="auto"/>
                <w:sz w:val="24"/>
                <w:highlight w:val="none"/>
              </w:rPr>
            </w:pPr>
          </w:p>
        </w:tc>
        <w:tc>
          <w:tcPr>
            <w:tcW w:w="945" w:type="dxa"/>
          </w:tcPr>
          <w:p>
            <w:pPr>
              <w:spacing w:line="360" w:lineRule="auto"/>
              <w:rPr>
                <w:rFonts w:ascii="宋体" w:hAnsi="宋体" w:cs="宋体"/>
                <w:color w:val="auto"/>
                <w:sz w:val="24"/>
                <w:highlight w:val="none"/>
              </w:rPr>
            </w:pPr>
          </w:p>
        </w:tc>
        <w:tc>
          <w:tcPr>
            <w:tcW w:w="735" w:type="dxa"/>
          </w:tcPr>
          <w:p>
            <w:pPr>
              <w:spacing w:line="360" w:lineRule="auto"/>
              <w:rPr>
                <w:rFonts w:ascii="宋体" w:hAnsi="宋体" w:cs="宋体"/>
                <w:color w:val="auto"/>
                <w:sz w:val="24"/>
                <w:highlight w:val="none"/>
              </w:rPr>
            </w:pPr>
          </w:p>
        </w:tc>
        <w:tc>
          <w:tcPr>
            <w:tcW w:w="1050" w:type="dxa"/>
          </w:tcPr>
          <w:p>
            <w:pPr>
              <w:spacing w:line="360" w:lineRule="auto"/>
              <w:rPr>
                <w:rFonts w:ascii="宋体" w:hAnsi="宋体" w:cs="宋体"/>
                <w:color w:val="auto"/>
                <w:sz w:val="24"/>
                <w:highlight w:val="none"/>
              </w:rPr>
            </w:pPr>
          </w:p>
        </w:tc>
        <w:tc>
          <w:tcPr>
            <w:tcW w:w="1050" w:type="dxa"/>
          </w:tcPr>
          <w:p>
            <w:pPr>
              <w:spacing w:line="360" w:lineRule="auto"/>
              <w:rPr>
                <w:rFonts w:ascii="宋体" w:hAnsi="宋体" w:cs="宋体"/>
                <w:color w:val="auto"/>
                <w:sz w:val="24"/>
                <w:highlight w:val="none"/>
              </w:rPr>
            </w:pPr>
          </w:p>
        </w:tc>
        <w:tc>
          <w:tcPr>
            <w:tcW w:w="1260" w:type="dxa"/>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pPr>
              <w:spacing w:line="360" w:lineRule="auto"/>
              <w:rPr>
                <w:rFonts w:ascii="宋体" w:hAnsi="宋体" w:cs="宋体"/>
                <w:color w:val="auto"/>
                <w:sz w:val="24"/>
                <w:highlight w:val="none"/>
              </w:rPr>
            </w:pPr>
          </w:p>
        </w:tc>
        <w:tc>
          <w:tcPr>
            <w:tcW w:w="819" w:type="dxa"/>
          </w:tcPr>
          <w:p>
            <w:pPr>
              <w:spacing w:line="360" w:lineRule="auto"/>
              <w:rPr>
                <w:rFonts w:ascii="宋体" w:hAnsi="宋体" w:cs="宋体"/>
                <w:color w:val="auto"/>
                <w:sz w:val="24"/>
                <w:highlight w:val="none"/>
              </w:rPr>
            </w:pPr>
          </w:p>
        </w:tc>
        <w:tc>
          <w:tcPr>
            <w:tcW w:w="1785" w:type="dxa"/>
            <w:vAlign w:val="center"/>
          </w:tcPr>
          <w:p>
            <w:pPr>
              <w:spacing w:line="360" w:lineRule="auto"/>
              <w:rPr>
                <w:rFonts w:ascii="宋体" w:hAnsi="宋体" w:cs="宋体"/>
                <w:color w:val="auto"/>
                <w:sz w:val="24"/>
                <w:highlight w:val="none"/>
              </w:rPr>
            </w:pPr>
          </w:p>
        </w:tc>
        <w:tc>
          <w:tcPr>
            <w:tcW w:w="945" w:type="dxa"/>
          </w:tcPr>
          <w:p>
            <w:pPr>
              <w:spacing w:line="360" w:lineRule="auto"/>
              <w:rPr>
                <w:rFonts w:ascii="宋体" w:hAnsi="宋体" w:cs="宋体"/>
                <w:color w:val="auto"/>
                <w:sz w:val="24"/>
                <w:highlight w:val="none"/>
              </w:rPr>
            </w:pPr>
          </w:p>
        </w:tc>
        <w:tc>
          <w:tcPr>
            <w:tcW w:w="735" w:type="dxa"/>
          </w:tcPr>
          <w:p>
            <w:pPr>
              <w:spacing w:line="360" w:lineRule="auto"/>
              <w:rPr>
                <w:rFonts w:ascii="宋体" w:hAnsi="宋体" w:cs="宋体"/>
                <w:color w:val="auto"/>
                <w:sz w:val="24"/>
                <w:highlight w:val="none"/>
              </w:rPr>
            </w:pPr>
          </w:p>
        </w:tc>
        <w:tc>
          <w:tcPr>
            <w:tcW w:w="1050" w:type="dxa"/>
          </w:tcPr>
          <w:p>
            <w:pPr>
              <w:spacing w:line="360" w:lineRule="auto"/>
              <w:rPr>
                <w:rFonts w:ascii="宋体" w:hAnsi="宋体" w:cs="宋体"/>
                <w:color w:val="auto"/>
                <w:sz w:val="24"/>
                <w:highlight w:val="none"/>
              </w:rPr>
            </w:pPr>
          </w:p>
        </w:tc>
        <w:tc>
          <w:tcPr>
            <w:tcW w:w="1050" w:type="dxa"/>
          </w:tcPr>
          <w:p>
            <w:pPr>
              <w:spacing w:line="360" w:lineRule="auto"/>
              <w:rPr>
                <w:rFonts w:ascii="宋体" w:hAnsi="宋体" w:cs="宋体"/>
                <w:color w:val="auto"/>
                <w:sz w:val="24"/>
                <w:highlight w:val="none"/>
              </w:rPr>
            </w:pPr>
          </w:p>
        </w:tc>
        <w:tc>
          <w:tcPr>
            <w:tcW w:w="1260" w:type="dxa"/>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809" w:type="dxa"/>
          </w:tcPr>
          <w:p>
            <w:pPr>
              <w:spacing w:line="360" w:lineRule="auto"/>
              <w:rPr>
                <w:rFonts w:ascii="宋体" w:hAnsi="宋体" w:cs="宋体"/>
                <w:color w:val="auto"/>
                <w:sz w:val="24"/>
                <w:highlight w:val="none"/>
              </w:rPr>
            </w:pPr>
          </w:p>
        </w:tc>
        <w:tc>
          <w:tcPr>
            <w:tcW w:w="819" w:type="dxa"/>
          </w:tcPr>
          <w:p>
            <w:pPr>
              <w:spacing w:line="360" w:lineRule="auto"/>
              <w:rPr>
                <w:rFonts w:ascii="宋体" w:hAnsi="宋体" w:cs="宋体"/>
                <w:color w:val="auto"/>
                <w:sz w:val="24"/>
                <w:highlight w:val="none"/>
              </w:rPr>
            </w:pPr>
          </w:p>
        </w:tc>
        <w:tc>
          <w:tcPr>
            <w:tcW w:w="1785" w:type="dxa"/>
            <w:vAlign w:val="center"/>
          </w:tcPr>
          <w:p>
            <w:pPr>
              <w:spacing w:line="360" w:lineRule="auto"/>
              <w:rPr>
                <w:rFonts w:ascii="宋体" w:hAnsi="宋体" w:cs="宋体"/>
                <w:color w:val="auto"/>
                <w:sz w:val="24"/>
                <w:highlight w:val="none"/>
              </w:rPr>
            </w:pPr>
          </w:p>
        </w:tc>
        <w:tc>
          <w:tcPr>
            <w:tcW w:w="945" w:type="dxa"/>
          </w:tcPr>
          <w:p>
            <w:pPr>
              <w:spacing w:line="360" w:lineRule="auto"/>
              <w:rPr>
                <w:rFonts w:ascii="宋体" w:hAnsi="宋体" w:cs="宋体"/>
                <w:color w:val="auto"/>
                <w:sz w:val="24"/>
                <w:highlight w:val="none"/>
              </w:rPr>
            </w:pPr>
          </w:p>
        </w:tc>
        <w:tc>
          <w:tcPr>
            <w:tcW w:w="735" w:type="dxa"/>
          </w:tcPr>
          <w:p>
            <w:pPr>
              <w:spacing w:line="360" w:lineRule="auto"/>
              <w:rPr>
                <w:rFonts w:ascii="宋体" w:hAnsi="宋体" w:cs="宋体"/>
                <w:color w:val="auto"/>
                <w:sz w:val="24"/>
                <w:highlight w:val="none"/>
              </w:rPr>
            </w:pPr>
          </w:p>
        </w:tc>
        <w:tc>
          <w:tcPr>
            <w:tcW w:w="1050" w:type="dxa"/>
          </w:tcPr>
          <w:p>
            <w:pPr>
              <w:spacing w:line="360" w:lineRule="auto"/>
              <w:rPr>
                <w:rFonts w:ascii="宋体" w:hAnsi="宋体" w:cs="宋体"/>
                <w:color w:val="auto"/>
                <w:sz w:val="24"/>
                <w:highlight w:val="none"/>
              </w:rPr>
            </w:pPr>
          </w:p>
        </w:tc>
        <w:tc>
          <w:tcPr>
            <w:tcW w:w="1050" w:type="dxa"/>
          </w:tcPr>
          <w:p>
            <w:pPr>
              <w:spacing w:line="360" w:lineRule="auto"/>
              <w:rPr>
                <w:rFonts w:ascii="宋体" w:hAnsi="宋体" w:cs="宋体"/>
                <w:color w:val="auto"/>
                <w:sz w:val="24"/>
                <w:highlight w:val="none"/>
              </w:rPr>
            </w:pPr>
          </w:p>
        </w:tc>
        <w:tc>
          <w:tcPr>
            <w:tcW w:w="1260" w:type="dxa"/>
          </w:tcPr>
          <w:p>
            <w:pPr>
              <w:spacing w:line="360" w:lineRule="auto"/>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1809" w:type="dxa"/>
            <w:vAlign w:val="center"/>
          </w:tcPr>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合同总金额</w:t>
            </w:r>
          </w:p>
          <w:p>
            <w:pPr>
              <w:spacing w:line="360" w:lineRule="auto"/>
              <w:jc w:val="center"/>
              <w:rPr>
                <w:rFonts w:ascii="宋体" w:hAnsi="宋体" w:cs="宋体"/>
                <w:color w:val="auto"/>
                <w:sz w:val="24"/>
                <w:highlight w:val="none"/>
              </w:rPr>
            </w:pPr>
            <w:r>
              <w:rPr>
                <w:rFonts w:hint="eastAsia" w:ascii="宋体" w:hAnsi="宋体" w:cs="宋体"/>
                <w:color w:val="auto"/>
                <w:sz w:val="24"/>
                <w:highlight w:val="none"/>
              </w:rPr>
              <w:t>（含税）</w:t>
            </w:r>
          </w:p>
        </w:tc>
        <w:tc>
          <w:tcPr>
            <w:tcW w:w="7644" w:type="dxa"/>
            <w:gridSpan w:val="7"/>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人民币（大写）：             元整 （￥：             元整）</w:t>
            </w:r>
          </w:p>
        </w:tc>
      </w:tr>
    </w:tbl>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1.2  乙方应严格按照本合同约定提供物资设备及相应技术服务，上述列表清单未尽事宜，详见本合同第三条所约定的物资设备技术参数及要求等具体条款。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1.3未经甲方同意，乙方不得变更本合同约定的品牌、型号、配置、产地等任何物资设备的要素。非因甲方原因致使乙方不能严格按照合同约定要素供货的，乙方所提供的替代产品应满足甲方采购需求且不低于本合同约定的相应技术参数，并需经甲方同意。乙方不按本合同约定提交物资设备所产生的任何费用由乙方负责，甲方对由此所引起的任何价格变动不予确认。</w:t>
      </w:r>
    </w:p>
    <w:p>
      <w:pPr>
        <w:wordWrap w:val="0"/>
        <w:spacing w:before="156" w:beforeLines="50" w:after="156" w:afterLines="5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第二条 供货方式及时间</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本次采购采用下列方式供货方式乙方送货，完成卸货并搬运至甲方指定地点：</w:t>
      </w:r>
      <w:r>
        <w:rPr>
          <w:rFonts w:hint="eastAsia" w:ascii="宋体" w:hAnsi="宋体" w:cs="宋体"/>
          <w:color w:val="auto"/>
          <w:sz w:val="24"/>
          <w:highlight w:val="none"/>
          <w:u w:val="single"/>
        </w:rPr>
        <w:t>（见第四章 采购需求）</w:t>
      </w:r>
      <w:r>
        <w:rPr>
          <w:rFonts w:hint="eastAsia" w:ascii="宋体" w:hAnsi="宋体" w:cs="宋体"/>
          <w:color w:val="auto"/>
          <w:sz w:val="24"/>
          <w:highlight w:val="none"/>
        </w:rPr>
        <w:t>免费安装、调试完毕方视为交付甲方，在交付甲方之前所供货物毁损、灭失的责任均由乙方承担。</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乙方需于</w:t>
      </w:r>
      <w:r>
        <w:rPr>
          <w:rFonts w:hint="eastAsia" w:ascii="宋体" w:hAnsi="宋体" w:cs="宋体"/>
          <w:color w:val="auto"/>
          <w:sz w:val="24"/>
          <w:highlight w:val="none"/>
          <w:u w:val="single"/>
        </w:rPr>
        <w:t xml:space="preserve"> 本合同生效</w:t>
      </w:r>
      <w:r>
        <w:rPr>
          <w:rFonts w:hint="eastAsia" w:ascii="宋体" w:hAnsi="宋体" w:cs="宋体"/>
          <w:color w:val="auto"/>
          <w:sz w:val="24"/>
          <w:highlight w:val="none"/>
        </w:rPr>
        <w:t>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日内完成交货及相应的安装、调试工作，确保所供物资设备符合本合同约定的质量、数量、技术参数及要求，否则将按照合同约定承担违约责任。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乙方应采取适当的、符合运输方式的包装、固定方式，避免因包装、固定不当对所供物资设备造成损毁或对甲方使用造成不良影响。</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2.4乙方因履行本合同交货、运输、安装、调试及提供相应的培训、质保期内的维护、保养与技术支持等事项而发生的一切费用，均已包含在合同总价中，由乙方自行承担。</w:t>
      </w:r>
    </w:p>
    <w:p>
      <w:pPr>
        <w:wordWrap w:val="0"/>
        <w:spacing w:before="156" w:beforeLines="50" w:after="156" w:afterLines="5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第三条 质量标准及要求（见第四章 采购需求）</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3.1乙方所提供的物资设备必须是原厂生产的、全新的、未使用过的(包括零部件)，并完全符合原厂质量检测标准（以说明书为准）和国家质量检测标准以及合同规定的质量规格和性能要求。如物资设备不符合本合同中约定的要求，甲方有权拒绝接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乙方应保证甲方在使用由乙方提供的物资设备或物资设备的任何部分（含软件）不受第三方关于侵犯其所有权、专利权、商标权、工业设计权等的指控。如因第三方侵权致使甲方对外承担侵权责任或无法继续使用的，甲方有权向乙方追偿或解除本合同并要求乙方返还全部货款。</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3.3乙方所供物资设备主要技术要求（请以附件形式详细列出）。</w:t>
      </w:r>
    </w:p>
    <w:p>
      <w:pPr>
        <w:wordWrap w:val="0"/>
        <w:spacing w:before="156" w:beforeLines="50" w:after="156" w:afterLines="5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第四条 安装、调试与验收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4.1乙方必须在甲方指定的地点免费进行物资设备的安装，安装所需的相应配套设施由乙方自行负责解决，用户提供必须的现场安装条件，并给予必要的配合。如现场安装需特殊条件，乙方应提前通知甲方。</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4.2安装完成后，乙方应在在甲方的监督下进行调试，调试结果符合国家、行业及本合同约定的技术指标方视为符合交付条件。</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4.3 乙方应对甲方相关人员正确、合理使用物资设备进行必要的宣讲、技术指导与培训，充分提示注意事项及相关风险。</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4.4乙方所提供的物资设备安装调试完成后，甲方最终用户必须按本合同所约定的货物清单及要求对货物的品牌、外观、规格、数量、配件及安装调试后的使用性能、运行状况及其他情况进行验收，乙方必须在验收现场提供必要的技术支持。甲方最终用户应在乙方所提供的物资设备安装调试完成后</w:t>
      </w:r>
      <w:r>
        <w:rPr>
          <w:rFonts w:hint="eastAsia" w:ascii="宋体" w:hAnsi="宋体" w:cs="宋体"/>
          <w:color w:val="auto"/>
          <w:sz w:val="24"/>
          <w:highlight w:val="none"/>
          <w:u w:val="single"/>
        </w:rPr>
        <w:t>柒</w:t>
      </w:r>
      <w:r>
        <w:rPr>
          <w:rFonts w:hint="eastAsia" w:ascii="宋体" w:hAnsi="宋体" w:cs="宋体"/>
          <w:color w:val="auto"/>
          <w:sz w:val="24"/>
          <w:highlight w:val="none"/>
        </w:rPr>
        <w:t>个工作日内验收完毕。如特殊货物验收需经专家论证、第三方检测的，则验收合格证明文件以专家论证、第三方检测结果为准。</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4.5经验收发现物资设备与合同规定不符，甲方有权拒绝接受并向乙方提出索赔。如物资设备在保证期内被证明存在缺陷，包括潜在的缺陷或使用不合适的材料，甲方有权凭有关证明文件向乙方提出索赔。</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4.6物资设备验收后</w:t>
      </w:r>
      <w:r>
        <w:rPr>
          <w:rFonts w:hint="eastAsia" w:ascii="宋体" w:hAnsi="宋体" w:cs="宋体"/>
          <w:color w:val="auto"/>
          <w:sz w:val="24"/>
          <w:highlight w:val="none"/>
          <w:u w:val="single"/>
        </w:rPr>
        <w:t>七</w:t>
      </w:r>
      <w:r>
        <w:rPr>
          <w:rFonts w:hint="eastAsia" w:ascii="宋体" w:hAnsi="宋体" w:cs="宋体"/>
          <w:color w:val="auto"/>
          <w:sz w:val="24"/>
          <w:highlight w:val="none"/>
        </w:rPr>
        <w:t>个工作日内如甲方发现技术指标异常或提出其他异议的，乙方应在</w:t>
      </w:r>
      <w:r>
        <w:rPr>
          <w:rFonts w:hint="eastAsia" w:ascii="宋体" w:hAnsi="宋体" w:cs="宋体"/>
          <w:color w:val="auto"/>
          <w:sz w:val="24"/>
          <w:highlight w:val="none"/>
          <w:u w:val="single"/>
        </w:rPr>
        <w:t>二</w:t>
      </w:r>
      <w:r>
        <w:rPr>
          <w:rFonts w:hint="eastAsia" w:ascii="宋体" w:hAnsi="宋体" w:cs="宋体"/>
          <w:color w:val="auto"/>
          <w:sz w:val="24"/>
          <w:highlight w:val="none"/>
        </w:rPr>
        <w:t>个工作日内负责解决。</w:t>
      </w:r>
    </w:p>
    <w:p>
      <w:pPr>
        <w:spacing w:line="360" w:lineRule="auto"/>
        <w:ind w:firstLine="480" w:firstLineChars="200"/>
        <w:rPr>
          <w:rFonts w:ascii="宋体" w:hAnsi="宋体" w:cs="宋体"/>
          <w:color w:val="auto"/>
          <w:sz w:val="24"/>
          <w:highlight w:val="none"/>
        </w:rPr>
      </w:pPr>
    </w:p>
    <w:p>
      <w:pPr>
        <w:wordWrap w:val="0"/>
        <w:spacing w:before="156" w:beforeLines="50" w:after="156" w:afterLines="5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第五条 付款条件与方式（见第四章 采购需求）</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 xml:space="preserve">5.1本合同采用如下经选择的付款方式：此条款根据采购文件中实际付款方式确定 </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□一次性付款：设备安装调试完毕，经双方正式验收合格后    天内，甲方向乙方支付100%的合同款；</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sym w:font="Wingdings 2" w:char="0052"/>
      </w:r>
      <w:r>
        <w:rPr>
          <w:rFonts w:hint="eastAsia" w:ascii="宋体" w:hAnsi="宋体" w:cs="宋体"/>
          <w:color w:val="auto"/>
          <w:sz w:val="24"/>
          <w:highlight w:val="none"/>
        </w:rPr>
        <w:t>分批付款：合同签订后预付30%，余款70%货到验收合格后一次性付清，结算时需提供高限额的发票。</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5.2在达到本合同约定的付款条件后，乙方应向甲方出具正式合法的全额增值税发票（需开具单张高额发票，乙方自行向税务机关申请），在乙方向甲方提出付款申请并提供发票之前，甲方有权拒绝付款。因乙方原因致使甲方未能及时付款所产生的责任由乙方负责，甲方不承担违约责任。</w:t>
      </w:r>
    </w:p>
    <w:p>
      <w:pPr>
        <w:spacing w:line="360" w:lineRule="auto"/>
        <w:ind w:firstLine="439" w:firstLineChars="183"/>
        <w:rPr>
          <w:rFonts w:ascii="宋体" w:hAnsi="宋体" w:cs="宋体"/>
          <w:color w:val="auto"/>
          <w:sz w:val="24"/>
          <w:highlight w:val="none"/>
        </w:rPr>
      </w:pPr>
    </w:p>
    <w:p>
      <w:pPr>
        <w:wordWrap w:val="0"/>
        <w:spacing w:before="156" w:beforeLines="50" w:after="156" w:afterLines="50"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第六条 售后服务及质量保证金（见第四章 采购需求）</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6.1乙方应按照国家有规定及本次采购文件中有关质量保证和售后服务的承诺执行，采购文件高于国家有关规定的，按照本次采购文件执行。</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6.2本项目免费质保期____年。签订合同前，乙方须缴纳合同总额的____%(一般0%—5%)作为履约保证金，该履约保证金在设备验收合格后转为质量保证金。质量保证金在设备验收合格1年后，乙方完整履行本合同，无合同条款所规定的未完成或违约情况的，经使用部门确认无质量问题（或无售后问题），无息退还给乙方。</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6.3 如在质量保质期内，发生质量或技术问题，乙方应在接到甲方通知8小时内给予响应，并在24小时内到场维修，否则由此造成的损失由乙方承担赔偿责任。如经甲方通知，乙方无正当理由未能及时响应或到场维修，甲方有权自行委托其他第三方进行维修，因此而产生的费用在质量保证金中予以扣除，不足部分有权向乙方追偿。</w:t>
      </w:r>
    </w:p>
    <w:p>
      <w:pPr>
        <w:spacing w:line="360" w:lineRule="auto"/>
        <w:ind w:firstLine="439" w:firstLineChars="183"/>
        <w:rPr>
          <w:rFonts w:ascii="宋体" w:hAnsi="宋体" w:cs="宋体"/>
          <w:color w:val="auto"/>
          <w:sz w:val="24"/>
          <w:highlight w:val="none"/>
        </w:rPr>
      </w:pPr>
    </w:p>
    <w:p>
      <w:pPr>
        <w:wordWrap w:val="0"/>
        <w:spacing w:before="156" w:beforeLines="50" w:after="156" w:afterLines="5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第七条 违约责任</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7.1甲方在乙方将合同清单上的物资设备运达指定地点后</w:t>
      </w:r>
      <w:r>
        <w:rPr>
          <w:rFonts w:hint="eastAsia" w:ascii="宋体" w:hAnsi="宋体" w:cs="宋体"/>
          <w:color w:val="auto"/>
          <w:sz w:val="24"/>
          <w:highlight w:val="none"/>
          <w:u w:val="single"/>
        </w:rPr>
        <w:t>七</w:t>
      </w:r>
      <w:r>
        <w:rPr>
          <w:rFonts w:hint="eastAsia" w:ascii="宋体" w:hAnsi="宋体" w:cs="宋体"/>
          <w:color w:val="auto"/>
          <w:sz w:val="24"/>
          <w:highlight w:val="none"/>
        </w:rPr>
        <w:t>个工作日后无正当理由不接收或不及时验收的，视为甲方违约，甲方应承担因此给乙方造成的损失。</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7.2乙方所交物资设备不符合本合同要求的，甲方有权拒收，乙方应予以更换，因此而导致的延期交货责任，由乙方承担。经更换后仍不符合本合同要求的，甲方有权解除合同，同时乙方应向甲方偿付该合同价款30%的违约金。</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7.3 甲方无正当理由延期付款的，每逾期一日向乙方承担应付未付价款万分之五的违约金。乙方逾期交付的，每逾期一日向甲方承担合同总价款万分之五的违约金。延期付款或逾期交付超过30日，经另一方催告在合理期限内仍未履行的，另一方有权解除合同。</w:t>
      </w:r>
    </w:p>
    <w:p>
      <w:pPr>
        <w:spacing w:line="360" w:lineRule="auto"/>
        <w:ind w:firstLine="439" w:firstLineChars="183"/>
        <w:rPr>
          <w:rFonts w:ascii="宋体" w:hAnsi="宋体" w:cs="宋体"/>
          <w:color w:val="auto"/>
          <w:sz w:val="24"/>
          <w:highlight w:val="none"/>
        </w:rPr>
      </w:pPr>
      <w:r>
        <w:rPr>
          <w:rFonts w:hint="eastAsia" w:ascii="宋体" w:hAnsi="宋体" w:cs="宋体"/>
          <w:color w:val="auto"/>
          <w:sz w:val="24"/>
          <w:highlight w:val="none"/>
        </w:rPr>
        <w:t>7.4 如因乙方延期交货或延期履行维保义务，致使甲方必须采取其他补救措施，包括但不限于委托其他第三方维修、借用或租赁其他设备等所发生的费用，均由乙方承担。</w:t>
      </w:r>
    </w:p>
    <w:p>
      <w:pPr>
        <w:spacing w:line="360" w:lineRule="auto"/>
        <w:ind w:firstLine="439" w:firstLineChars="183"/>
        <w:rPr>
          <w:rFonts w:ascii="宋体" w:hAnsi="宋体" w:cs="宋体"/>
          <w:color w:val="auto"/>
          <w:sz w:val="24"/>
          <w:highlight w:val="none"/>
        </w:rPr>
      </w:pPr>
    </w:p>
    <w:p>
      <w:pPr>
        <w:wordWrap w:val="0"/>
        <w:spacing w:before="156" w:beforeLines="50" w:after="156" w:afterLines="5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第八条 合同解除与终止</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8.1 本合同签订后，任何一方无正当理由均不得单方解除合同，否则应按照本合同总价款的30%承担违约责任。</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8.2 一方违约，经他方催告并在合理期限内仍未履行或整改到位的，守约方有权单方解除合同，并要求违约方按照本合同总价款的30%承担违约责任。合同解除文件自实际送达之日起生效，如发生拒收，则自合同解除文件向本合同中记载的甲乙双方联系地址发出之日起生效。</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8.3任何一方由于下列原因而导致不能或暂时不能履行全部或部分合同义务的，不负责任：水灾、火灾、地震、干旱、战争或其他任何在签约时不能预料、无法控制且不能避免和克服的事件。但受不可抗力影响的一方，应尽快地将所发生的事件通知对方，并应在事件发生后15天内将有关机构出具的不可抗力事件的证明寄交对方。</w:t>
      </w:r>
    </w:p>
    <w:p>
      <w:pPr>
        <w:spacing w:line="360" w:lineRule="auto"/>
        <w:ind w:firstLine="480" w:firstLineChars="200"/>
        <w:rPr>
          <w:rFonts w:ascii="宋体" w:hAnsi="宋体" w:cs="宋体"/>
          <w:color w:val="auto"/>
          <w:sz w:val="24"/>
          <w:highlight w:val="none"/>
        </w:rPr>
      </w:pPr>
    </w:p>
    <w:p>
      <w:pPr>
        <w:wordWrap w:val="0"/>
        <w:spacing w:before="156" w:beforeLines="50" w:after="156" w:afterLines="50"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第九条 其他</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9.1 若因本合同签订、履行、解除、终止而发生争议的，由甲、乙双方友好协商解决，若协商不成，协商不成的，任何一方可向合同签订地有管辖权的人民法院提起诉讼。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9.2 有关本采购项目的采购文件以及相关函件（如澄清函、确认函等）、供应商投标文件均构成本合同不可分割的一部分，与本合同具有同等法律效力。</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9.3 本合同未尽事宜及变更，应由甲乙双方另行签订书面补充协议确定。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9.4 本合同于   年    月    日签订于东南大学四牌楼校区。</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9.5本合同一式陆份，经双方签字并盖章后即时生效。甲方执伍份，乙方执壹份，具有同等效力。</w:t>
      </w:r>
    </w:p>
    <w:p>
      <w:pPr>
        <w:pStyle w:val="40"/>
        <w:spacing w:line="360" w:lineRule="auto"/>
        <w:rPr>
          <w:color w:val="auto"/>
          <w:highlight w:val="none"/>
        </w:rPr>
      </w:pPr>
    </w:p>
    <w:p>
      <w:pPr>
        <w:pStyle w:val="40"/>
        <w:spacing w:line="360" w:lineRule="auto"/>
        <w:rPr>
          <w:color w:val="auto"/>
          <w:highlight w:val="none"/>
        </w:rPr>
      </w:pPr>
      <w:r>
        <w:rPr>
          <w:color w:val="auto"/>
          <w:highlight w:val="none"/>
        </w:rPr>
        <w:t>甲方                     </w:t>
      </w:r>
      <w:r>
        <w:rPr>
          <w:rFonts w:hint="eastAsia"/>
          <w:color w:val="auto"/>
          <w:highlight w:val="none"/>
        </w:rPr>
        <w:t xml:space="preserve">     </w:t>
      </w:r>
      <w:r>
        <w:rPr>
          <w:color w:val="auto"/>
          <w:highlight w:val="none"/>
        </w:rPr>
        <w:t>乙方</w:t>
      </w:r>
    </w:p>
    <w:p>
      <w:pPr>
        <w:pStyle w:val="40"/>
        <w:spacing w:line="360" w:lineRule="auto"/>
        <w:rPr>
          <w:color w:val="auto"/>
          <w:highlight w:val="none"/>
        </w:rPr>
      </w:pPr>
      <w:r>
        <w:rPr>
          <w:rFonts w:hint="eastAsia"/>
          <w:color w:val="auto"/>
          <w:highlight w:val="none"/>
        </w:rPr>
        <w:t>单位名称：东南大学                                 单位名称：</w:t>
      </w:r>
    </w:p>
    <w:p>
      <w:pPr>
        <w:pStyle w:val="40"/>
        <w:spacing w:line="360" w:lineRule="auto"/>
        <w:ind w:firstLine="2640" w:firstLineChars="1100"/>
        <w:rPr>
          <w:color w:val="auto"/>
          <w:highlight w:val="none"/>
        </w:rPr>
      </w:pPr>
      <w:r>
        <w:rPr>
          <w:rFonts w:hint="eastAsia"/>
          <w:color w:val="auto"/>
          <w:highlight w:val="none"/>
        </w:rPr>
        <w:t xml:space="preserve">                             单位地址：                                         单位地址：</w:t>
      </w:r>
    </w:p>
    <w:p>
      <w:pPr>
        <w:pStyle w:val="40"/>
        <w:spacing w:line="360" w:lineRule="auto"/>
        <w:rPr>
          <w:color w:val="auto"/>
          <w:highlight w:val="none"/>
        </w:rPr>
      </w:pPr>
      <w:r>
        <w:rPr>
          <w:rFonts w:hint="eastAsia"/>
          <w:color w:val="auto"/>
          <w:highlight w:val="none"/>
        </w:rPr>
        <w:t>法定代表人：                                       法定代表人：</w:t>
      </w:r>
    </w:p>
    <w:p>
      <w:pPr>
        <w:pStyle w:val="40"/>
        <w:spacing w:line="360" w:lineRule="auto"/>
        <w:rPr>
          <w:color w:val="auto"/>
          <w:highlight w:val="none"/>
        </w:rPr>
      </w:pPr>
      <w:r>
        <w:rPr>
          <w:rFonts w:hint="eastAsia"/>
          <w:color w:val="auto"/>
          <w:highlight w:val="none"/>
        </w:rPr>
        <w:t>委托代理人</w:t>
      </w:r>
      <w:r>
        <w:rPr>
          <w:color w:val="auto"/>
          <w:highlight w:val="none"/>
        </w:rPr>
        <w:t>（签字）：</w:t>
      </w:r>
      <w:r>
        <w:rPr>
          <w:rFonts w:hint="eastAsia"/>
          <w:color w:val="auto"/>
          <w:highlight w:val="none"/>
        </w:rPr>
        <w:t xml:space="preserve">                               委托代理人</w:t>
      </w:r>
      <w:r>
        <w:rPr>
          <w:color w:val="auto"/>
          <w:highlight w:val="none"/>
        </w:rPr>
        <w:t>（签字）：</w:t>
      </w:r>
    </w:p>
    <w:p>
      <w:pPr>
        <w:pStyle w:val="40"/>
        <w:spacing w:before="0" w:beforeAutospacing="0" w:after="0" w:afterAutospacing="0" w:line="360" w:lineRule="auto"/>
        <w:rPr>
          <w:b/>
          <w:color w:val="auto"/>
          <w:highlight w:val="none"/>
        </w:rPr>
      </w:pPr>
      <w:r>
        <w:rPr>
          <w:rFonts w:hint="eastAsia"/>
          <w:b/>
          <w:color w:val="auto"/>
          <w:highlight w:val="none"/>
        </w:rPr>
        <w:t>项目负责人（签字）：</w:t>
      </w:r>
    </w:p>
    <w:p>
      <w:pPr>
        <w:pStyle w:val="40"/>
        <w:spacing w:before="0" w:beforeAutospacing="0" w:after="0" w:afterAutospacing="0" w:line="360" w:lineRule="auto"/>
        <w:rPr>
          <w:b/>
          <w:color w:val="auto"/>
          <w:highlight w:val="none"/>
        </w:rPr>
      </w:pPr>
      <w:r>
        <w:rPr>
          <w:rFonts w:hint="eastAsia"/>
          <w:b/>
          <w:color w:val="auto"/>
          <w:highlight w:val="none"/>
        </w:rPr>
        <w:t>项目号：</w:t>
      </w:r>
    </w:p>
    <w:p>
      <w:pPr>
        <w:pStyle w:val="40"/>
        <w:spacing w:line="360" w:lineRule="auto"/>
        <w:rPr>
          <w:color w:val="auto"/>
          <w:highlight w:val="none"/>
        </w:rPr>
      </w:pPr>
      <w:r>
        <w:rPr>
          <w:rFonts w:hint="eastAsia"/>
          <w:color w:val="auto"/>
          <w:highlight w:val="none"/>
        </w:rPr>
        <w:t>联系电话：                                         联系电话：</w:t>
      </w:r>
    </w:p>
    <w:p>
      <w:pPr>
        <w:pStyle w:val="40"/>
        <w:spacing w:line="360" w:lineRule="auto"/>
        <w:rPr>
          <w:color w:val="auto"/>
          <w:highlight w:val="none"/>
        </w:rPr>
      </w:pPr>
      <w:r>
        <w:rPr>
          <w:rFonts w:hint="eastAsia"/>
          <w:color w:val="auto"/>
          <w:highlight w:val="none"/>
        </w:rPr>
        <w:t>邮   编：                                          邮   编：</w:t>
      </w:r>
    </w:p>
    <w:p>
      <w:pPr>
        <w:pStyle w:val="40"/>
        <w:spacing w:line="360" w:lineRule="auto"/>
        <w:rPr>
          <w:color w:val="auto"/>
          <w:highlight w:val="none"/>
        </w:rPr>
      </w:pPr>
      <w:r>
        <w:rPr>
          <w:rFonts w:hint="eastAsia"/>
          <w:color w:val="auto"/>
          <w:highlight w:val="none"/>
        </w:rPr>
        <w:t>传真号码：                                         传真号码：</w:t>
      </w:r>
    </w:p>
    <w:p>
      <w:pPr>
        <w:pStyle w:val="40"/>
        <w:spacing w:line="360" w:lineRule="auto"/>
        <w:rPr>
          <w:color w:val="auto"/>
          <w:highlight w:val="none"/>
        </w:rPr>
      </w:pPr>
      <w:r>
        <w:rPr>
          <w:rFonts w:hint="eastAsia"/>
          <w:color w:val="auto"/>
          <w:highlight w:val="none"/>
        </w:rPr>
        <w:t xml:space="preserve">开户银行：建行南京市四牌楼支行                                        开户银行： </w:t>
      </w:r>
    </w:p>
    <w:p>
      <w:pPr>
        <w:pStyle w:val="40"/>
        <w:spacing w:line="360" w:lineRule="auto"/>
        <w:rPr>
          <w:color w:val="auto"/>
          <w:highlight w:val="none"/>
        </w:rPr>
      </w:pPr>
      <w:r>
        <w:rPr>
          <w:rFonts w:hint="eastAsia"/>
          <w:color w:val="auto"/>
          <w:highlight w:val="none"/>
        </w:rPr>
        <w:t>户名： 东南大学                        户名：</w:t>
      </w:r>
    </w:p>
    <w:p>
      <w:pPr>
        <w:pStyle w:val="40"/>
        <w:spacing w:line="360" w:lineRule="auto"/>
        <w:rPr>
          <w:color w:val="auto"/>
          <w:highlight w:val="none"/>
        </w:rPr>
      </w:pPr>
      <w:r>
        <w:rPr>
          <w:rFonts w:hint="eastAsia"/>
          <w:color w:val="auto"/>
          <w:highlight w:val="none"/>
        </w:rPr>
        <w:t xml:space="preserve">账号：32001594138059123456                         账号： </w:t>
      </w:r>
    </w:p>
    <w:p>
      <w:pPr>
        <w:pStyle w:val="40"/>
        <w:spacing w:line="360" w:lineRule="auto"/>
        <w:rPr>
          <w:color w:val="auto"/>
          <w:highlight w:val="none"/>
        </w:rPr>
      </w:pPr>
      <w:r>
        <w:rPr>
          <w:rFonts w:hint="eastAsia"/>
          <w:color w:val="auto"/>
          <w:highlight w:val="none"/>
        </w:rPr>
        <w:t>税号：XXXX0000466006770Q                           税号：</w:t>
      </w:r>
    </w:p>
    <w:p>
      <w:pPr>
        <w:pStyle w:val="40"/>
        <w:spacing w:line="360" w:lineRule="auto"/>
        <w:rPr>
          <w:color w:val="auto"/>
          <w:highlight w:val="none"/>
        </w:rPr>
      </w:pPr>
      <w:r>
        <w:rPr>
          <w:rFonts w:hint="eastAsia"/>
          <w:color w:val="auto"/>
          <w:highlight w:val="none"/>
        </w:rPr>
        <w:t>地址：南京市四牌楼2号                             地址：</w:t>
      </w:r>
    </w:p>
    <w:p>
      <w:pPr>
        <w:pStyle w:val="40"/>
        <w:spacing w:line="360" w:lineRule="auto"/>
        <w:rPr>
          <w:color w:val="auto"/>
          <w:highlight w:val="none"/>
        </w:rPr>
      </w:pPr>
      <w:r>
        <w:rPr>
          <w:rFonts w:hint="eastAsia"/>
          <w:color w:val="auto"/>
          <w:highlight w:val="none"/>
        </w:rPr>
        <w:t>电话：025-83792462                                 电话：</w:t>
      </w:r>
    </w:p>
    <w:p>
      <w:pPr>
        <w:pStyle w:val="40"/>
        <w:spacing w:line="300" w:lineRule="exact"/>
        <w:rPr>
          <w:color w:val="auto"/>
          <w:highlight w:val="none"/>
        </w:rPr>
      </w:pPr>
    </w:p>
    <w:p>
      <w:pPr>
        <w:widowControl/>
        <w:shd w:val="clear" w:color="auto" w:fill="FFFFFF"/>
        <w:spacing w:line="360" w:lineRule="auto"/>
        <w:ind w:firstLine="723" w:firstLineChars="200"/>
        <w:rPr>
          <w:rFonts w:ascii="宋体" w:hAnsi="宋体"/>
          <w:b/>
          <w:bCs/>
          <w:color w:val="auto"/>
          <w:kern w:val="0"/>
          <w:sz w:val="36"/>
          <w:szCs w:val="36"/>
          <w:highlight w:val="none"/>
        </w:rPr>
      </w:pPr>
    </w:p>
    <w:p>
      <w:pPr>
        <w:pStyle w:val="3"/>
        <w:numPr>
          <w:ilvl w:val="0"/>
          <w:numId w:val="0"/>
        </w:numPr>
        <w:rPr>
          <w:rFonts w:asciiTheme="minorEastAsia" w:hAnsiTheme="minorEastAsia" w:eastAsiaTheme="minorEastAsia" w:cstheme="minorEastAsia"/>
          <w:color w:val="auto"/>
          <w:highlight w:val="none"/>
        </w:rPr>
      </w:pPr>
      <w:bookmarkStart w:id="9" w:name="_Toc43902853"/>
      <w:r>
        <w:rPr>
          <w:rFonts w:hint="eastAsia" w:asciiTheme="minorEastAsia" w:hAnsiTheme="minorEastAsia" w:eastAsiaTheme="minorEastAsia" w:cstheme="minorEastAsia"/>
          <w:color w:val="auto"/>
          <w:highlight w:val="none"/>
        </w:rPr>
        <w:t>第六章 附件</w:t>
      </w:r>
      <w:bookmarkEnd w:id="9"/>
    </w:p>
    <w:p>
      <w:pPr>
        <w:widowControl/>
        <w:adjustRightInd w:val="0"/>
        <w:spacing w:line="240" w:lineRule="atLeast"/>
        <w:jc w:val="left"/>
        <w:rPr>
          <w:rFonts w:asciiTheme="minorEastAsia" w:hAnsiTheme="minorEastAsia" w:eastAsiaTheme="minorEastAsia" w:cstheme="minorEastAsia"/>
          <w:b/>
          <w:bCs/>
          <w:color w:val="auto"/>
          <w:szCs w:val="21"/>
          <w:highlight w:val="none"/>
        </w:rPr>
      </w:pPr>
    </w:p>
    <w:p>
      <w:pPr>
        <w:spacing w:line="440" w:lineRule="exact"/>
        <w:rPr>
          <w:rFonts w:asciiTheme="minorEastAsia" w:hAnsiTheme="minorEastAsia" w:eastAsiaTheme="minorEastAsia" w:cstheme="minorEastAsia"/>
          <w:color w:val="auto"/>
          <w:sz w:val="20"/>
          <w:szCs w:val="20"/>
          <w:highlight w:val="none"/>
        </w:rPr>
      </w:pPr>
    </w:p>
    <w:p>
      <w:pPr>
        <w:spacing w:line="440" w:lineRule="exact"/>
        <w:rPr>
          <w:rFonts w:asciiTheme="minorEastAsia" w:hAnsiTheme="minorEastAsia" w:eastAsiaTheme="minorEastAsia" w:cstheme="minorEastAsia"/>
          <w:color w:val="auto"/>
          <w:sz w:val="20"/>
          <w:szCs w:val="20"/>
          <w:highlight w:val="none"/>
        </w:rPr>
      </w:pPr>
    </w:p>
    <w:p>
      <w:pPr>
        <w:spacing w:line="440" w:lineRule="exact"/>
        <w:rPr>
          <w:rFonts w:asciiTheme="minorEastAsia" w:hAnsiTheme="minorEastAsia" w:eastAsiaTheme="minorEastAsia" w:cstheme="minorEastAsia"/>
          <w:color w:val="auto"/>
          <w:sz w:val="20"/>
          <w:szCs w:val="20"/>
          <w:highlight w:val="none"/>
        </w:rPr>
      </w:pPr>
    </w:p>
    <w:p>
      <w:pPr>
        <w:spacing w:line="440" w:lineRule="exact"/>
        <w:rPr>
          <w:rFonts w:asciiTheme="minorEastAsia" w:hAnsiTheme="minorEastAsia" w:eastAsiaTheme="minorEastAsia" w:cstheme="minorEastAsia"/>
          <w:color w:val="auto"/>
          <w:sz w:val="20"/>
          <w:szCs w:val="20"/>
          <w:highlight w:val="none"/>
        </w:rPr>
      </w:pPr>
    </w:p>
    <w:p>
      <w:pPr>
        <w:spacing w:line="440" w:lineRule="exact"/>
        <w:rPr>
          <w:rFonts w:asciiTheme="minorEastAsia" w:hAnsiTheme="minorEastAsia" w:eastAsiaTheme="minorEastAsia" w:cstheme="minorEastAsia"/>
          <w:color w:val="auto"/>
          <w:sz w:val="20"/>
          <w:szCs w:val="20"/>
          <w:highlight w:val="none"/>
        </w:rPr>
      </w:pPr>
    </w:p>
    <w:p>
      <w:pPr>
        <w:spacing w:line="440" w:lineRule="exact"/>
        <w:rPr>
          <w:rFonts w:asciiTheme="minorEastAsia" w:hAnsiTheme="minorEastAsia" w:eastAsiaTheme="minorEastAsia" w:cstheme="minorEastAsia"/>
          <w:color w:val="auto"/>
          <w:sz w:val="20"/>
          <w:szCs w:val="20"/>
          <w:highlight w:val="none"/>
        </w:rPr>
      </w:pPr>
    </w:p>
    <w:p>
      <w:pPr>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（项目名称）</w:t>
      </w:r>
    </w:p>
    <w:p>
      <w:pPr>
        <w:rPr>
          <w:rFonts w:asciiTheme="minorEastAsia" w:hAnsiTheme="minorEastAsia" w:eastAsiaTheme="minorEastAsia" w:cstheme="minorEastAsia"/>
          <w:color w:val="auto"/>
          <w:sz w:val="20"/>
          <w:szCs w:val="20"/>
          <w:highlight w:val="none"/>
        </w:rPr>
      </w:pPr>
    </w:p>
    <w:p>
      <w:pPr>
        <w:jc w:val="center"/>
        <w:rPr>
          <w:rFonts w:asciiTheme="minorEastAsia" w:hAnsiTheme="minorEastAsia" w:eastAsiaTheme="minorEastAsia" w:cstheme="minorEastAsia"/>
          <w:color w:val="auto"/>
          <w:sz w:val="44"/>
          <w:szCs w:val="44"/>
          <w:highlight w:val="none"/>
        </w:rPr>
      </w:pPr>
      <w:r>
        <w:rPr>
          <w:rFonts w:hint="eastAsia" w:asciiTheme="minorEastAsia" w:hAnsiTheme="minorEastAsia" w:eastAsiaTheme="minorEastAsia" w:cstheme="minorEastAsia"/>
          <w:color w:val="auto"/>
          <w:sz w:val="44"/>
          <w:szCs w:val="44"/>
          <w:highlight w:val="none"/>
        </w:rPr>
        <w:t>投标文件</w:t>
      </w:r>
    </w:p>
    <w:p>
      <w:pPr>
        <w:rPr>
          <w:rFonts w:asciiTheme="minorEastAsia" w:hAnsiTheme="minorEastAsia" w:eastAsiaTheme="minorEastAsia" w:cstheme="minorEastAsia"/>
          <w:color w:val="auto"/>
          <w:sz w:val="28"/>
          <w:szCs w:val="28"/>
          <w:highlight w:val="none"/>
        </w:rPr>
      </w:pPr>
    </w:p>
    <w:p>
      <w:pPr>
        <w:rPr>
          <w:rFonts w:asciiTheme="minorEastAsia" w:hAnsiTheme="minorEastAsia" w:eastAsiaTheme="minorEastAsia" w:cstheme="minorEastAsia"/>
          <w:color w:val="auto"/>
          <w:sz w:val="28"/>
          <w:szCs w:val="28"/>
          <w:highlight w:val="none"/>
        </w:rPr>
      </w:pPr>
    </w:p>
    <w:p>
      <w:pPr>
        <w:rPr>
          <w:rFonts w:asciiTheme="minorEastAsia" w:hAnsiTheme="minorEastAsia" w:eastAsiaTheme="minorEastAsia" w:cstheme="minorEastAsia"/>
          <w:color w:val="auto"/>
          <w:sz w:val="28"/>
          <w:szCs w:val="28"/>
          <w:highlight w:val="none"/>
        </w:rPr>
      </w:pPr>
    </w:p>
    <w:p>
      <w:pPr>
        <w:rPr>
          <w:rFonts w:asciiTheme="minorEastAsia" w:hAnsiTheme="minorEastAsia" w:eastAsiaTheme="minorEastAsia" w:cstheme="minorEastAsia"/>
          <w:color w:val="auto"/>
          <w:sz w:val="28"/>
          <w:szCs w:val="28"/>
          <w:highlight w:val="none"/>
        </w:rPr>
      </w:pPr>
    </w:p>
    <w:p>
      <w:pPr>
        <w:rPr>
          <w:rFonts w:asciiTheme="minorEastAsia" w:hAnsiTheme="minorEastAsia" w:eastAsiaTheme="minorEastAsia" w:cstheme="minorEastAsia"/>
          <w:color w:val="auto"/>
          <w:sz w:val="28"/>
          <w:szCs w:val="28"/>
          <w:highlight w:val="none"/>
        </w:rPr>
      </w:pPr>
    </w:p>
    <w:p>
      <w:pPr>
        <w:rPr>
          <w:rFonts w:asciiTheme="minorEastAsia" w:hAnsiTheme="minorEastAsia" w:eastAsiaTheme="minorEastAsia" w:cstheme="minorEastAsia"/>
          <w:color w:val="auto"/>
          <w:sz w:val="28"/>
          <w:szCs w:val="28"/>
          <w:highlight w:val="none"/>
        </w:rPr>
      </w:pPr>
    </w:p>
    <w:p>
      <w:pPr>
        <w:rPr>
          <w:rFonts w:asciiTheme="minorEastAsia" w:hAnsiTheme="minorEastAsia" w:eastAsiaTheme="minorEastAsia" w:cstheme="minorEastAsia"/>
          <w:color w:val="auto"/>
          <w:sz w:val="28"/>
          <w:szCs w:val="28"/>
          <w:highlight w:val="none"/>
        </w:rPr>
      </w:pPr>
    </w:p>
    <w:p>
      <w:pPr>
        <w:jc w:val="center"/>
        <w:rPr>
          <w:rFonts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rPr>
        <w:t>投标人：（盖单位章）</w:t>
      </w:r>
    </w:p>
    <w:p>
      <w:pPr>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法定代表人或其委托代理人：（签字）</w:t>
      </w:r>
    </w:p>
    <w:p>
      <w:pPr>
        <w:jc w:val="center"/>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年 月  日</w:t>
      </w:r>
    </w:p>
    <w:p>
      <w:pPr>
        <w:widowControl/>
        <w:jc w:val="left"/>
        <w:rPr>
          <w:rFonts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br w:type="page"/>
      </w:r>
    </w:p>
    <w:p>
      <w:pPr>
        <w:spacing w:before="312" w:beforeLines="100" w:after="312" w:afterLines="100"/>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目录</w:t>
      </w:r>
    </w:p>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（注：供应商根据附件顺序编制投标文件并制作目录（须生成页码））</w:t>
      </w:r>
    </w:p>
    <w:p>
      <w:pPr>
        <w:spacing w:line="440" w:lineRule="exac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bCs/>
          <w:color w:val="auto"/>
          <w:kern w:val="0"/>
          <w:szCs w:val="21"/>
          <w:highlight w:val="none"/>
        </w:rPr>
        <w:t>附件一、投标申请及声明格式</w:t>
      </w:r>
    </w:p>
    <w:p>
      <w:pPr>
        <w:widowControl/>
        <w:shd w:val="clear" w:color="auto" w:fill="FFFFFF"/>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 w:val="36"/>
          <w:szCs w:val="36"/>
          <w:highlight w:val="none"/>
        </w:rPr>
        <w:t>投标申请及声明</w:t>
      </w:r>
    </w:p>
    <w:p>
      <w:pPr>
        <w:widowControl/>
        <w:shd w:val="clear" w:color="auto" w:fill="FFFFFF"/>
        <w:spacing w:line="400" w:lineRule="exac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致：江苏省设备成套股份有限公司</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根据贵方</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b/>
          <w:bCs/>
          <w:color w:val="auto"/>
          <w:kern w:val="0"/>
          <w:szCs w:val="21"/>
          <w:highlight w:val="none"/>
          <w:u w:val="single"/>
        </w:rPr>
        <w:t>（</w:t>
      </w:r>
      <w:r>
        <w:rPr>
          <w:rFonts w:hint="eastAsia" w:asciiTheme="minorEastAsia" w:hAnsiTheme="minorEastAsia" w:eastAsiaTheme="minorEastAsia" w:cstheme="minorEastAsia"/>
          <w:color w:val="auto"/>
          <w:kern w:val="0"/>
          <w:szCs w:val="21"/>
          <w:highlight w:val="none"/>
        </w:rPr>
        <w:t>项目名称） </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（项目编号）投标邀请，正式授权下述签字人</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(姓名和职务)代表投标人</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（投标人名称），提交投标文件。</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据此函，签字人兹宣布声明和承诺如下：</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r>
        <w:rPr>
          <w:rFonts w:hint="eastAsia" w:asciiTheme="minorEastAsia" w:hAnsiTheme="minorEastAsia" w:eastAsiaTheme="minorEastAsia" w:cstheme="minorEastAsia"/>
          <w:b/>
          <w:bCs/>
          <w:color w:val="auto"/>
          <w:kern w:val="0"/>
          <w:szCs w:val="21"/>
          <w:highlight w:val="none"/>
        </w:rPr>
        <w:t>我们的资格条件完全符合政府采购法和本次招标要求</w:t>
      </w:r>
      <w:r>
        <w:rPr>
          <w:rFonts w:hint="eastAsia" w:asciiTheme="minorEastAsia" w:hAnsiTheme="minorEastAsia" w:eastAsiaTheme="minorEastAsia" w:cstheme="minorEastAsia"/>
          <w:color w:val="auto"/>
          <w:kern w:val="0"/>
          <w:szCs w:val="21"/>
          <w:highlight w:val="none"/>
        </w:rPr>
        <w:t>，我们同意并向贵方提供了与投标有关的所有证据和资料。</w:t>
      </w:r>
    </w:p>
    <w:p>
      <w:pPr>
        <w:widowControl/>
        <w:shd w:val="clear" w:color="auto" w:fill="FFFFFF"/>
        <w:spacing w:line="400" w:lineRule="exact"/>
        <w:ind w:left="1470" w:hanging="10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2、按招标要求，我们的投标总报价为（大写）</w:t>
      </w:r>
      <w:r>
        <w:rPr>
          <w:rFonts w:hint="eastAsia" w:asciiTheme="minorEastAsia" w:hAnsiTheme="minorEastAsia" w:eastAsiaTheme="minorEastAsia" w:cstheme="minorEastAsia"/>
          <w:b/>
          <w:bCs/>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元人民币。</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3、本项目交付时间为：</w:t>
      </w:r>
      <w:r>
        <w:rPr>
          <w:rFonts w:hint="eastAsia" w:asciiTheme="minorEastAsia" w:hAnsiTheme="minorEastAsia" w:eastAsiaTheme="minorEastAsia" w:cstheme="minorEastAsia"/>
          <w:color w:val="auto"/>
          <w:kern w:val="0"/>
          <w:szCs w:val="21"/>
          <w:highlight w:val="none"/>
          <w:u w:val="thick"/>
        </w:rPr>
        <w:t xml:space="preserve">  满足招标文件要求  </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4、我们已详细阅读全部招标文件及其有效补充文件，我们放弃对招标文件任何误解的权利，提交投标文件后，</w:t>
      </w:r>
      <w:r>
        <w:rPr>
          <w:rFonts w:hint="eastAsia" w:asciiTheme="minorEastAsia" w:hAnsiTheme="minorEastAsia" w:eastAsiaTheme="minorEastAsia" w:cstheme="minorEastAsia"/>
          <w:b/>
          <w:bCs/>
          <w:color w:val="auto"/>
          <w:kern w:val="0"/>
          <w:szCs w:val="21"/>
          <w:highlight w:val="none"/>
        </w:rPr>
        <w:t>不对招标文件本身提出质疑</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5、我们同意从规定的开标日期起遵循本投标文件，并在规定的投标有效期期满之前均具有约束力。</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6、投标截止时间结束后参加投标的投标人不足三家的，或在评标期间出现符合专业条件的供应商或者对招标文件作出实质响应的投标人不足三家情形的，我们酌情决定是否参加</w:t>
      </w:r>
      <w:r>
        <w:rPr>
          <w:rFonts w:hint="eastAsia" w:asciiTheme="minorEastAsia" w:hAnsiTheme="minorEastAsia" w:eastAsiaTheme="minorEastAsia" w:cstheme="minorEastAsia"/>
          <w:color w:val="auto"/>
          <w:highlight w:val="none"/>
        </w:rPr>
        <w:t>贵方组织的其他采购方式采购</w:t>
      </w:r>
      <w:r>
        <w:rPr>
          <w:rFonts w:hint="eastAsia" w:asciiTheme="minorEastAsia" w:hAnsiTheme="minorEastAsia" w:eastAsiaTheme="minorEastAsia" w:cstheme="minorEastAsia"/>
          <w:color w:val="auto"/>
          <w:kern w:val="0"/>
          <w:szCs w:val="21"/>
          <w:highlight w:val="none"/>
        </w:rPr>
        <w:t>。</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7、一旦我方中标，我方将根据招标文件的规定严格履行合同，并保证于承诺的时间完成货物的启动/集成、调试等服务，交付采购人验收、使用。</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8、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9、与本投标有关的正式联系方式为：</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地   址：</w:t>
      </w:r>
      <w:r>
        <w:rPr>
          <w:rFonts w:hint="eastAsia" w:asciiTheme="minorEastAsia" w:hAnsiTheme="minorEastAsia" w:eastAsiaTheme="minorEastAsia" w:cstheme="minorEastAsia"/>
          <w:color w:val="auto"/>
          <w:kern w:val="0"/>
          <w:szCs w:val="21"/>
          <w:highlight w:val="none"/>
          <w:u w:val="single"/>
        </w:rPr>
        <w:t>                      </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电   话：</w:t>
      </w:r>
      <w:r>
        <w:rPr>
          <w:rFonts w:hint="eastAsia" w:asciiTheme="minorEastAsia" w:hAnsiTheme="minorEastAsia" w:eastAsiaTheme="minorEastAsia" w:cstheme="minorEastAsia"/>
          <w:color w:val="auto"/>
          <w:kern w:val="0"/>
          <w:szCs w:val="21"/>
          <w:highlight w:val="none"/>
          <w:u w:val="single"/>
        </w:rPr>
        <w:t>                      </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传   真：</w:t>
      </w:r>
      <w:r>
        <w:rPr>
          <w:rFonts w:hint="eastAsia" w:asciiTheme="minorEastAsia" w:hAnsiTheme="minorEastAsia" w:eastAsiaTheme="minorEastAsia" w:cstheme="minorEastAsia"/>
          <w:color w:val="auto"/>
          <w:kern w:val="0"/>
          <w:szCs w:val="21"/>
          <w:highlight w:val="none"/>
          <w:u w:val="single"/>
        </w:rPr>
        <w:t>                      </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开户银行：</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银行账号：</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投标人授权代表姓名（签字）：</w:t>
      </w:r>
      <w:r>
        <w:rPr>
          <w:rFonts w:hint="eastAsia" w:asciiTheme="minorEastAsia" w:hAnsiTheme="minorEastAsia" w:eastAsiaTheme="minorEastAsia" w:cstheme="minorEastAsia"/>
          <w:color w:val="auto"/>
          <w:kern w:val="0"/>
          <w:szCs w:val="21"/>
          <w:highlight w:val="none"/>
          <w:u w:val="single"/>
        </w:rPr>
        <w:t>        </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投标人名称：</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（盖章）</w:t>
      </w:r>
    </w:p>
    <w:p>
      <w:pPr>
        <w:widowControl/>
        <w:shd w:val="clear" w:color="auto" w:fill="FFFFFF"/>
        <w:spacing w:line="400" w:lineRule="exact"/>
        <w:ind w:firstLine="42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日    期：</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年</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月</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日</w:t>
      </w:r>
    </w:p>
    <w:p>
      <w:pPr>
        <w:widowControl/>
        <w:shd w:val="clear" w:color="auto" w:fill="FFFFFF"/>
        <w:spacing w:line="360" w:lineRule="auto"/>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br w:type="page"/>
      </w:r>
      <w:r>
        <w:rPr>
          <w:rFonts w:hint="eastAsia" w:asciiTheme="minorEastAsia" w:hAnsiTheme="minorEastAsia" w:eastAsiaTheme="minorEastAsia" w:cstheme="minorEastAsia"/>
          <w:b/>
          <w:bCs/>
          <w:color w:val="auto"/>
          <w:kern w:val="0"/>
          <w:szCs w:val="21"/>
          <w:highlight w:val="none"/>
        </w:rPr>
        <w:t>附件二、法定代表人授权委托书格式</w:t>
      </w:r>
    </w:p>
    <w:p>
      <w:pPr>
        <w:widowControl/>
        <w:shd w:val="clear" w:color="auto" w:fill="FFFFFF"/>
        <w:spacing w:line="360" w:lineRule="auto"/>
        <w:ind w:firstLine="720"/>
        <w:jc w:val="center"/>
        <w:rPr>
          <w:rFonts w:asciiTheme="minorEastAsia" w:hAnsiTheme="minorEastAsia" w:eastAsiaTheme="minorEastAsia" w:cstheme="minorEastAsia"/>
          <w:color w:val="auto"/>
          <w:kern w:val="0"/>
          <w:sz w:val="36"/>
          <w:szCs w:val="36"/>
          <w:highlight w:val="none"/>
        </w:rPr>
      </w:pPr>
    </w:p>
    <w:p>
      <w:pPr>
        <w:widowControl/>
        <w:shd w:val="clear" w:color="auto" w:fill="FFFFFF"/>
        <w:spacing w:line="360" w:lineRule="auto"/>
        <w:ind w:firstLine="720"/>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 w:val="36"/>
          <w:szCs w:val="36"/>
          <w:highlight w:val="none"/>
        </w:rPr>
        <w:t>法定代表人授权委托书</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致：江苏省设备成套股份有限公司</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本授权书声明：注册于</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（投标人住址）的</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（投标人名称）法定代表人</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（法定代表人姓名、职务）代表本公司授权在下面签字的</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（投标人代表姓名、职务）为本公司的合法代理人，就贵方组织的</w:t>
      </w:r>
      <w:r>
        <w:rPr>
          <w:rFonts w:hint="eastAsia" w:asciiTheme="minorEastAsia" w:hAnsiTheme="minorEastAsia" w:eastAsiaTheme="minorEastAsia" w:cstheme="minorEastAsia"/>
          <w:b/>
          <w:bCs/>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（项目名称），</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（项目编号）投标，以本公司名义处理一切与之有关的事务。</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本授权书于    年  月  日签字生效，特此声明。</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法定代表人签字：</w:t>
      </w:r>
    </w:p>
    <w:p>
      <w:pPr>
        <w:widowControl/>
        <w:shd w:val="clear" w:color="auto" w:fill="FFFFFF"/>
        <w:spacing w:line="360" w:lineRule="auto"/>
        <w:ind w:firstLine="825"/>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授权委托人签字：                   </w:t>
      </w:r>
    </w:p>
    <w:p>
      <w:pPr>
        <w:widowControl/>
        <w:shd w:val="clear" w:color="auto" w:fill="FFFFFF"/>
        <w:spacing w:line="360" w:lineRule="auto"/>
        <w:ind w:firstLine="840" w:firstLineChars="40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日     期：        年    月    日</w:t>
      </w:r>
    </w:p>
    <w:p>
      <w:pPr>
        <w:widowControl/>
        <w:shd w:val="clear" w:color="auto" w:fill="FFFFFF"/>
        <w:spacing w:line="360" w:lineRule="auto"/>
        <w:ind w:firstLine="840" w:firstLineChars="400"/>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委托代理人的身份证的复印件:</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autoSpaceDE w:val="0"/>
        <w:autoSpaceDN w:val="0"/>
        <w:adjustRightInd w:val="0"/>
        <w:spacing w:line="360" w:lineRule="auto"/>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b/>
          <w:bCs/>
          <w:color w:val="auto"/>
          <w:kern w:val="0"/>
          <w:szCs w:val="21"/>
          <w:highlight w:val="none"/>
        </w:rPr>
        <w:br w:type="page"/>
      </w:r>
      <w:bookmarkStart w:id="10" w:name="_Toc26810"/>
      <w:r>
        <w:rPr>
          <w:rFonts w:hint="eastAsia" w:asciiTheme="minorEastAsia" w:hAnsiTheme="minorEastAsia" w:eastAsiaTheme="minorEastAsia" w:cstheme="minorEastAsia"/>
          <w:b/>
          <w:bCs/>
          <w:color w:val="auto"/>
          <w:kern w:val="0"/>
          <w:szCs w:val="21"/>
          <w:highlight w:val="none"/>
          <w:lang w:val="zh-CN"/>
        </w:rPr>
        <w:t>附件三、报价表</w:t>
      </w:r>
      <w:bookmarkEnd w:id="10"/>
    </w:p>
    <w:p>
      <w:pPr>
        <w:autoSpaceDE w:val="0"/>
        <w:autoSpaceDN w:val="0"/>
        <w:adjustRightInd w:val="0"/>
        <w:rPr>
          <w:rFonts w:asciiTheme="minorEastAsia" w:hAnsiTheme="minorEastAsia" w:eastAsiaTheme="minorEastAsia" w:cstheme="minorEastAsia"/>
          <w:b/>
          <w:bCs/>
          <w:color w:val="auto"/>
          <w:highlight w:val="none"/>
          <w:lang w:val="zh-CN"/>
        </w:rPr>
      </w:pPr>
    </w:p>
    <w:p>
      <w:pPr>
        <w:jc w:val="center"/>
        <w:rPr>
          <w:rFonts w:asciiTheme="minorEastAsia" w:hAnsiTheme="minorEastAsia" w:eastAsiaTheme="minorEastAsia" w:cstheme="minorEastAsia"/>
          <w:b/>
          <w:color w:val="auto"/>
          <w:sz w:val="36"/>
          <w:szCs w:val="36"/>
          <w:highlight w:val="none"/>
        </w:rPr>
      </w:pPr>
      <w:r>
        <w:rPr>
          <w:rFonts w:hint="eastAsia" w:asciiTheme="minorEastAsia" w:hAnsiTheme="minorEastAsia" w:eastAsiaTheme="minorEastAsia" w:cstheme="minorEastAsia"/>
          <w:b/>
          <w:color w:val="auto"/>
          <w:sz w:val="36"/>
          <w:szCs w:val="36"/>
          <w:highlight w:val="none"/>
        </w:rPr>
        <w:t>开标一览表</w:t>
      </w:r>
    </w:p>
    <w:p>
      <w:pPr>
        <w:widowControl/>
        <w:shd w:val="clear" w:color="auto" w:fill="FFFFFF"/>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highlight w:val="none"/>
          <w:lang w:val="zh-CN"/>
        </w:rPr>
        <w:t xml:space="preserve">               </w:t>
      </w:r>
    </w:p>
    <w:p>
      <w:pPr>
        <w:pStyle w:val="14"/>
        <w:spacing w:line="440" w:lineRule="exact"/>
        <w:ind w:firstLine="474" w:firstLineChars="225"/>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项目名称：                                         项目编号：</w:t>
      </w:r>
    </w:p>
    <w:tbl>
      <w:tblPr>
        <w:tblStyle w:val="46"/>
        <w:tblW w:w="864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0"/>
        <w:gridCol w:w="968"/>
        <w:gridCol w:w="4163"/>
        <w:gridCol w:w="16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4"/>
              <w:spacing w:line="440" w:lineRule="exact"/>
              <w:ind w:firstLine="0"/>
              <w:rPr>
                <w:rFonts w:ascii="Arial" w:hAnsi="Arial" w:cs="Arial"/>
                <w:color w:val="auto"/>
                <w:sz w:val="21"/>
                <w:szCs w:val="21"/>
                <w:highlight w:val="none"/>
              </w:rPr>
            </w:pPr>
            <w:r>
              <w:rPr>
                <w:rFonts w:ascii="Arial" w:hAnsi="Arial" w:cs="Arial"/>
                <w:color w:val="auto"/>
                <w:sz w:val="21"/>
                <w:szCs w:val="21"/>
                <w:highlight w:val="none"/>
              </w:rPr>
              <w:t>投标保证金</w:t>
            </w:r>
          </w:p>
        </w:tc>
        <w:tc>
          <w:tcPr>
            <w:tcW w:w="5131" w:type="dxa"/>
            <w:gridSpan w:val="2"/>
            <w:vAlign w:val="center"/>
          </w:tcPr>
          <w:p>
            <w:pPr>
              <w:pStyle w:val="14"/>
              <w:spacing w:line="440" w:lineRule="exact"/>
              <w:ind w:firstLine="0"/>
              <w:rPr>
                <w:rFonts w:ascii="Arial" w:hAnsi="Arial" w:cs="Arial"/>
                <w:color w:val="auto"/>
                <w:sz w:val="21"/>
                <w:szCs w:val="21"/>
                <w:highlight w:val="none"/>
              </w:rPr>
            </w:pPr>
            <w:r>
              <w:rPr>
                <w:rFonts w:ascii="Arial" w:hAnsi="Arial" w:cs="Arial"/>
                <w:color w:val="auto"/>
                <w:sz w:val="21"/>
                <w:szCs w:val="21"/>
                <w:highlight w:val="none"/>
              </w:rPr>
              <w:t xml:space="preserve">金额（大写）：人民币          元整 </w:t>
            </w:r>
          </w:p>
          <w:p>
            <w:pPr>
              <w:pStyle w:val="14"/>
              <w:spacing w:line="440" w:lineRule="exact"/>
              <w:ind w:firstLine="0"/>
              <w:rPr>
                <w:rFonts w:ascii="Arial" w:hAnsi="Arial" w:cs="Arial"/>
                <w:color w:val="auto"/>
                <w:sz w:val="21"/>
                <w:szCs w:val="21"/>
                <w:highlight w:val="none"/>
              </w:rPr>
            </w:pPr>
            <w:r>
              <w:rPr>
                <w:rFonts w:ascii="Arial" w:hAnsi="Arial" w:cs="Arial"/>
                <w:color w:val="auto"/>
                <w:sz w:val="21"/>
                <w:szCs w:val="21"/>
                <w:highlight w:val="none"/>
              </w:rPr>
              <w:t>形       式：银行电汇</w:t>
            </w:r>
          </w:p>
        </w:tc>
        <w:tc>
          <w:tcPr>
            <w:tcW w:w="1639" w:type="dxa"/>
            <w:vAlign w:val="center"/>
          </w:tcPr>
          <w:p>
            <w:pPr>
              <w:pStyle w:val="14"/>
              <w:spacing w:line="440" w:lineRule="exact"/>
              <w:ind w:firstLine="474" w:firstLineChars="225"/>
              <w:rPr>
                <w:rFonts w:ascii="Arial" w:hAnsi="Arial" w:cs="Arial"/>
                <w:color w:val="auto"/>
                <w:sz w:val="21"/>
                <w:szCs w:val="21"/>
                <w:highlight w:val="none"/>
              </w:rPr>
            </w:pPr>
            <w:r>
              <w:rPr>
                <w:rFonts w:ascii="Arial" w:hAnsi="Arial" w:cs="Arial"/>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8" w:hRule="atLeast"/>
        </w:trPr>
        <w:tc>
          <w:tcPr>
            <w:tcW w:w="1870" w:type="dxa"/>
            <w:vAlign w:val="center"/>
          </w:tcPr>
          <w:p>
            <w:pPr>
              <w:pStyle w:val="14"/>
              <w:spacing w:line="440" w:lineRule="exact"/>
              <w:ind w:firstLine="0"/>
              <w:rPr>
                <w:rFonts w:ascii="Arial" w:hAnsi="Arial" w:cs="Arial"/>
                <w:color w:val="auto"/>
                <w:sz w:val="21"/>
                <w:szCs w:val="21"/>
                <w:highlight w:val="none"/>
              </w:rPr>
            </w:pPr>
            <w:r>
              <w:rPr>
                <w:rFonts w:ascii="Arial" w:hAnsi="Arial" w:cs="Arial"/>
                <w:color w:val="auto"/>
                <w:sz w:val="21"/>
                <w:szCs w:val="21"/>
                <w:highlight w:val="none"/>
              </w:rPr>
              <w:t>投标总价</w:t>
            </w:r>
          </w:p>
        </w:tc>
        <w:tc>
          <w:tcPr>
            <w:tcW w:w="968" w:type="dxa"/>
            <w:vAlign w:val="center"/>
          </w:tcPr>
          <w:p>
            <w:pPr>
              <w:pStyle w:val="14"/>
              <w:spacing w:line="440" w:lineRule="exact"/>
              <w:ind w:firstLine="0"/>
              <w:rPr>
                <w:rFonts w:ascii="Arial" w:hAnsi="Arial" w:cs="Arial"/>
                <w:color w:val="auto"/>
                <w:sz w:val="21"/>
                <w:szCs w:val="21"/>
                <w:highlight w:val="none"/>
              </w:rPr>
            </w:pPr>
            <w:r>
              <w:rPr>
                <w:rFonts w:ascii="Arial" w:hAnsi="Arial" w:cs="Arial"/>
                <w:color w:val="auto"/>
                <w:sz w:val="21"/>
                <w:szCs w:val="21"/>
                <w:highlight w:val="none"/>
              </w:rPr>
              <w:t>合计</w:t>
            </w:r>
          </w:p>
        </w:tc>
        <w:tc>
          <w:tcPr>
            <w:tcW w:w="4163" w:type="dxa"/>
            <w:vAlign w:val="center"/>
          </w:tcPr>
          <w:p>
            <w:pPr>
              <w:pStyle w:val="14"/>
              <w:spacing w:line="440" w:lineRule="exact"/>
              <w:ind w:firstLine="0"/>
              <w:rPr>
                <w:rFonts w:ascii="Arial" w:hAnsi="Arial" w:cs="Arial"/>
                <w:bCs/>
                <w:color w:val="auto"/>
                <w:sz w:val="21"/>
                <w:szCs w:val="21"/>
                <w:highlight w:val="none"/>
              </w:rPr>
            </w:pPr>
            <w:r>
              <w:rPr>
                <w:rFonts w:ascii="Arial" w:hAnsi="Arial" w:cs="Arial"/>
                <w:color w:val="auto"/>
                <w:sz w:val="21"/>
                <w:szCs w:val="21"/>
                <w:highlight w:val="none"/>
              </w:rPr>
              <w:t>小写：人民币</w:t>
            </w:r>
            <w:r>
              <w:rPr>
                <w:rFonts w:hint="eastAsia" w:ascii="Arial" w:hAnsi="Arial" w:cs="Arial"/>
                <w:color w:val="auto"/>
                <w:sz w:val="21"/>
                <w:szCs w:val="21"/>
                <w:highlight w:val="none"/>
              </w:rPr>
              <w:t xml:space="preserve"> </w:t>
            </w:r>
            <w:r>
              <w:rPr>
                <w:rFonts w:ascii="Arial" w:hAnsi="Arial" w:cs="Arial"/>
                <w:color w:val="auto"/>
                <w:sz w:val="21"/>
                <w:szCs w:val="21"/>
                <w:highlight w:val="none"/>
              </w:rPr>
              <w:t xml:space="preserve">             </w:t>
            </w:r>
            <w:r>
              <w:rPr>
                <w:rFonts w:ascii="Arial" w:hAnsi="Arial" w:cs="Arial"/>
                <w:bCs/>
                <w:color w:val="auto"/>
                <w:sz w:val="21"/>
                <w:szCs w:val="21"/>
                <w:highlight w:val="none"/>
              </w:rPr>
              <w:t xml:space="preserve">    </w:t>
            </w:r>
          </w:p>
          <w:p>
            <w:pPr>
              <w:pStyle w:val="14"/>
              <w:spacing w:line="440" w:lineRule="exact"/>
              <w:ind w:firstLine="474" w:firstLineChars="225"/>
              <w:rPr>
                <w:rFonts w:ascii="Arial" w:hAnsi="Arial" w:cs="Arial"/>
                <w:color w:val="auto"/>
                <w:sz w:val="21"/>
                <w:szCs w:val="21"/>
                <w:highlight w:val="none"/>
              </w:rPr>
            </w:pPr>
          </w:p>
          <w:p>
            <w:pPr>
              <w:pStyle w:val="14"/>
              <w:spacing w:line="440" w:lineRule="exact"/>
              <w:ind w:firstLine="0"/>
              <w:rPr>
                <w:rFonts w:ascii="Arial" w:hAnsi="Arial" w:cs="Arial"/>
                <w:color w:val="auto"/>
                <w:sz w:val="21"/>
                <w:szCs w:val="21"/>
                <w:highlight w:val="none"/>
              </w:rPr>
            </w:pPr>
            <w:r>
              <w:rPr>
                <w:rFonts w:ascii="Arial" w:hAnsi="Arial" w:cs="Arial"/>
                <w:color w:val="auto"/>
                <w:sz w:val="21"/>
                <w:szCs w:val="21"/>
                <w:highlight w:val="none"/>
              </w:rPr>
              <w:t>大写：人民币</w:t>
            </w:r>
            <w:r>
              <w:rPr>
                <w:rFonts w:hint="eastAsia" w:ascii="Arial" w:hAnsi="Arial" w:cs="Arial"/>
                <w:color w:val="auto"/>
                <w:sz w:val="21"/>
                <w:szCs w:val="21"/>
                <w:highlight w:val="none"/>
              </w:rPr>
              <w:t xml:space="preserve"> </w:t>
            </w:r>
            <w:r>
              <w:rPr>
                <w:rFonts w:ascii="Arial" w:hAnsi="Arial" w:cs="Arial"/>
                <w:color w:val="auto"/>
                <w:sz w:val="21"/>
                <w:szCs w:val="21"/>
                <w:highlight w:val="none"/>
              </w:rPr>
              <w:t xml:space="preserve">                   </w:t>
            </w:r>
          </w:p>
        </w:tc>
        <w:tc>
          <w:tcPr>
            <w:tcW w:w="1639" w:type="dxa"/>
            <w:vAlign w:val="center"/>
          </w:tcPr>
          <w:p>
            <w:pPr>
              <w:pStyle w:val="14"/>
              <w:spacing w:line="440" w:lineRule="exact"/>
              <w:ind w:firstLine="0"/>
              <w:rPr>
                <w:rFonts w:ascii="Arial" w:hAnsi="Arial" w:cs="Arial"/>
                <w:bCs/>
                <w:color w:val="auto"/>
                <w:sz w:val="21"/>
                <w:szCs w:val="21"/>
                <w:highlight w:val="none"/>
              </w:rPr>
            </w:pPr>
          </w:p>
          <w:p>
            <w:pPr>
              <w:pStyle w:val="14"/>
              <w:spacing w:line="440" w:lineRule="exact"/>
              <w:ind w:firstLine="0"/>
              <w:rPr>
                <w:rFonts w:ascii="Arial" w:hAnsi="Arial"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870" w:type="dxa"/>
            <w:vAlign w:val="center"/>
          </w:tcPr>
          <w:p>
            <w:pPr>
              <w:pStyle w:val="14"/>
              <w:spacing w:line="440" w:lineRule="exact"/>
              <w:ind w:firstLine="0"/>
              <w:rPr>
                <w:rFonts w:ascii="Arial" w:hAnsi="Arial" w:cs="Arial"/>
                <w:color w:val="auto"/>
                <w:sz w:val="21"/>
                <w:szCs w:val="21"/>
                <w:highlight w:val="none"/>
              </w:rPr>
            </w:pPr>
            <w:r>
              <w:rPr>
                <w:rFonts w:ascii="Arial" w:hAnsi="Arial" w:cs="Arial"/>
                <w:color w:val="auto"/>
                <w:sz w:val="21"/>
                <w:szCs w:val="21"/>
                <w:highlight w:val="none"/>
              </w:rPr>
              <w:t>服务时间/交付使用时间</w:t>
            </w:r>
          </w:p>
        </w:tc>
        <w:tc>
          <w:tcPr>
            <w:tcW w:w="5131" w:type="dxa"/>
            <w:gridSpan w:val="2"/>
            <w:vAlign w:val="center"/>
          </w:tcPr>
          <w:p>
            <w:pPr>
              <w:pStyle w:val="14"/>
              <w:tabs>
                <w:tab w:val="left" w:pos="3624"/>
              </w:tabs>
              <w:spacing w:line="440" w:lineRule="exact"/>
              <w:ind w:firstLine="474" w:firstLineChars="225"/>
              <w:rPr>
                <w:rFonts w:ascii="Arial" w:hAnsi="Arial" w:cs="Arial"/>
                <w:color w:val="auto"/>
                <w:sz w:val="21"/>
                <w:szCs w:val="21"/>
                <w:highlight w:val="none"/>
                <w:u w:val="single"/>
              </w:rPr>
            </w:pPr>
            <w:r>
              <w:rPr>
                <w:rFonts w:ascii="Arial" w:hAnsi="Arial" w:cs="Arial"/>
                <w:color w:val="auto"/>
                <w:sz w:val="21"/>
                <w:szCs w:val="21"/>
                <w:highlight w:val="none"/>
                <w:u w:val="single"/>
              </w:rPr>
              <w:t>满足招标文件要求。</w:t>
            </w:r>
          </w:p>
        </w:tc>
        <w:tc>
          <w:tcPr>
            <w:tcW w:w="1639" w:type="dxa"/>
            <w:vAlign w:val="center"/>
          </w:tcPr>
          <w:p>
            <w:pPr>
              <w:pStyle w:val="14"/>
              <w:spacing w:line="440" w:lineRule="exact"/>
              <w:ind w:firstLine="474" w:firstLineChars="225"/>
              <w:rPr>
                <w:rFonts w:ascii="Arial" w:hAnsi="Arial" w:cs="Arial"/>
                <w:color w:val="auto"/>
                <w:sz w:val="21"/>
                <w:szCs w:val="21"/>
                <w:highlight w:val="none"/>
              </w:rPr>
            </w:pPr>
          </w:p>
          <w:p>
            <w:pPr>
              <w:pStyle w:val="14"/>
              <w:spacing w:line="440" w:lineRule="exact"/>
              <w:ind w:firstLine="474" w:firstLineChars="225"/>
              <w:rPr>
                <w:rFonts w:ascii="Arial" w:hAnsi="Arial" w:cs="Arial"/>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6" w:hRule="atLeast"/>
        </w:trPr>
        <w:tc>
          <w:tcPr>
            <w:tcW w:w="1870" w:type="dxa"/>
            <w:vAlign w:val="center"/>
          </w:tcPr>
          <w:p>
            <w:pPr>
              <w:pStyle w:val="14"/>
              <w:ind w:firstLine="0"/>
              <w:rPr>
                <w:rFonts w:ascii="Arial" w:hAnsi="Arial" w:cs="Arial" w:eastAsiaTheme="minorEastAsia"/>
                <w:color w:val="auto"/>
                <w:sz w:val="21"/>
                <w:szCs w:val="21"/>
                <w:highlight w:val="none"/>
              </w:rPr>
            </w:pPr>
            <w:r>
              <w:rPr>
                <w:rFonts w:hint="eastAsia" w:ascii="Arial" w:hAnsi="Arial" w:cs="Arial"/>
                <w:color w:val="auto"/>
                <w:sz w:val="21"/>
                <w:szCs w:val="21"/>
                <w:highlight w:val="none"/>
              </w:rPr>
              <w:t>投标标的是否全部由小微企业提供</w:t>
            </w:r>
          </w:p>
        </w:tc>
        <w:tc>
          <w:tcPr>
            <w:tcW w:w="5131" w:type="dxa"/>
            <w:gridSpan w:val="2"/>
            <w:vAlign w:val="center"/>
          </w:tcPr>
          <w:p>
            <w:pPr>
              <w:pStyle w:val="14"/>
              <w:ind w:firstLine="474" w:firstLineChars="225"/>
              <w:rPr>
                <w:rFonts w:ascii="Arial" w:hAnsi="Arial" w:cs="Arial"/>
                <w:color w:val="auto"/>
                <w:sz w:val="21"/>
                <w:szCs w:val="21"/>
                <w:highlight w:val="none"/>
              </w:rPr>
            </w:pPr>
            <w:r>
              <w:rPr>
                <w:rFonts w:ascii="Arial" w:hAnsi="Arial" w:cs="Arial"/>
                <w:color w:val="auto"/>
                <w:sz w:val="21"/>
                <w:szCs w:val="21"/>
                <w:highlight w:val="none"/>
                <w:u w:val="single"/>
              </w:rPr>
              <w:t xml:space="preserve">                    </w:t>
            </w:r>
            <w:r>
              <w:rPr>
                <w:rFonts w:ascii="Arial" w:hAnsi="Arial" w:cs="Arial"/>
                <w:color w:val="auto"/>
                <w:sz w:val="21"/>
                <w:szCs w:val="21"/>
                <w:highlight w:val="none"/>
              </w:rPr>
              <w:t>（</w:t>
            </w:r>
            <w:r>
              <w:rPr>
                <w:rFonts w:ascii="Arial" w:hAnsi="Arial" w:cs="Arial"/>
                <w:color w:val="auto"/>
                <w:sz w:val="21"/>
                <w:szCs w:val="21"/>
                <w:highlight w:val="none"/>
                <w:lang w:val="zh-CN"/>
              </w:rPr>
              <w:t>填写“是”或“否</w:t>
            </w:r>
            <w:r>
              <w:rPr>
                <w:rFonts w:ascii="Arial" w:hAnsi="Arial" w:cs="Arial"/>
                <w:color w:val="auto"/>
                <w:sz w:val="21"/>
                <w:szCs w:val="21"/>
                <w:highlight w:val="none"/>
              </w:rPr>
              <w:t>）</w:t>
            </w:r>
          </w:p>
        </w:tc>
        <w:tc>
          <w:tcPr>
            <w:tcW w:w="1639" w:type="dxa"/>
            <w:vAlign w:val="center"/>
          </w:tcPr>
          <w:p>
            <w:pPr>
              <w:pStyle w:val="14"/>
              <w:ind w:firstLine="474" w:firstLineChars="225"/>
              <w:rPr>
                <w:rFonts w:ascii="Arial" w:hAnsi="Arial" w:cs="Arial"/>
                <w:color w:val="auto"/>
                <w:sz w:val="21"/>
                <w:szCs w:val="21"/>
                <w:highlight w:val="none"/>
              </w:rPr>
            </w:pPr>
          </w:p>
        </w:tc>
      </w:tr>
    </w:tbl>
    <w:p>
      <w:pPr>
        <w:pStyle w:val="14"/>
        <w:spacing w:line="440" w:lineRule="exact"/>
        <w:ind w:firstLine="474" w:firstLineChars="225"/>
        <w:rPr>
          <w:rFonts w:asciiTheme="minorEastAsia" w:hAnsiTheme="minorEastAsia" w:eastAsiaTheme="minorEastAsia" w:cstheme="minorEastAsia"/>
          <w:color w:val="auto"/>
          <w:sz w:val="21"/>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投标单位（盖章）：</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 xml:space="preserve">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法定代表人或授权代表（签字）：</w:t>
      </w:r>
      <w:r>
        <w:rPr>
          <w:rFonts w:hint="eastAsia" w:asciiTheme="minorEastAsia" w:hAnsiTheme="minorEastAsia" w:eastAsiaTheme="minorEastAsia" w:cstheme="minorEastAsia"/>
          <w:color w:val="auto"/>
          <w:kern w:val="0"/>
          <w:szCs w:val="21"/>
          <w:highlight w:val="none"/>
          <w:u w:val="singl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说明：</w:t>
      </w:r>
    </w:p>
    <w:p>
      <w:pPr>
        <w:widowControl/>
        <w:numPr>
          <w:ilvl w:val="0"/>
          <w:numId w:val="6"/>
        </w:numPr>
        <w:shd w:val="clear" w:color="auto" w:fill="FFFFFF"/>
        <w:spacing w:line="360" w:lineRule="auto"/>
        <w:ind w:firstLine="422" w:firstLineChars="20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本项目仅接受一个价格，不得填报有选择性报价方案。若有优惠条款须注明，但不得影响报价，影响产品整体功能。</w:t>
      </w:r>
    </w:p>
    <w:p>
      <w:pPr>
        <w:widowControl/>
        <w:shd w:val="clear" w:color="auto" w:fill="FFFFFF"/>
        <w:spacing w:line="360" w:lineRule="auto"/>
        <w:ind w:firstLine="420"/>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kern w:val="0"/>
          <w:szCs w:val="21"/>
          <w:highlight w:val="none"/>
        </w:rPr>
        <w:t>2、</w:t>
      </w:r>
      <w:r>
        <w:rPr>
          <w:rFonts w:hint="eastAsia" w:ascii="宋体" w:hAnsi="宋体" w:cs="宋体"/>
          <w:b/>
          <w:bCs/>
          <w:color w:val="auto"/>
          <w:szCs w:val="21"/>
          <w:highlight w:val="none"/>
        </w:rPr>
        <w:t>“投标标的是否全部由小微企业提供</w:t>
      </w:r>
      <w:r>
        <w:rPr>
          <w:rFonts w:hint="eastAsia" w:ascii="宋体" w:hAnsi="宋体" w:cs="宋体"/>
          <w:b/>
          <w:bCs/>
          <w:color w:val="auto"/>
          <w:szCs w:val="21"/>
          <w:highlight w:val="none"/>
          <w:lang w:val="zh-CN"/>
        </w:rPr>
        <w:t>”栏内填写“是”或“否”。如填写“是”，</w:t>
      </w:r>
      <w:r>
        <w:rPr>
          <w:rFonts w:hint="eastAsia" w:ascii="宋体" w:hAnsi="宋体" w:cs="宋体"/>
          <w:b/>
          <w:bCs/>
          <w:color w:val="auto"/>
          <w:szCs w:val="21"/>
          <w:highlight w:val="none"/>
        </w:rPr>
        <w:t>投标人应按招标文件要求提供《中小企业声明函》、《残疾人福利性单位声明函》、《属于监狱企业的证明文件》。如未按要求提供、填写，或相关内容表述不清前后矛盾的，不享受价格扣除。</w:t>
      </w:r>
    </w:p>
    <w:p>
      <w:pPr>
        <w:widowControl/>
        <w:shd w:val="clear" w:color="auto" w:fill="FFFFFF"/>
        <w:spacing w:line="360" w:lineRule="auto"/>
        <w:ind w:firstLine="420"/>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szCs w:val="21"/>
          <w:highlight w:val="none"/>
        </w:rPr>
        <w:t>如未按要求提供、填写，或相关内容表述不清前后矛盾的，不享受价格扣除</w:t>
      </w:r>
      <w:r>
        <w:rPr>
          <w:rFonts w:hint="eastAsia" w:asciiTheme="minorEastAsia" w:hAnsiTheme="minorEastAsia" w:eastAsiaTheme="minorEastAsia" w:cstheme="minorEastAsia"/>
          <w:b/>
          <w:bCs/>
          <w:color w:val="auto"/>
          <w:kern w:val="0"/>
          <w:szCs w:val="21"/>
          <w:highlight w:val="none"/>
        </w:rPr>
        <w:t>。</w:t>
      </w:r>
    </w:p>
    <w:p>
      <w:pPr>
        <w:widowControl/>
        <w:shd w:val="clear" w:color="auto" w:fill="FFFFFF"/>
        <w:spacing w:line="360" w:lineRule="auto"/>
        <w:ind w:firstLine="422" w:firstLineChars="200"/>
        <w:jc w:val="left"/>
        <w:rPr>
          <w:rFonts w:asciiTheme="minorEastAsia" w:hAnsiTheme="minorEastAsia" w:eastAsiaTheme="minorEastAsia" w:cstheme="minorEastAsia"/>
          <w:b/>
          <w:bCs/>
          <w:color w:val="auto"/>
          <w:kern w:val="0"/>
          <w:szCs w:val="21"/>
          <w:highlight w:val="none"/>
        </w:rPr>
        <w:sectPr>
          <w:pgSz w:w="11906" w:h="16838"/>
          <w:pgMar w:top="1440" w:right="1800" w:bottom="1440" w:left="1600" w:header="851" w:footer="992" w:gutter="0"/>
          <w:cols w:space="720" w:num="1"/>
          <w:titlePg/>
          <w:docGrid w:type="lines" w:linePitch="312" w:charSpace="0"/>
        </w:sectPr>
      </w:pPr>
      <w:bookmarkStart w:id="11" w:name="_Toc12264"/>
    </w:p>
    <w:p>
      <w:pPr>
        <w:widowControl/>
        <w:shd w:val="clear" w:color="auto" w:fill="FFFFFF"/>
        <w:spacing w:line="360" w:lineRule="auto"/>
        <w:jc w:val="left"/>
        <w:rPr>
          <w:rFonts w:asciiTheme="minorEastAsia" w:hAnsiTheme="minorEastAsia" w:eastAsiaTheme="minorEastAsia" w:cstheme="minorEastAsia"/>
          <w:b/>
          <w:bCs/>
          <w:color w:val="auto"/>
          <w:kern w:val="0"/>
          <w:szCs w:val="21"/>
          <w:highlight w:val="none"/>
          <w:lang w:val="zh-CN"/>
        </w:rPr>
      </w:pPr>
      <w:r>
        <w:rPr>
          <w:rFonts w:hint="eastAsia" w:asciiTheme="minorEastAsia" w:hAnsiTheme="minorEastAsia" w:eastAsiaTheme="minorEastAsia" w:cstheme="minorEastAsia"/>
          <w:b/>
          <w:bCs/>
          <w:color w:val="auto"/>
          <w:kern w:val="0"/>
          <w:szCs w:val="21"/>
          <w:highlight w:val="none"/>
          <w:lang w:val="zh-CN"/>
        </w:rPr>
        <w:t>附件四、分项报价表格式</w:t>
      </w:r>
      <w:bookmarkEnd w:id="11"/>
    </w:p>
    <w:p>
      <w:pPr>
        <w:widowControl/>
        <w:adjustRightInd w:val="0"/>
        <w:spacing w:line="240" w:lineRule="atLeast"/>
        <w:jc w:val="left"/>
        <w:rPr>
          <w:rFonts w:asciiTheme="minorEastAsia" w:hAnsiTheme="minorEastAsia" w:eastAsiaTheme="minorEastAsia" w:cstheme="minorEastAsia"/>
          <w:b/>
          <w:bCs/>
          <w:color w:val="auto"/>
          <w:kern w:val="0"/>
          <w:highlight w:val="none"/>
          <w:lang w:val="zh-CN"/>
        </w:rPr>
      </w:pPr>
    </w:p>
    <w:p>
      <w:pPr>
        <w:widowControl/>
        <w:shd w:val="clear" w:color="auto" w:fill="FFFFFF"/>
        <w:spacing w:line="360" w:lineRule="auto"/>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分项报价表</w:t>
      </w:r>
    </w:p>
    <w:p>
      <w:pPr>
        <w:widowControl/>
        <w:shd w:val="clear" w:color="auto" w:fill="FFFFFF"/>
        <w:spacing w:line="360" w:lineRule="auto"/>
        <w:jc w:val="left"/>
        <w:rPr>
          <w:rFonts w:asciiTheme="minorEastAsia" w:hAnsiTheme="minorEastAsia" w:eastAsiaTheme="minorEastAsia" w:cstheme="minorEastAsia"/>
          <w:color w:val="auto"/>
          <w:kern w:val="0"/>
          <w:highlight w:val="none"/>
        </w:rPr>
      </w:pPr>
    </w:p>
    <w:tbl>
      <w:tblPr>
        <w:tblStyle w:val="46"/>
        <w:tblW w:w="86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193"/>
        <w:gridCol w:w="1002"/>
        <w:gridCol w:w="1124"/>
        <w:gridCol w:w="709"/>
        <w:gridCol w:w="708"/>
        <w:gridCol w:w="656"/>
        <w:gridCol w:w="812"/>
        <w:gridCol w:w="1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193"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分项内容</w:t>
            </w:r>
          </w:p>
        </w:tc>
        <w:tc>
          <w:tcPr>
            <w:tcW w:w="100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制造商名称</w:t>
            </w:r>
          </w:p>
        </w:tc>
        <w:tc>
          <w:tcPr>
            <w:tcW w:w="1124"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型号规格</w:t>
            </w:r>
          </w:p>
        </w:tc>
        <w:tc>
          <w:tcPr>
            <w:tcW w:w="709"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单位</w:t>
            </w:r>
          </w:p>
        </w:tc>
        <w:tc>
          <w:tcPr>
            <w:tcW w:w="708"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数量</w:t>
            </w:r>
          </w:p>
        </w:tc>
        <w:tc>
          <w:tcPr>
            <w:tcW w:w="656"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单价</w:t>
            </w:r>
          </w:p>
        </w:tc>
        <w:tc>
          <w:tcPr>
            <w:tcW w:w="812" w:type="dxa"/>
            <w:vAlign w:val="center"/>
          </w:tcPr>
          <w:p>
            <w:pP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合价</w:t>
            </w:r>
          </w:p>
        </w:tc>
        <w:tc>
          <w:tcPr>
            <w:tcW w:w="1630"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是否小、微企业产品（货物或服务）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w:t>
            </w: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6</w:t>
            </w:r>
          </w:p>
        </w:tc>
        <w:tc>
          <w:tcPr>
            <w:tcW w:w="1193" w:type="dxa"/>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w:t>
            </w: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812" w:type="dxa"/>
            <w:vAlign w:val="center"/>
          </w:tcPr>
          <w:p>
            <w:pPr>
              <w:widowControl/>
              <w:rPr>
                <w:rFonts w:asciiTheme="minorEastAsia" w:hAnsiTheme="minorEastAsia" w:eastAsiaTheme="minorEastAsia" w:cstheme="minorEastAsia"/>
                <w:color w:val="auto"/>
                <w:kern w:val="0"/>
                <w:szCs w:val="21"/>
                <w:highlight w:val="none"/>
              </w:rPr>
            </w:pPr>
          </w:p>
        </w:tc>
        <w:tc>
          <w:tcPr>
            <w:tcW w:w="1193" w:type="dxa"/>
            <w:vAlign w:val="center"/>
          </w:tcPr>
          <w:p>
            <w:pPr>
              <w:widowControl/>
              <w:rPr>
                <w:rFonts w:asciiTheme="minorEastAsia" w:hAnsiTheme="minorEastAsia" w:eastAsiaTheme="minorEastAsia" w:cstheme="minorEastAsia"/>
                <w:color w:val="auto"/>
                <w:kern w:val="0"/>
                <w:szCs w:val="21"/>
                <w:highlight w:val="none"/>
              </w:rPr>
            </w:pPr>
          </w:p>
        </w:tc>
        <w:tc>
          <w:tcPr>
            <w:tcW w:w="1002" w:type="dxa"/>
            <w:vAlign w:val="center"/>
          </w:tcPr>
          <w:p>
            <w:pPr>
              <w:widowControl/>
              <w:rPr>
                <w:rFonts w:asciiTheme="minorEastAsia" w:hAnsiTheme="minorEastAsia" w:eastAsiaTheme="minorEastAsia" w:cstheme="minorEastAsia"/>
                <w:color w:val="auto"/>
                <w:kern w:val="0"/>
                <w:szCs w:val="21"/>
                <w:highlight w:val="none"/>
              </w:rPr>
            </w:pPr>
          </w:p>
        </w:tc>
        <w:tc>
          <w:tcPr>
            <w:tcW w:w="1124" w:type="dxa"/>
            <w:vAlign w:val="center"/>
          </w:tcPr>
          <w:p>
            <w:pPr>
              <w:widowControl/>
              <w:rPr>
                <w:rFonts w:asciiTheme="minorEastAsia" w:hAnsiTheme="minorEastAsia" w:eastAsiaTheme="minorEastAsia" w:cstheme="minorEastAsia"/>
                <w:color w:val="auto"/>
                <w:kern w:val="0"/>
                <w:szCs w:val="21"/>
                <w:highlight w:val="none"/>
              </w:rPr>
            </w:pPr>
          </w:p>
        </w:tc>
        <w:tc>
          <w:tcPr>
            <w:tcW w:w="709" w:type="dxa"/>
            <w:vAlign w:val="center"/>
          </w:tcPr>
          <w:p>
            <w:pPr>
              <w:widowControl/>
              <w:rPr>
                <w:rFonts w:asciiTheme="minorEastAsia" w:hAnsiTheme="minorEastAsia" w:eastAsiaTheme="minorEastAsia" w:cstheme="minorEastAsia"/>
                <w:color w:val="auto"/>
                <w:kern w:val="0"/>
                <w:szCs w:val="21"/>
                <w:highlight w:val="none"/>
              </w:rPr>
            </w:pPr>
          </w:p>
        </w:tc>
        <w:tc>
          <w:tcPr>
            <w:tcW w:w="708" w:type="dxa"/>
            <w:vAlign w:val="center"/>
          </w:tcPr>
          <w:p>
            <w:pPr>
              <w:widowControl/>
              <w:rPr>
                <w:rFonts w:asciiTheme="minorEastAsia" w:hAnsiTheme="minorEastAsia" w:eastAsiaTheme="minorEastAsia" w:cstheme="minorEastAsia"/>
                <w:color w:val="auto"/>
                <w:kern w:val="0"/>
                <w:szCs w:val="21"/>
                <w:highlight w:val="none"/>
              </w:rPr>
            </w:pPr>
          </w:p>
        </w:tc>
        <w:tc>
          <w:tcPr>
            <w:tcW w:w="656" w:type="dxa"/>
            <w:vAlign w:val="center"/>
          </w:tcPr>
          <w:p>
            <w:pPr>
              <w:widowControl/>
              <w:rPr>
                <w:rFonts w:asciiTheme="minorEastAsia" w:hAnsiTheme="minorEastAsia" w:eastAsiaTheme="minorEastAsia" w:cstheme="minorEastAsia"/>
                <w:color w:val="auto"/>
                <w:kern w:val="0"/>
                <w:szCs w:val="21"/>
                <w:highlight w:val="none"/>
              </w:rPr>
            </w:pPr>
          </w:p>
        </w:tc>
        <w:tc>
          <w:tcPr>
            <w:tcW w:w="812" w:type="dxa"/>
            <w:vAlign w:val="center"/>
          </w:tcPr>
          <w:p>
            <w:pPr>
              <w:rPr>
                <w:rFonts w:asciiTheme="minorEastAsia" w:hAnsiTheme="minorEastAsia" w:eastAsiaTheme="minorEastAsia" w:cstheme="minorEastAsia"/>
                <w:color w:val="auto"/>
                <w:kern w:val="0"/>
                <w:szCs w:val="21"/>
                <w:highlight w:val="none"/>
              </w:rPr>
            </w:pPr>
          </w:p>
        </w:tc>
        <w:tc>
          <w:tcPr>
            <w:tcW w:w="1630" w:type="dxa"/>
            <w:vAlign w:val="center"/>
          </w:tcPr>
          <w:p>
            <w:pPr>
              <w:widowControl/>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2005" w:type="dxa"/>
            <w:gridSpan w:val="2"/>
            <w:vAlign w:val="center"/>
          </w:tcPr>
          <w:p>
            <w:pPr>
              <w:widowControl/>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合计：          </w:t>
            </w:r>
          </w:p>
        </w:tc>
        <w:tc>
          <w:tcPr>
            <w:tcW w:w="6641" w:type="dxa"/>
            <w:gridSpan w:val="7"/>
            <w:vAlign w:val="center"/>
          </w:tcPr>
          <w:p>
            <w:pPr>
              <w:widowControl/>
              <w:ind w:firstLine="1680" w:firstLineChars="8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元(小数点保留两位)</w:t>
            </w:r>
          </w:p>
        </w:tc>
      </w:tr>
    </w:tbl>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说明：</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1、如果行数不够，请自行增加。</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2、未注明小微企业的，不享受价格扣除。</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投标单位（盖章）：</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 xml:space="preserve">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法定代表人或授权代表（签字）：</w:t>
      </w:r>
      <w:r>
        <w:rPr>
          <w:rFonts w:hint="eastAsia" w:asciiTheme="minorEastAsia" w:hAnsiTheme="minorEastAsia" w:eastAsiaTheme="minorEastAsia" w:cstheme="minorEastAsia"/>
          <w:color w:val="auto"/>
          <w:kern w:val="0"/>
          <w:szCs w:val="21"/>
          <w:highlight w:val="none"/>
          <w:u w:val="singl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xml:space="preserve">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highlight w:val="none"/>
        </w:rPr>
        <w:t xml:space="preserve">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br w:type="page"/>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r>
        <w:rPr>
          <w:rFonts w:hint="eastAsia" w:asciiTheme="minorEastAsia" w:hAnsiTheme="minorEastAsia" w:eastAsiaTheme="minorEastAsia" w:cstheme="minorEastAsia"/>
          <w:b/>
          <w:bCs/>
          <w:color w:val="auto"/>
          <w:kern w:val="0"/>
          <w:szCs w:val="21"/>
          <w:highlight w:val="none"/>
        </w:rPr>
        <w:t>附件五、技术规格偏离表格式</w:t>
      </w:r>
    </w:p>
    <w:p>
      <w:pPr>
        <w:widowControl/>
        <w:shd w:val="clear" w:color="auto" w:fill="FFFFFF"/>
        <w:spacing w:line="360" w:lineRule="auto"/>
        <w:ind w:left="435"/>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 </w:t>
      </w:r>
    </w:p>
    <w:p>
      <w:pPr>
        <w:widowControl/>
        <w:shd w:val="clear" w:color="auto" w:fill="FFFFFF"/>
        <w:spacing w:line="360" w:lineRule="auto"/>
        <w:ind w:left="420"/>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 w:val="36"/>
          <w:szCs w:val="36"/>
          <w:highlight w:val="none"/>
        </w:rPr>
        <w:t>技术条款偏离表</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tabs>
          <w:tab w:val="left" w:pos="5397"/>
        </w:tabs>
        <w:spacing w:line="360" w:lineRule="auto"/>
        <w:ind w:firstLine="84" w:firstLineChars="4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项目编号：  </w:t>
      </w:r>
    </w:p>
    <w:tbl>
      <w:tblPr>
        <w:tblStyle w:val="46"/>
        <w:tblW w:w="8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42"/>
        <w:gridCol w:w="1678"/>
        <w:gridCol w:w="1931"/>
        <w:gridCol w:w="3012"/>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序号</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招标文件条目号</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招标要求规格</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投标响应</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64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67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93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3012"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246"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r>
    </w:tbl>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说明：如果行数不够，请自行增加。</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投标单位（盖章）：</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 xml:space="preserve">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法定代表人或授权代表（签字）：</w:t>
      </w:r>
      <w:r>
        <w:rPr>
          <w:rFonts w:hint="eastAsia" w:asciiTheme="minorEastAsia" w:hAnsiTheme="minorEastAsia" w:eastAsiaTheme="minorEastAsia" w:cstheme="minorEastAsia"/>
          <w:color w:val="auto"/>
          <w:kern w:val="0"/>
          <w:szCs w:val="21"/>
          <w:highlight w:val="none"/>
          <w:u w:val="singl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
          <w:bCs/>
          <w:color w:val="auto"/>
          <w:kern w:val="0"/>
          <w:szCs w:val="21"/>
          <w:highlight w:val="none"/>
        </w:rPr>
        <w:br w:type="page"/>
      </w:r>
      <w:r>
        <w:rPr>
          <w:rFonts w:hint="eastAsia" w:asciiTheme="minorEastAsia" w:hAnsiTheme="minorEastAsia" w:eastAsiaTheme="minorEastAsia" w:cstheme="minorEastAsia"/>
          <w:b/>
          <w:bCs/>
          <w:color w:val="auto"/>
          <w:kern w:val="0"/>
          <w:szCs w:val="21"/>
          <w:highlight w:val="none"/>
        </w:rPr>
        <w:t>附件六、商务条款偏离表格式</w:t>
      </w:r>
    </w:p>
    <w:p>
      <w:pPr>
        <w:widowControl/>
        <w:shd w:val="clear" w:color="auto" w:fill="FFFFFF"/>
        <w:spacing w:line="360" w:lineRule="auto"/>
        <w:ind w:firstLine="420"/>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ind w:left="420"/>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 w:val="36"/>
          <w:szCs w:val="36"/>
          <w:highlight w:val="none"/>
        </w:rPr>
        <w:t>商务条款偏离表</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 w:val="24"/>
          <w:highlight w:val="none"/>
        </w:rPr>
        <w:t> </w:t>
      </w:r>
    </w:p>
    <w:p>
      <w:pPr>
        <w:widowControl/>
        <w:tabs>
          <w:tab w:val="left" w:pos="5366"/>
        </w:tabs>
        <w:spacing w:line="360" w:lineRule="auto"/>
        <w:ind w:firstLine="96" w:firstLineChars="46"/>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r>
        <w:rPr>
          <w:rFonts w:hint="eastAsia" w:asciiTheme="minorEastAsia" w:hAnsiTheme="minorEastAsia" w:eastAsiaTheme="minorEastAsia" w:cstheme="minorEastAsia"/>
          <w:color w:val="auto"/>
          <w:kern w:val="0"/>
          <w:szCs w:val="21"/>
          <w:highlight w:val="none"/>
        </w:rPr>
        <w:tab/>
      </w:r>
      <w:r>
        <w:rPr>
          <w:rFonts w:hint="eastAsia" w:asciiTheme="minorEastAsia" w:hAnsiTheme="minorEastAsia" w:eastAsiaTheme="minorEastAsia" w:cstheme="minorEastAsia"/>
          <w:color w:val="auto"/>
          <w:kern w:val="0"/>
          <w:szCs w:val="21"/>
          <w:highlight w:val="none"/>
        </w:rPr>
        <w:t>项目编号：         </w:t>
      </w:r>
    </w:p>
    <w:tbl>
      <w:tblPr>
        <w:tblStyle w:val="46"/>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679"/>
        <w:gridCol w:w="2488"/>
        <w:gridCol w:w="3004"/>
        <w:gridCol w:w="12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序号</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招标文件条目号</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招标文件要求的商务条款</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投标响应</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b/>
                <w:color w:val="auto"/>
                <w:kern w:val="0"/>
                <w:szCs w:val="21"/>
                <w:highlight w:val="none"/>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0"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679"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2488"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3004"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c>
          <w:tcPr>
            <w:tcW w:w="1201" w:type="dxa"/>
            <w:tcMar>
              <w:top w:w="0" w:type="dxa"/>
              <w:left w:w="10" w:type="dxa"/>
              <w:bottom w:w="0" w:type="dxa"/>
              <w:right w:w="10" w:type="dxa"/>
            </w:tcMar>
            <w:vAlign w:val="center"/>
          </w:tcPr>
          <w:p>
            <w:pPr>
              <w:widowControl/>
              <w:spacing w:line="360" w:lineRule="auto"/>
              <w:jc w:val="center"/>
              <w:rPr>
                <w:rFonts w:asciiTheme="minorEastAsia" w:hAnsiTheme="minorEastAsia" w:eastAsiaTheme="minorEastAsia" w:cstheme="minorEastAsia"/>
                <w:color w:val="auto"/>
                <w:kern w:val="0"/>
                <w:szCs w:val="21"/>
                <w:highlight w:val="none"/>
              </w:rPr>
            </w:pPr>
          </w:p>
        </w:tc>
      </w:tr>
    </w:tbl>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说明：如果行数不够，请自行增加。</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投标单位（盖章）：</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 xml:space="preserve">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法定代表人或授权代表（签字）：</w:t>
      </w:r>
      <w:r>
        <w:rPr>
          <w:rFonts w:hint="eastAsia" w:asciiTheme="minorEastAsia" w:hAnsiTheme="minorEastAsia" w:eastAsiaTheme="minorEastAsia" w:cstheme="minorEastAsia"/>
          <w:color w:val="auto"/>
          <w:kern w:val="0"/>
          <w:szCs w:val="21"/>
          <w:highlight w:val="none"/>
          <w:u w:val="singl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b/>
          <w:color w:val="auto"/>
          <w:szCs w:val="21"/>
          <w:highlight w:val="none"/>
          <w:lang w:val="zh-CN"/>
        </w:rPr>
      </w:pPr>
      <w:r>
        <w:rPr>
          <w:rFonts w:hint="eastAsia" w:asciiTheme="minorEastAsia" w:hAnsiTheme="minorEastAsia" w:eastAsiaTheme="minorEastAsia" w:cstheme="minorEastAsia"/>
          <w:b/>
          <w:bCs/>
          <w:color w:val="auto"/>
          <w:kern w:val="0"/>
          <w:szCs w:val="21"/>
          <w:highlight w:val="none"/>
        </w:rPr>
        <w:br w:type="page"/>
      </w:r>
      <w:r>
        <w:rPr>
          <w:rFonts w:hint="eastAsia" w:asciiTheme="minorEastAsia" w:hAnsiTheme="minorEastAsia" w:eastAsiaTheme="minorEastAsia" w:cstheme="minorEastAsia"/>
          <w:b/>
          <w:bCs/>
          <w:color w:val="auto"/>
          <w:kern w:val="0"/>
          <w:szCs w:val="21"/>
          <w:highlight w:val="none"/>
        </w:rPr>
        <w:t>附件七、</w:t>
      </w:r>
      <w:r>
        <w:rPr>
          <w:rFonts w:hint="eastAsia" w:asciiTheme="minorEastAsia" w:hAnsiTheme="minorEastAsia" w:eastAsiaTheme="minorEastAsia" w:cstheme="minorEastAsia"/>
          <w:b/>
          <w:color w:val="auto"/>
          <w:szCs w:val="21"/>
          <w:highlight w:val="none"/>
          <w:lang w:val="zh-CN"/>
        </w:rPr>
        <w:t>技术说明与服务方案</w:t>
      </w:r>
    </w:p>
    <w:p>
      <w:pPr>
        <w:widowControl/>
        <w:shd w:val="clear" w:color="auto" w:fill="FFFFFF"/>
        <w:spacing w:line="360" w:lineRule="auto"/>
        <w:jc w:val="left"/>
        <w:rPr>
          <w:rFonts w:asciiTheme="minorEastAsia" w:hAnsiTheme="minorEastAsia" w:eastAsiaTheme="minorEastAsia" w:cstheme="minorEastAsia"/>
          <w:b/>
          <w:color w:val="auto"/>
          <w:szCs w:val="21"/>
          <w:highlight w:val="none"/>
          <w:lang w:val="zh-CN"/>
        </w:rPr>
      </w:pPr>
    </w:p>
    <w:p>
      <w:pPr>
        <w:pStyle w:val="183"/>
        <w:snapToGrid w:val="0"/>
        <w:spacing w:before="0" w:after="0"/>
        <w:ind w:firstLine="420" w:firstLineChars="200"/>
        <w:rPr>
          <w:rFonts w:asciiTheme="minorEastAsia" w:hAnsiTheme="minorEastAsia" w:eastAsiaTheme="minorEastAsia" w:cstheme="minorEastAsia"/>
          <w:color w:val="auto"/>
          <w:kern w:val="2"/>
          <w:sz w:val="21"/>
          <w:szCs w:val="21"/>
          <w:highlight w:val="none"/>
        </w:rPr>
      </w:pPr>
      <w:r>
        <w:rPr>
          <w:rFonts w:hint="eastAsia" w:asciiTheme="minorEastAsia" w:hAnsiTheme="minorEastAsia" w:eastAsiaTheme="minorEastAsia" w:cstheme="minorEastAsia"/>
          <w:color w:val="auto"/>
          <w:kern w:val="2"/>
          <w:sz w:val="21"/>
          <w:szCs w:val="21"/>
          <w:highlight w:val="none"/>
        </w:rPr>
        <w:t>技术方案及服务承诺应根据招标人对项目的要求、评标标准的要求及项目本身的特点编写，内容应包括但不限于以下内容：</w:t>
      </w:r>
    </w:p>
    <w:p>
      <w:pPr>
        <w:pStyle w:val="183"/>
        <w:snapToGrid w:val="0"/>
        <w:spacing w:before="0" w:after="0"/>
        <w:ind w:firstLine="420" w:firstLineChars="200"/>
        <w:rPr>
          <w:rFonts w:asciiTheme="minorEastAsia" w:hAnsiTheme="minorEastAsia" w:eastAsiaTheme="minorEastAsia" w:cstheme="minorEastAsia"/>
          <w:color w:val="auto"/>
          <w:kern w:val="2"/>
          <w:sz w:val="21"/>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p>
    <w:p>
      <w:pPr>
        <w:widowControl/>
        <w:shd w:val="clear" w:color="auto" w:fill="FFFFFF"/>
        <w:spacing w:line="360" w:lineRule="auto"/>
        <w:jc w:val="left"/>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 </w:t>
      </w:r>
    </w:p>
    <w:p>
      <w:pPr>
        <w:widowControl/>
        <w:adjustRightInd w:val="0"/>
        <w:spacing w:line="460" w:lineRule="atLeast"/>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b/>
          <w:bCs/>
          <w:color w:val="auto"/>
          <w:kern w:val="0"/>
          <w:sz w:val="24"/>
          <w:highlight w:val="none"/>
        </w:rPr>
        <w:t>附件八、拟参与本项目服务人员一览表</w:t>
      </w:r>
    </w:p>
    <w:p>
      <w:pPr>
        <w:widowControl/>
        <w:adjustRightInd w:val="0"/>
        <w:spacing w:line="460" w:lineRule="atLeast"/>
        <w:rPr>
          <w:rFonts w:asciiTheme="minorEastAsia" w:hAnsiTheme="minorEastAsia" w:eastAsiaTheme="minorEastAsia" w:cstheme="minorEastAsia"/>
          <w:b/>
          <w:bCs/>
          <w:color w:val="auto"/>
          <w:kern w:val="0"/>
          <w:sz w:val="24"/>
          <w:highlight w:val="none"/>
        </w:rPr>
      </w:pPr>
    </w:p>
    <w:p>
      <w:pPr>
        <w:widowControl/>
        <w:adjustRightInd w:val="0"/>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拟参与本项目服务人员一览表</w:t>
      </w:r>
    </w:p>
    <w:p>
      <w:pPr>
        <w:widowControl/>
        <w:adjustRightInd w:val="0"/>
        <w:jc w:val="center"/>
        <w:rPr>
          <w:rFonts w:asciiTheme="minorEastAsia" w:hAnsiTheme="minorEastAsia" w:eastAsiaTheme="minorEastAsia" w:cstheme="minorEastAsia"/>
          <w:b/>
          <w:bCs/>
          <w:color w:val="auto"/>
          <w:kern w:val="0"/>
          <w:sz w:val="24"/>
          <w:highlight w:val="none"/>
        </w:rPr>
      </w:pPr>
    </w:p>
    <w:p>
      <w:pPr>
        <w:widowControl/>
        <w:adjustRightInd w:val="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                                 项目编号：</w:t>
      </w:r>
    </w:p>
    <w:tbl>
      <w:tblPr>
        <w:tblStyle w:val="46"/>
        <w:tblW w:w="9464" w:type="dxa"/>
        <w:jc w:val="center"/>
        <w:tblLayout w:type="fixed"/>
        <w:tblCellMar>
          <w:top w:w="0" w:type="dxa"/>
          <w:left w:w="108" w:type="dxa"/>
          <w:bottom w:w="0" w:type="dxa"/>
          <w:right w:w="108" w:type="dxa"/>
        </w:tblCellMar>
      </w:tblPr>
      <w:tblGrid>
        <w:gridCol w:w="534"/>
        <w:gridCol w:w="896"/>
        <w:gridCol w:w="663"/>
        <w:gridCol w:w="709"/>
        <w:gridCol w:w="1134"/>
        <w:gridCol w:w="931"/>
        <w:gridCol w:w="1020"/>
        <w:gridCol w:w="994"/>
        <w:gridCol w:w="882"/>
        <w:gridCol w:w="850"/>
        <w:gridCol w:w="851"/>
      </w:tblGrid>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序号</w:t>
            </w:r>
          </w:p>
        </w:tc>
        <w:tc>
          <w:tcPr>
            <w:tcW w:w="896"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姓名</w:t>
            </w:r>
          </w:p>
        </w:tc>
        <w:tc>
          <w:tcPr>
            <w:tcW w:w="663"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性别</w:t>
            </w:r>
          </w:p>
        </w:tc>
        <w:tc>
          <w:tcPr>
            <w:tcW w:w="709"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年龄</w:t>
            </w:r>
          </w:p>
        </w:tc>
        <w:tc>
          <w:tcPr>
            <w:tcW w:w="113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专业</w:t>
            </w:r>
          </w:p>
        </w:tc>
        <w:tc>
          <w:tcPr>
            <w:tcW w:w="93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学历</w:t>
            </w:r>
          </w:p>
        </w:tc>
        <w:tc>
          <w:tcPr>
            <w:tcW w:w="102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执业</w:t>
            </w:r>
          </w:p>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资格</w:t>
            </w:r>
          </w:p>
        </w:tc>
        <w:tc>
          <w:tcPr>
            <w:tcW w:w="994"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证书号</w:t>
            </w:r>
          </w:p>
        </w:tc>
        <w:tc>
          <w:tcPr>
            <w:tcW w:w="882"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技术职称</w:t>
            </w:r>
          </w:p>
        </w:tc>
        <w:tc>
          <w:tcPr>
            <w:tcW w:w="850"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相关工作年限</w:t>
            </w:r>
          </w:p>
        </w:tc>
        <w:tc>
          <w:tcPr>
            <w:tcW w:w="851" w:type="dxa"/>
            <w:tcBorders>
              <w:top w:val="single" w:color="000000" w:sz="4" w:space="0"/>
              <w:left w:val="nil"/>
              <w:bottom w:val="single" w:color="000000" w:sz="4" w:space="0"/>
              <w:right w:val="single" w:color="000000" w:sz="4" w:space="0"/>
            </w:tcBorders>
            <w:vAlign w:val="center"/>
          </w:tcPr>
          <w:p>
            <w:pPr>
              <w:widowControl/>
              <w:adjustRightInd w:val="0"/>
              <w:jc w:val="center"/>
              <w:rPr>
                <w:rFonts w:asciiTheme="minorEastAsia" w:hAnsiTheme="minorEastAsia" w:eastAsiaTheme="minorEastAsia" w:cstheme="minorEastAsia"/>
                <w:b/>
                <w:bCs/>
                <w:color w:val="auto"/>
                <w:kern w:val="0"/>
                <w:szCs w:val="21"/>
                <w:highlight w:val="none"/>
              </w:rPr>
            </w:pPr>
            <w:r>
              <w:rPr>
                <w:rFonts w:hint="eastAsia" w:asciiTheme="minorEastAsia" w:hAnsiTheme="minorEastAsia" w:eastAsiaTheme="minorEastAsia" w:cstheme="minorEastAsia"/>
                <w:b/>
                <w:bCs/>
                <w:color w:val="auto"/>
                <w:kern w:val="0"/>
                <w:szCs w:val="21"/>
                <w:highlight w:val="none"/>
              </w:rPr>
              <w:t>备注</w:t>
            </w: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534" w:type="dxa"/>
            <w:tcBorders>
              <w:top w:val="single" w:color="000000" w:sz="4" w:space="0"/>
              <w:left w:val="single" w:color="000000" w:sz="4" w:space="0"/>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96"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663"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709"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3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102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994"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82"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0"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c>
          <w:tcPr>
            <w:tcW w:w="851" w:type="dxa"/>
            <w:tcBorders>
              <w:top w:val="single" w:color="000000" w:sz="4" w:space="0"/>
              <w:left w:val="nil"/>
              <w:bottom w:val="single" w:color="000000" w:sz="4" w:space="0"/>
              <w:right w:val="single" w:color="000000" w:sz="4" w:space="0"/>
            </w:tcBorders>
          </w:tcPr>
          <w:p>
            <w:pPr>
              <w:widowControl/>
              <w:adjustRightInd w:val="0"/>
              <w:rPr>
                <w:rFonts w:asciiTheme="minorEastAsia" w:hAnsiTheme="minorEastAsia" w:eastAsiaTheme="minorEastAsia" w:cstheme="minorEastAsia"/>
                <w:color w:val="auto"/>
                <w:kern w:val="0"/>
                <w:szCs w:val="21"/>
                <w:highlight w:val="none"/>
              </w:rPr>
            </w:pPr>
          </w:p>
        </w:tc>
      </w:tr>
    </w:tbl>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投标单位（盖章）：</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 xml:space="preserve">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法定代表人或授权代表（签字）：</w:t>
      </w:r>
      <w:r>
        <w:rPr>
          <w:rFonts w:hint="eastAsia" w:asciiTheme="minorEastAsia" w:hAnsiTheme="minorEastAsia" w:eastAsiaTheme="minorEastAsia" w:cstheme="minorEastAsia"/>
          <w:color w:val="auto"/>
          <w:kern w:val="0"/>
          <w:szCs w:val="21"/>
          <w:highlight w:val="none"/>
          <w:u w:val="single"/>
        </w:rPr>
        <w:t>                              </w:t>
      </w:r>
    </w:p>
    <w:p>
      <w:pPr>
        <w:widowControl/>
        <w:adjustRightInd w:val="0"/>
        <w:rPr>
          <w:rFonts w:asciiTheme="minorEastAsia" w:hAnsiTheme="minorEastAsia" w:eastAsiaTheme="minorEastAsia" w:cstheme="minorEastAsia"/>
          <w:color w:val="auto"/>
          <w:kern w:val="0"/>
          <w:szCs w:val="21"/>
          <w:highlight w:val="none"/>
        </w:rPr>
      </w:pPr>
    </w:p>
    <w:p>
      <w:pPr>
        <w:widowControl/>
        <w:adjustRightInd w:val="0"/>
        <w:rPr>
          <w:rFonts w:asciiTheme="minorEastAsia" w:hAnsiTheme="minorEastAsia" w:eastAsiaTheme="minorEastAsia" w:cstheme="minorEastAsia"/>
          <w:b/>
          <w:bCs/>
          <w:color w:val="auto"/>
          <w:kern w:val="0"/>
          <w:szCs w:val="21"/>
          <w:highlight w:val="none"/>
        </w:rPr>
      </w:pPr>
    </w:p>
    <w:p>
      <w:pPr>
        <w:widowControl/>
        <w:adjustRightInd w:val="0"/>
        <w:spacing w:line="360" w:lineRule="auto"/>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br w:type="page"/>
      </w:r>
      <w:r>
        <w:rPr>
          <w:rFonts w:hint="eastAsia" w:asciiTheme="minorEastAsia" w:hAnsiTheme="minorEastAsia" w:eastAsiaTheme="minorEastAsia" w:cstheme="minorEastAsia"/>
          <w:b/>
          <w:bCs/>
          <w:color w:val="auto"/>
          <w:kern w:val="0"/>
          <w:sz w:val="24"/>
          <w:highlight w:val="none"/>
        </w:rPr>
        <w:t>附件九、 投标人类似业绩情况表</w:t>
      </w:r>
    </w:p>
    <w:p>
      <w:pPr>
        <w:widowControl/>
        <w:adjustRightInd w:val="0"/>
        <w:spacing w:line="360" w:lineRule="auto"/>
        <w:jc w:val="center"/>
        <w:rPr>
          <w:rFonts w:asciiTheme="minorEastAsia" w:hAnsiTheme="minorEastAsia" w:eastAsiaTheme="minorEastAsia" w:cstheme="minorEastAsia"/>
          <w:b/>
          <w:bCs/>
          <w:color w:val="auto"/>
          <w:kern w:val="0"/>
          <w:sz w:val="24"/>
          <w:highlight w:val="none"/>
        </w:rPr>
      </w:pPr>
    </w:p>
    <w:p>
      <w:pPr>
        <w:widowControl/>
        <w:adjustRightInd w:val="0"/>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投标人近三年类似业绩情况表</w:t>
      </w:r>
    </w:p>
    <w:tbl>
      <w:tblPr>
        <w:tblStyle w:val="46"/>
        <w:tblW w:w="9470" w:type="dxa"/>
        <w:jc w:val="center"/>
        <w:tblLayout w:type="fixed"/>
        <w:tblCellMar>
          <w:top w:w="0" w:type="dxa"/>
          <w:left w:w="108" w:type="dxa"/>
          <w:bottom w:w="0" w:type="dxa"/>
          <w:right w:w="108" w:type="dxa"/>
        </w:tblCellMar>
      </w:tblPr>
      <w:tblGrid>
        <w:gridCol w:w="682"/>
        <w:gridCol w:w="1559"/>
        <w:gridCol w:w="1418"/>
        <w:gridCol w:w="992"/>
        <w:gridCol w:w="1034"/>
        <w:gridCol w:w="1517"/>
        <w:gridCol w:w="1134"/>
        <w:gridCol w:w="1134"/>
      </w:tblGrid>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序号</w:t>
            </w:r>
          </w:p>
        </w:tc>
        <w:tc>
          <w:tcPr>
            <w:tcW w:w="1559"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项目名称</w:t>
            </w:r>
          </w:p>
        </w:tc>
        <w:tc>
          <w:tcPr>
            <w:tcW w:w="1418"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业主单位</w:t>
            </w:r>
          </w:p>
        </w:tc>
        <w:tc>
          <w:tcPr>
            <w:tcW w:w="992"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项目</w:t>
            </w:r>
          </w:p>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规模</w:t>
            </w:r>
          </w:p>
        </w:tc>
        <w:tc>
          <w:tcPr>
            <w:tcW w:w="1034" w:type="dxa"/>
            <w:tcBorders>
              <w:top w:val="single" w:color="000000" w:sz="4" w:space="0"/>
              <w:left w:val="nil"/>
              <w:bottom w:val="single" w:color="000000" w:sz="4" w:space="0"/>
              <w:right w:val="single" w:color="000000" w:sz="4" w:space="0"/>
            </w:tcBorders>
            <w:vAlign w:val="center"/>
          </w:tcPr>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获奖</w:t>
            </w:r>
          </w:p>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情况</w:t>
            </w: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签约及服务</w:t>
            </w:r>
          </w:p>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时间</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联系人及电话</w:t>
            </w: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备注</w:t>
            </w: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ind w:firstLine="120"/>
              <w:rPr>
                <w:rFonts w:asciiTheme="minorEastAsia" w:hAnsiTheme="minorEastAsia" w:eastAsiaTheme="minorEastAsia" w:cstheme="minorEastAsia"/>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r>
      <w:tr>
        <w:tblPrEx>
          <w:tblCellMar>
            <w:top w:w="0" w:type="dxa"/>
            <w:left w:w="108" w:type="dxa"/>
            <w:bottom w:w="0" w:type="dxa"/>
            <w:right w:w="108" w:type="dxa"/>
          </w:tblCellMar>
        </w:tblPrEx>
        <w:trPr>
          <w:jc w:val="center"/>
        </w:trPr>
        <w:tc>
          <w:tcPr>
            <w:tcW w:w="682" w:type="dxa"/>
            <w:tcBorders>
              <w:top w:val="single" w:color="000000" w:sz="4" w:space="0"/>
              <w:left w:val="single" w:color="000000" w:sz="4" w:space="0"/>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59"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418"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992"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0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517"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c>
          <w:tcPr>
            <w:tcW w:w="1134" w:type="dxa"/>
            <w:tcBorders>
              <w:top w:val="single" w:color="000000" w:sz="4" w:space="0"/>
              <w:left w:val="nil"/>
              <w:bottom w:val="single" w:color="000000" w:sz="4" w:space="0"/>
              <w:right w:val="single" w:color="000000" w:sz="4" w:space="0"/>
            </w:tcBorders>
          </w:tcPr>
          <w:p>
            <w:pPr>
              <w:widowControl/>
              <w:spacing w:line="400" w:lineRule="atLeast"/>
              <w:jc w:val="center"/>
              <w:rPr>
                <w:rFonts w:asciiTheme="minorEastAsia" w:hAnsiTheme="minorEastAsia" w:eastAsiaTheme="minorEastAsia" w:cstheme="minorEastAsia"/>
                <w:color w:val="auto"/>
                <w:kern w:val="0"/>
                <w:szCs w:val="21"/>
                <w:highlight w:val="none"/>
              </w:rPr>
            </w:pPr>
          </w:p>
        </w:tc>
      </w:tr>
    </w:tbl>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投标单位（盖章）：</w:t>
      </w:r>
      <w:r>
        <w:rPr>
          <w:rFonts w:hint="eastAsia" w:asciiTheme="minorEastAsia" w:hAnsiTheme="minorEastAsia" w:eastAsiaTheme="minorEastAsia" w:cstheme="minorEastAsia"/>
          <w:color w:val="auto"/>
          <w:kern w:val="0"/>
          <w:szCs w:val="21"/>
          <w:highlight w:val="none"/>
          <w:u w:val="single"/>
        </w:rPr>
        <w:t>                             </w:t>
      </w:r>
      <w:r>
        <w:rPr>
          <w:rFonts w:hint="eastAsia" w:asciiTheme="minorEastAsia" w:hAnsiTheme="minorEastAsia" w:eastAsiaTheme="minorEastAsia" w:cstheme="minorEastAsia"/>
          <w:color w:val="auto"/>
          <w:kern w:val="0"/>
          <w:szCs w:val="21"/>
          <w:highlight w:val="none"/>
        </w:rPr>
        <w:t xml:space="preserve"> </w:t>
      </w:r>
    </w:p>
    <w:p>
      <w:pPr>
        <w:widowControl/>
        <w:shd w:val="clear" w:color="auto" w:fill="FFFFFF"/>
        <w:spacing w:line="360" w:lineRule="auto"/>
        <w:jc w:val="left"/>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rPr>
        <w:t>法定代表人或授权代表（签字）：</w:t>
      </w:r>
      <w:r>
        <w:rPr>
          <w:rFonts w:hint="eastAsia" w:asciiTheme="minorEastAsia" w:hAnsiTheme="minorEastAsia" w:eastAsiaTheme="minorEastAsia" w:cstheme="minorEastAsia"/>
          <w:color w:val="auto"/>
          <w:kern w:val="0"/>
          <w:szCs w:val="21"/>
          <w:highlight w:val="none"/>
          <w:u w:val="single"/>
        </w:rPr>
        <w:t>                              </w:t>
      </w:r>
    </w:p>
    <w:p>
      <w:pPr>
        <w:widowControl/>
        <w:adjustRightInd w:val="0"/>
        <w:spacing w:line="360" w:lineRule="auto"/>
        <w:rPr>
          <w:rFonts w:asciiTheme="minorEastAsia" w:hAnsiTheme="minorEastAsia" w:eastAsiaTheme="minorEastAsia" w:cstheme="minorEastAsia"/>
          <w:b/>
          <w:bCs/>
          <w:color w:val="auto"/>
          <w:kern w:val="0"/>
          <w:szCs w:val="21"/>
          <w:highlight w:val="none"/>
        </w:rPr>
      </w:pPr>
    </w:p>
    <w:p>
      <w:pPr>
        <w:widowControl/>
        <w:adjustRightInd w:val="0"/>
        <w:spacing w:line="360" w:lineRule="auto"/>
        <w:rPr>
          <w:rFonts w:asciiTheme="minorEastAsia" w:hAnsiTheme="minorEastAsia" w:eastAsiaTheme="minorEastAsia" w:cstheme="minorEastAsia"/>
          <w:b/>
          <w:bCs/>
          <w:color w:val="auto"/>
          <w:kern w:val="0"/>
          <w:szCs w:val="21"/>
          <w:highlight w:val="none"/>
        </w:rPr>
      </w:pPr>
    </w:p>
    <w:p>
      <w:pPr>
        <w:spacing w:line="360" w:lineRule="auto"/>
        <w:rPr>
          <w:rFonts w:asciiTheme="minorEastAsia" w:hAnsiTheme="minorEastAsia" w:eastAsiaTheme="minorEastAsia" w:cstheme="minorEastAsia"/>
          <w:color w:val="auto"/>
          <w:highlight w:val="none"/>
        </w:rPr>
      </w:pPr>
    </w:p>
    <w:p>
      <w:pPr>
        <w:spacing w:line="360" w:lineRule="auto"/>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color w:val="auto"/>
          <w:highlight w:val="none"/>
        </w:rPr>
        <w:br w:type="page"/>
      </w:r>
      <w:r>
        <w:rPr>
          <w:rFonts w:hint="eastAsia" w:asciiTheme="minorEastAsia" w:hAnsiTheme="minorEastAsia" w:eastAsiaTheme="minorEastAsia" w:cstheme="minorEastAsia"/>
          <w:b/>
          <w:color w:val="auto"/>
          <w:highlight w:val="none"/>
        </w:rPr>
        <w:t>附件十</w:t>
      </w:r>
      <w:r>
        <w:rPr>
          <w:rFonts w:hint="eastAsia" w:asciiTheme="minorEastAsia" w:hAnsiTheme="minorEastAsia" w:eastAsiaTheme="minorEastAsia" w:cstheme="minorEastAsia"/>
          <w:b/>
          <w:bCs/>
          <w:color w:val="auto"/>
          <w:highlight w:val="none"/>
        </w:rPr>
        <w:t>：企业声明函格式</w:t>
      </w:r>
    </w:p>
    <w:p>
      <w:pPr>
        <w:widowControl/>
        <w:shd w:val="clear" w:color="auto" w:fill="FFFFFF"/>
        <w:spacing w:before="312" w:beforeLines="100" w:line="360" w:lineRule="auto"/>
        <w:jc w:val="center"/>
        <w:rPr>
          <w:rFonts w:ascii="宋体" w:hAnsi="宋体"/>
          <w:b/>
          <w:color w:val="auto"/>
          <w:kern w:val="0"/>
          <w:sz w:val="28"/>
          <w:szCs w:val="28"/>
          <w:highlight w:val="none"/>
        </w:rPr>
      </w:pPr>
      <w:r>
        <w:rPr>
          <w:rFonts w:hint="eastAsia" w:ascii="宋体" w:hAnsi="宋体"/>
          <w:b/>
          <w:color w:val="auto"/>
          <w:kern w:val="0"/>
          <w:sz w:val="28"/>
          <w:szCs w:val="28"/>
          <w:highlight w:val="none"/>
        </w:rPr>
        <w:t>中小企业声明函（货物）</w:t>
      </w:r>
    </w:p>
    <w:p>
      <w:pPr>
        <w:widowControl/>
        <w:spacing w:line="360" w:lineRule="auto"/>
        <w:ind w:firstLine="480" w:firstLineChars="200"/>
        <w:jc w:val="left"/>
        <w:rPr>
          <w:rFonts w:ascii="仿宋" w:hAnsi="仿宋" w:eastAsia="仿宋"/>
          <w:color w:val="auto"/>
          <w:sz w:val="24"/>
          <w:highlight w:val="none"/>
        </w:rPr>
      </w:pP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本公司（联合体）郑重声明，根据《政府采购促进中小企业发展管理办法》（财库﹝2021﹞46号）的规定，本公司（联合体）参加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采购活动，提供的货物全部由符合政策要求的中小企业制造。相关企业（含联合体中的中小企业、签订分包意向协议的中小企业）的具体情况如下：</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 xml:space="preserve"> ，属于</w:t>
      </w:r>
      <w:r>
        <w:rPr>
          <w:rFonts w:hint="eastAsia" w:ascii="宋体" w:hAnsi="宋体" w:cs="宋体"/>
          <w:color w:val="auto"/>
          <w:szCs w:val="21"/>
          <w:highlight w:val="none"/>
          <w:u w:val="single"/>
        </w:rPr>
        <w:t>（采购文件中明确的所属行业）行业</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 xml:space="preserve"> ，属于</w:t>
      </w:r>
      <w:r>
        <w:rPr>
          <w:rFonts w:hint="eastAsia" w:ascii="宋体" w:hAnsi="宋体" w:cs="宋体"/>
          <w:color w:val="auto"/>
          <w:szCs w:val="21"/>
          <w:highlight w:val="none"/>
          <w:u w:val="single"/>
        </w:rPr>
        <w:t>（采购文件中明确的所属行业）行业</w:t>
      </w:r>
      <w:r>
        <w:rPr>
          <w:rFonts w:hint="eastAsia" w:ascii="宋体" w:hAnsi="宋体" w:cs="宋体"/>
          <w:color w:val="auto"/>
          <w:szCs w:val="21"/>
          <w:highlight w:val="none"/>
        </w:rPr>
        <w:t>；制造商为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pPr>
        <w:spacing w:line="360" w:lineRule="auto"/>
        <w:jc w:val="left"/>
        <w:rPr>
          <w:rFonts w:ascii="宋体" w:hAnsi="宋体" w:cs="宋体"/>
          <w:color w:val="auto"/>
          <w:szCs w:val="21"/>
          <w:highlight w:val="none"/>
        </w:rPr>
      </w:pPr>
    </w:p>
    <w:p>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企业名称（盖章）：     </w:t>
      </w:r>
    </w:p>
    <w:p>
      <w:pPr>
        <w:wordWrap w:val="0"/>
        <w:spacing w:line="360" w:lineRule="auto"/>
        <w:jc w:val="right"/>
        <w:rPr>
          <w:rFonts w:ascii="宋体" w:hAnsi="宋体" w:cs="宋体"/>
          <w:color w:val="auto"/>
          <w:szCs w:val="21"/>
          <w:highlight w:val="none"/>
        </w:rPr>
      </w:pPr>
      <w:r>
        <w:rPr>
          <w:rFonts w:hint="eastAsia" w:ascii="宋体" w:hAnsi="宋体" w:cs="宋体"/>
          <w:color w:val="auto"/>
          <w:szCs w:val="21"/>
          <w:highlight w:val="none"/>
        </w:rPr>
        <w:t xml:space="preserve">日期：                </w:t>
      </w:r>
    </w:p>
    <w:p>
      <w:pPr>
        <w:spacing w:line="360" w:lineRule="auto"/>
        <w:jc w:val="left"/>
        <w:rPr>
          <w:rFonts w:ascii="宋体" w:hAnsi="宋体" w:cs="宋体"/>
          <w:color w:val="auto"/>
          <w:szCs w:val="21"/>
          <w:highlight w:val="none"/>
        </w:rPr>
      </w:pPr>
    </w:p>
    <w:p>
      <w:pPr>
        <w:spacing w:line="360" w:lineRule="auto"/>
        <w:jc w:val="left"/>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1从业人员、营业收入、资产总额填报上一年度数据，无上一年度数据的新成立企业可不填报。</w:t>
      </w:r>
    </w:p>
    <w:p>
      <w:pPr>
        <w:rPr>
          <w:rFonts w:ascii="宋体" w:hAnsi="宋体" w:cs="宋体"/>
          <w:color w:val="auto"/>
          <w:sz w:val="18"/>
          <w:highlight w:val="none"/>
        </w:rPr>
      </w:pPr>
      <w:r>
        <w:rPr>
          <w:rFonts w:hint="eastAsia" w:ascii="宋体" w:hAnsi="宋体" w:cs="宋体"/>
          <w:color w:val="auto"/>
          <w:sz w:val="18"/>
          <w:highlight w:val="none"/>
        </w:rPr>
        <w:br w:type="page"/>
      </w:r>
    </w:p>
    <w:p>
      <w:pPr>
        <w:widowControl/>
        <w:shd w:val="clear" w:color="auto" w:fill="FFFFFF"/>
        <w:spacing w:before="312" w:beforeLines="100" w:line="360" w:lineRule="auto"/>
        <w:jc w:val="cente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中小企业声明函（工程、服务）</w:t>
      </w:r>
    </w:p>
    <w:p>
      <w:pPr>
        <w:widowControl/>
        <w:spacing w:line="360" w:lineRule="auto"/>
        <w:ind w:firstLine="480" w:firstLineChars="200"/>
        <w:jc w:val="left"/>
        <w:rPr>
          <w:rFonts w:ascii="宋体" w:hAnsi="宋体" w:cs="宋体"/>
          <w:color w:val="auto"/>
          <w:sz w:val="24"/>
          <w:highlight w:val="none"/>
        </w:rPr>
      </w:pP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本公司（联合体）郑重声明，根据《政府采购促进中小企业发展管理办法》（财库﹝2021﹞46 号）的规定，本公司（联合体）参加</w:t>
      </w:r>
      <w:r>
        <w:rPr>
          <w:rFonts w:hint="eastAsia" w:ascii="宋体" w:hAnsi="宋体" w:cs="宋体"/>
          <w:color w:val="auto"/>
          <w:szCs w:val="21"/>
          <w:highlight w:val="none"/>
          <w:u w:val="single"/>
        </w:rPr>
        <w:t>（单位名称）</w:t>
      </w:r>
      <w:r>
        <w:rPr>
          <w:rFonts w:hint="eastAsia" w:ascii="宋体" w:hAnsi="宋体" w:cs="宋体"/>
          <w:color w:val="auto"/>
          <w:szCs w:val="21"/>
          <w:highlight w:val="none"/>
        </w:rPr>
        <w:t>的</w:t>
      </w:r>
      <w:r>
        <w:rPr>
          <w:rFonts w:hint="eastAsia" w:ascii="宋体" w:hAnsi="宋体" w:cs="宋体"/>
          <w:color w:val="auto"/>
          <w:szCs w:val="21"/>
          <w:highlight w:val="none"/>
          <w:u w:val="single"/>
        </w:rPr>
        <w:t>（项目名称）</w:t>
      </w:r>
      <w:r>
        <w:rPr>
          <w:rFonts w:hint="eastAsia" w:ascii="宋体" w:hAnsi="宋体" w:cs="宋体"/>
          <w:color w:val="auto"/>
          <w:szCs w:val="21"/>
          <w:highlight w:val="none"/>
        </w:rPr>
        <w:t>采购活动，工程的施工单位全部为符合政策要求的中小企业（或者：服务全部由符合政策要求的中小企业承接）。相关企业（含联合体中的中小企业、签订分包意向协议的中小企业）的具体情况如下：</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1. </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 xml:space="preserve"> ，属于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w:t>
      </w:r>
      <w:r>
        <w:rPr>
          <w:rFonts w:hint="eastAsia" w:ascii="宋体" w:hAnsi="宋体" w:cs="宋体"/>
          <w:color w:val="auto"/>
          <w:szCs w:val="21"/>
          <w:highlight w:val="none"/>
          <w:vertAlign w:val="superscript"/>
        </w:rPr>
        <w:t>1</w:t>
      </w:r>
      <w:r>
        <w:rPr>
          <w:rFonts w:hint="eastAsia" w:ascii="宋体" w:hAnsi="宋体" w:cs="宋体"/>
          <w:color w:val="auto"/>
          <w:szCs w:val="21"/>
          <w:highlight w:val="none"/>
        </w:rPr>
        <w:t>，属于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2. </w:t>
      </w:r>
      <w:r>
        <w:rPr>
          <w:rFonts w:hint="eastAsia" w:ascii="宋体" w:hAnsi="宋体" w:cs="宋体"/>
          <w:color w:val="auto"/>
          <w:szCs w:val="21"/>
          <w:highlight w:val="none"/>
          <w:u w:val="single"/>
        </w:rPr>
        <w:t>（标的名称）</w:t>
      </w:r>
      <w:r>
        <w:rPr>
          <w:rFonts w:hint="eastAsia" w:ascii="宋体" w:hAnsi="宋体" w:cs="宋体"/>
          <w:color w:val="auto"/>
          <w:szCs w:val="21"/>
          <w:highlight w:val="none"/>
        </w:rPr>
        <w:t xml:space="preserve"> ，属于</w:t>
      </w:r>
      <w:r>
        <w:rPr>
          <w:rFonts w:hint="eastAsia" w:ascii="宋体" w:hAnsi="宋体" w:cs="宋体"/>
          <w:color w:val="auto"/>
          <w:szCs w:val="21"/>
          <w:highlight w:val="none"/>
          <w:u w:val="single"/>
        </w:rPr>
        <w:t>（采购文件中明确的所属行业）</w:t>
      </w:r>
      <w:r>
        <w:rPr>
          <w:rFonts w:hint="eastAsia" w:ascii="宋体" w:hAnsi="宋体" w:cs="宋体"/>
          <w:color w:val="auto"/>
          <w:szCs w:val="21"/>
          <w:highlight w:val="none"/>
        </w:rPr>
        <w:t>；承建（承接）企业为</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万元，属于</w:t>
      </w:r>
      <w:r>
        <w:rPr>
          <w:rFonts w:hint="eastAsia" w:ascii="宋体" w:hAnsi="宋体" w:cs="宋体"/>
          <w:color w:val="auto"/>
          <w:szCs w:val="21"/>
          <w:highlight w:val="none"/>
          <w:u w:val="single"/>
        </w:rPr>
        <w:t>（中型企业、小型企业、微型企业）</w:t>
      </w:r>
      <w:r>
        <w:rPr>
          <w:rFonts w:hint="eastAsia" w:ascii="宋体" w:hAnsi="宋体" w:cs="宋体"/>
          <w:color w:val="auto"/>
          <w:szCs w:val="21"/>
          <w:highlight w:val="none"/>
        </w:rPr>
        <w:t>；</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w:t>
      </w:r>
    </w:p>
    <w:p>
      <w:pPr>
        <w:widowControl/>
        <w:spacing w:line="360" w:lineRule="auto"/>
        <w:ind w:firstLine="420" w:firstLineChars="200"/>
        <w:jc w:val="left"/>
        <w:rPr>
          <w:rFonts w:ascii="宋体" w:hAnsi="宋体" w:cs="宋体"/>
          <w:color w:val="auto"/>
          <w:szCs w:val="21"/>
          <w:highlight w:val="none"/>
        </w:rPr>
      </w:pPr>
    </w:p>
    <w:p>
      <w:pPr>
        <w:widowControl/>
        <w:wordWrap w:val="0"/>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 xml:space="preserve">企业名称（盖章）：    </w:t>
      </w:r>
    </w:p>
    <w:p>
      <w:pPr>
        <w:widowControl/>
        <w:wordWrap w:val="0"/>
        <w:spacing w:line="360" w:lineRule="auto"/>
        <w:ind w:firstLine="420" w:firstLineChars="200"/>
        <w:jc w:val="right"/>
        <w:rPr>
          <w:rFonts w:ascii="宋体" w:hAnsi="宋体" w:cs="宋体"/>
          <w:color w:val="auto"/>
          <w:szCs w:val="21"/>
          <w:highlight w:val="none"/>
        </w:rPr>
      </w:pPr>
      <w:r>
        <w:rPr>
          <w:rFonts w:hint="eastAsia" w:ascii="宋体" w:hAnsi="宋体" w:cs="宋体"/>
          <w:color w:val="auto"/>
          <w:szCs w:val="21"/>
          <w:highlight w:val="none"/>
        </w:rPr>
        <w:t xml:space="preserve">日期：               </w:t>
      </w: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p>
    <w:p>
      <w:pPr>
        <w:rPr>
          <w:rFonts w:ascii="宋体" w:hAnsi="宋体" w:cs="宋体"/>
          <w:color w:val="auto"/>
          <w:szCs w:val="21"/>
          <w:highlight w:val="none"/>
        </w:rPr>
      </w:pPr>
      <w:r>
        <w:rPr>
          <w:rFonts w:hint="eastAsia" w:ascii="宋体" w:hAnsi="宋体" w:cs="宋体"/>
          <w:color w:val="auto"/>
          <w:szCs w:val="21"/>
          <w:highlight w:val="none"/>
        </w:rPr>
        <w:t>1 从业人员、营业收入、资产总额填报上一年度数据，无上一年度数据的新成立企业可不填报。</w:t>
      </w:r>
    </w:p>
    <w:p>
      <w:pPr>
        <w:widowControl/>
        <w:spacing w:line="440" w:lineRule="exact"/>
        <w:ind w:firstLine="5760" w:firstLineChars="2400"/>
        <w:jc w:val="left"/>
        <w:rPr>
          <w:rFonts w:asciiTheme="minorEastAsia" w:hAnsiTheme="minorEastAsia" w:eastAsiaTheme="minorEastAsia" w:cstheme="minorEastAsia"/>
          <w:bCs/>
          <w:snapToGrid w:val="0"/>
          <w:color w:val="auto"/>
          <w:kern w:val="0"/>
          <w:sz w:val="24"/>
          <w:highlight w:val="none"/>
        </w:rPr>
      </w:pPr>
    </w:p>
    <w:p>
      <w:pPr>
        <w:spacing w:line="360" w:lineRule="auto"/>
        <w:jc w:val="center"/>
        <w:rPr>
          <w:rFonts w:asciiTheme="minorEastAsia" w:hAnsiTheme="minorEastAsia" w:eastAsiaTheme="minorEastAsia" w:cstheme="minorEastAsia"/>
          <w:b/>
          <w:bCs/>
          <w:color w:val="auto"/>
          <w:sz w:val="28"/>
          <w:highlight w:val="none"/>
        </w:rPr>
      </w:pPr>
    </w:p>
    <w:p>
      <w:pPr>
        <w:spacing w:line="360" w:lineRule="auto"/>
        <w:jc w:val="center"/>
        <w:rPr>
          <w:rFonts w:asciiTheme="minorEastAsia" w:hAnsiTheme="minorEastAsia" w:eastAsiaTheme="minorEastAsia" w:cstheme="minorEastAsia"/>
          <w:b/>
          <w:bCs/>
          <w:color w:val="auto"/>
          <w:sz w:val="28"/>
          <w:highlight w:val="none"/>
        </w:rPr>
      </w:pPr>
      <w:bookmarkStart w:id="12" w:name="OLE_LINK14"/>
      <w:bookmarkStart w:id="13" w:name="OLE_LINK13"/>
    </w:p>
    <w:p>
      <w:pPr>
        <w:spacing w:line="360" w:lineRule="auto"/>
        <w:jc w:val="center"/>
        <w:rPr>
          <w:rFonts w:asciiTheme="minorEastAsia" w:hAnsiTheme="minorEastAsia" w:eastAsiaTheme="minorEastAsia" w:cstheme="minorEastAsia"/>
          <w:b/>
          <w:bCs/>
          <w:color w:val="auto"/>
          <w:sz w:val="28"/>
          <w:highlight w:val="none"/>
        </w:rPr>
      </w:pPr>
    </w:p>
    <w:p>
      <w:pPr>
        <w:spacing w:line="360" w:lineRule="auto"/>
        <w:jc w:val="center"/>
        <w:rPr>
          <w:rFonts w:asciiTheme="minorEastAsia" w:hAnsiTheme="minorEastAsia" w:eastAsiaTheme="minorEastAsia" w:cstheme="minorEastAsia"/>
          <w:b/>
          <w:bCs/>
          <w:color w:val="auto"/>
          <w:sz w:val="28"/>
          <w:highlight w:val="none"/>
        </w:rPr>
      </w:pPr>
    </w:p>
    <w:p>
      <w:pPr>
        <w:spacing w:line="360" w:lineRule="auto"/>
        <w:jc w:val="center"/>
        <w:rPr>
          <w:rFonts w:asciiTheme="minorEastAsia" w:hAnsiTheme="minorEastAsia" w:eastAsiaTheme="minorEastAsia" w:cstheme="minorEastAsia"/>
          <w:b/>
          <w:bCs/>
          <w:color w:val="auto"/>
          <w:sz w:val="28"/>
          <w:highlight w:val="none"/>
        </w:rPr>
      </w:pPr>
      <w:r>
        <w:rPr>
          <w:rFonts w:hint="eastAsia" w:asciiTheme="minorEastAsia" w:hAnsiTheme="minorEastAsia" w:eastAsiaTheme="minorEastAsia" w:cstheme="minorEastAsia"/>
          <w:b/>
          <w:bCs/>
          <w:color w:val="auto"/>
          <w:sz w:val="28"/>
          <w:highlight w:val="none"/>
        </w:rPr>
        <w:t>残疾人福利性单位声明函</w:t>
      </w:r>
    </w:p>
    <w:bookmarkEnd w:id="12"/>
    <w:bookmarkEnd w:id="13"/>
    <w:p>
      <w:pPr>
        <w:widowControl/>
        <w:spacing w:line="440" w:lineRule="exact"/>
        <w:ind w:firstLine="420" w:firstLineChars="200"/>
        <w:jc w:val="left"/>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widowControl/>
        <w:spacing w:line="440" w:lineRule="exact"/>
        <w:ind w:firstLine="420" w:firstLineChars="200"/>
        <w:jc w:val="left"/>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本单位对上述声明的真实性负责。如有虚假，将依法承担相应责任。</w:t>
      </w:r>
    </w:p>
    <w:p>
      <w:pPr>
        <w:widowControl/>
        <w:spacing w:line="440" w:lineRule="exact"/>
        <w:ind w:firstLine="5040" w:firstLineChars="2400"/>
        <w:jc w:val="left"/>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单位名称（盖章）：</w:t>
      </w:r>
    </w:p>
    <w:p>
      <w:pPr>
        <w:widowControl/>
        <w:spacing w:line="440" w:lineRule="exact"/>
        <w:ind w:firstLine="5040" w:firstLineChars="2400"/>
        <w:jc w:val="left"/>
        <w:rPr>
          <w:rFonts w:asciiTheme="minorEastAsia" w:hAnsiTheme="minorEastAsia" w:eastAsiaTheme="minorEastAsia" w:cstheme="minorEastAsia"/>
          <w:snapToGrid w:val="0"/>
          <w:color w:val="auto"/>
          <w:kern w:val="0"/>
          <w:szCs w:val="21"/>
          <w:highlight w:val="none"/>
        </w:rPr>
      </w:pPr>
      <w:r>
        <w:rPr>
          <w:rFonts w:hint="eastAsia" w:asciiTheme="minorEastAsia" w:hAnsiTheme="minorEastAsia" w:eastAsiaTheme="minorEastAsia" w:cstheme="minorEastAsia"/>
          <w:snapToGrid w:val="0"/>
          <w:color w:val="auto"/>
          <w:kern w:val="0"/>
          <w:szCs w:val="21"/>
          <w:highlight w:val="none"/>
        </w:rPr>
        <w:t>日  期：</w:t>
      </w: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jc w:val="center"/>
        <w:rPr>
          <w:rFonts w:asciiTheme="minorEastAsia" w:hAnsiTheme="minorEastAsia" w:eastAsiaTheme="minorEastAsia" w:cstheme="minorEastAsia"/>
          <w:b/>
          <w:bCs/>
          <w:color w:val="auto"/>
          <w:sz w:val="28"/>
          <w:highlight w:val="none"/>
        </w:rPr>
      </w:pPr>
      <w:r>
        <w:rPr>
          <w:rFonts w:hint="eastAsia" w:asciiTheme="minorEastAsia" w:hAnsiTheme="minorEastAsia" w:eastAsiaTheme="minorEastAsia" w:cstheme="minorEastAsia"/>
          <w:b/>
          <w:bCs/>
          <w:color w:val="auto"/>
          <w:sz w:val="28"/>
          <w:highlight w:val="none"/>
        </w:rPr>
        <w:t>属于监狱企业的证明文件</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（提供由省级以上监狱管理局、戒毒管理局(含新疆生产建设兵团)出具的属于监狱企业的证明文件）</w:t>
      </w: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jc w:val="center"/>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8"/>
          <w:highlight w:val="none"/>
        </w:rPr>
        <w:t>节能产品认证证书</w:t>
      </w:r>
    </w:p>
    <w:p>
      <w:p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（提供国家确定的认证机构出具的、处于有效期之内的产品认证证书）</w:t>
      </w: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jc w:val="center"/>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sz w:val="28"/>
          <w:highlight w:val="none"/>
        </w:rPr>
        <w:t>环境标志产品认证证书</w:t>
      </w:r>
    </w:p>
    <w:p>
      <w:pPr>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（提供国家确定的认证机构出具的、处于有效期之内的产品认证证书）</w:t>
      </w: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rPr>
          <w:rFonts w:asciiTheme="minorEastAsia" w:hAnsiTheme="minorEastAsia" w:eastAsiaTheme="minorEastAsia" w:cstheme="minorEastAsia"/>
          <w:b/>
          <w:bCs/>
          <w:color w:val="auto"/>
          <w:highlight w:val="none"/>
        </w:rPr>
      </w:pPr>
    </w:p>
    <w:p>
      <w:pPr>
        <w:spacing w:line="360" w:lineRule="auto"/>
        <w:jc w:val="center"/>
        <w:rPr>
          <w:rFonts w:asciiTheme="minorEastAsia" w:hAnsiTheme="minorEastAsia" w:eastAsiaTheme="minorEastAsia" w:cstheme="minorEastAsia"/>
          <w:b/>
          <w:bCs/>
          <w:color w:val="auto"/>
          <w:sz w:val="28"/>
          <w:highlight w:val="none"/>
        </w:rPr>
      </w:pPr>
      <w:r>
        <w:rPr>
          <w:rFonts w:hint="eastAsia" w:asciiTheme="minorEastAsia" w:hAnsiTheme="minorEastAsia" w:eastAsiaTheme="minorEastAsia" w:cstheme="minorEastAsia"/>
          <w:b/>
          <w:bCs/>
          <w:color w:val="auto"/>
          <w:sz w:val="28"/>
          <w:highlight w:val="none"/>
        </w:rPr>
        <w:t>进口产品转让技术、消化吸收再创新方案</w:t>
      </w:r>
    </w:p>
    <w:p>
      <w:pPr>
        <w:spacing w:line="360" w:lineRule="auto"/>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（对于允许进口产品参加的项目）</w:t>
      </w:r>
    </w:p>
    <w:p>
      <w:pPr>
        <w:spacing w:line="360" w:lineRule="auto"/>
        <w:rPr>
          <w:rFonts w:asciiTheme="minorEastAsia" w:hAnsiTheme="minorEastAsia" w:eastAsiaTheme="minorEastAsia" w:cstheme="minorEastAsia"/>
          <w:b/>
          <w:bCs/>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Cs w:val="21"/>
          <w:highlight w:val="none"/>
          <w:lang w:val="zh-CN"/>
        </w:rPr>
        <w:br w:type="page"/>
      </w:r>
      <w:r>
        <w:rPr>
          <w:rFonts w:hint="eastAsia" w:asciiTheme="minorEastAsia" w:hAnsiTheme="minorEastAsia" w:eastAsiaTheme="minorEastAsia" w:cstheme="minorEastAsia"/>
          <w:b/>
          <w:color w:val="auto"/>
          <w:highlight w:val="none"/>
        </w:rPr>
        <w:t>附件十一、无重大违法记录声明格式</w:t>
      </w:r>
    </w:p>
    <w:p>
      <w:pPr>
        <w:spacing w:line="240" w:lineRule="atLeast"/>
        <w:jc w:val="center"/>
        <w:rPr>
          <w:rFonts w:asciiTheme="minorEastAsia" w:hAnsiTheme="minorEastAsia" w:eastAsiaTheme="minorEastAsia" w:cstheme="minorEastAsia"/>
          <w:color w:val="auto"/>
          <w:sz w:val="28"/>
          <w:szCs w:val="36"/>
          <w:highlight w:val="none"/>
        </w:rPr>
      </w:pPr>
    </w:p>
    <w:p>
      <w:pPr>
        <w:spacing w:line="240" w:lineRule="atLeast"/>
        <w:jc w:val="center"/>
        <w:rPr>
          <w:rFonts w:asciiTheme="minorEastAsia" w:hAnsiTheme="minorEastAsia" w:eastAsiaTheme="minorEastAsia" w:cstheme="minorEastAsia"/>
          <w:color w:val="auto"/>
          <w:sz w:val="28"/>
          <w:szCs w:val="36"/>
          <w:highlight w:val="none"/>
        </w:rPr>
      </w:pPr>
      <w:r>
        <w:rPr>
          <w:rFonts w:hint="eastAsia" w:asciiTheme="minorEastAsia" w:hAnsiTheme="minorEastAsia" w:eastAsiaTheme="minorEastAsia" w:cstheme="minorEastAsia"/>
          <w:color w:val="auto"/>
          <w:sz w:val="28"/>
          <w:szCs w:val="36"/>
          <w:highlight w:val="none"/>
        </w:rPr>
        <w:t>无重大违法记录声明</w:t>
      </w:r>
    </w:p>
    <w:p>
      <w:pPr>
        <w:spacing w:line="360" w:lineRule="auto"/>
        <w:rPr>
          <w:rFonts w:asciiTheme="minorEastAsia" w:hAnsiTheme="minorEastAsia" w:eastAsiaTheme="minorEastAsia" w:cstheme="minorEastAsia"/>
          <w:color w:val="auto"/>
          <w:szCs w:val="21"/>
          <w:highlight w:val="none"/>
        </w:rPr>
      </w:pP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江苏省设备成套股份有限公司：</w:t>
      </w:r>
    </w:p>
    <w:p>
      <w:pPr>
        <w:spacing w:line="360" w:lineRule="auto"/>
        <w:rPr>
          <w:rFonts w:asciiTheme="minorEastAsia" w:hAnsiTheme="minorEastAsia" w:eastAsiaTheme="minorEastAsia" w:cstheme="minorEastAsia"/>
          <w:color w:val="auto"/>
          <w:highlight w:val="none"/>
        </w:rPr>
      </w:pPr>
    </w:p>
    <w:p>
      <w:pPr>
        <w:spacing w:line="360" w:lineRule="auto"/>
        <w:ind w:firstLine="336" w:firstLineChars="16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我单位（供应商名称）郑重声明：</w:t>
      </w:r>
    </w:p>
    <w:p>
      <w:pPr>
        <w:widowControl/>
        <w:shd w:val="clear" w:color="auto" w:fill="FFFFFF"/>
        <w:spacing w:line="360" w:lineRule="auto"/>
        <w:ind w:firstLine="308" w:firstLineChars="147"/>
        <w:rPr>
          <w:rFonts w:asciiTheme="minorEastAsia" w:hAnsiTheme="minorEastAsia" w:eastAsiaTheme="minorEastAsia" w:cstheme="minorEastAsia"/>
          <w:b/>
          <w:color w:val="auto"/>
          <w:kern w:val="0"/>
          <w:szCs w:val="21"/>
          <w:highlight w:val="none"/>
        </w:rPr>
      </w:pPr>
      <w:r>
        <w:rPr>
          <w:rFonts w:hint="eastAsia" w:asciiTheme="minorEastAsia" w:hAnsiTheme="minorEastAsia" w:eastAsiaTheme="minorEastAsia" w:cstheme="minorEastAsia"/>
          <w:color w:val="auto"/>
          <w:kern w:val="0"/>
          <w:szCs w:val="21"/>
          <w:highlight w:val="none"/>
        </w:rPr>
        <w:t>我单位</w:t>
      </w:r>
      <w:r>
        <w:rPr>
          <w:rFonts w:hint="eastAsia" w:asciiTheme="minorEastAsia" w:hAnsiTheme="minorEastAsia" w:eastAsiaTheme="minorEastAsia" w:cstheme="minorEastAsia"/>
          <w:color w:val="auto"/>
          <w:highlight w:val="none"/>
        </w:rPr>
        <w:t>参加政府采购活动前3年内在经营活动中（</w:t>
      </w:r>
      <w:r>
        <w:rPr>
          <w:rFonts w:hint="eastAsia" w:asciiTheme="minorEastAsia" w:hAnsiTheme="minorEastAsia" w:eastAsiaTheme="minorEastAsia" w:cstheme="minorEastAsia"/>
          <w:b/>
          <w:i/>
          <w:color w:val="auto"/>
          <w:highlight w:val="none"/>
          <w:u w:val="single"/>
        </w:rPr>
        <w:t>在下划线上如实填写：有或没有</w:t>
      </w:r>
      <w:r>
        <w:rPr>
          <w:rFonts w:hint="eastAsia" w:asciiTheme="minorEastAsia" w:hAnsiTheme="minorEastAsia" w:eastAsiaTheme="minorEastAsia" w:cstheme="minorEastAsia"/>
          <w:color w:val="auto"/>
          <w:highlight w:val="none"/>
        </w:rPr>
        <w:t>）</w:t>
      </w:r>
      <w:r>
        <w:rPr>
          <w:rFonts w:hint="eastAsia" w:asciiTheme="minorEastAsia" w:hAnsiTheme="minorEastAsia" w:eastAsiaTheme="minorEastAsia" w:cstheme="minorEastAsia"/>
          <w:b/>
          <w:color w:val="auto"/>
          <w:highlight w:val="none"/>
        </w:rPr>
        <w:t>重大违法记录</w:t>
      </w:r>
      <w:r>
        <w:rPr>
          <w:rFonts w:hint="eastAsia" w:asciiTheme="minorEastAsia" w:hAnsiTheme="minorEastAsia" w:eastAsiaTheme="minorEastAsia" w:cstheme="minorEastAsia"/>
          <w:b/>
          <w:color w:val="auto"/>
          <w:kern w:val="0"/>
          <w:szCs w:val="21"/>
          <w:highlight w:val="none"/>
        </w:rPr>
        <w:t>，且不是失信被执行人、重大税收违法案件当事人名单、政府采购严重违法失信行为记录名单的供应商。</w:t>
      </w:r>
    </w:p>
    <w:p>
      <w:pPr>
        <w:spacing w:line="360" w:lineRule="auto"/>
        <w:ind w:firstLine="420" w:firstLineChars="200"/>
        <w:rPr>
          <w:rFonts w:asciiTheme="minorEastAsia" w:hAnsiTheme="minorEastAsia" w:eastAsiaTheme="minorEastAsia" w:cstheme="minorEastAsia"/>
          <w:color w:val="auto"/>
          <w:highlight w:val="none"/>
        </w:rPr>
      </w:pPr>
    </w:p>
    <w:p>
      <w:pPr>
        <w:spacing w:line="360" w:lineRule="auto"/>
        <w:ind w:firstLine="315" w:firstLine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（说明：政府采购法第二十二条第一款第五项所称重大违法记录，是指供应商因违法经营受到刑事处罚或者责令停产停业、吊销许可证或者执照、较大数额罚款等行政处罚。）</w:t>
      </w:r>
    </w:p>
    <w:p>
      <w:pPr>
        <w:spacing w:line="360" w:lineRule="auto"/>
        <w:rPr>
          <w:rFonts w:asciiTheme="minorEastAsia" w:hAnsiTheme="minorEastAsia" w:eastAsiaTheme="minorEastAsia" w:cstheme="minorEastAsia"/>
          <w:color w:val="auto"/>
          <w:highlight w:val="none"/>
        </w:rPr>
      </w:pPr>
    </w:p>
    <w:p>
      <w:pPr>
        <w:spacing w:line="360" w:lineRule="auto"/>
        <w:rPr>
          <w:rFonts w:asciiTheme="minorEastAsia" w:hAnsiTheme="minorEastAsia" w:eastAsiaTheme="minorEastAsia" w:cstheme="minorEastAsia"/>
          <w:color w:val="auto"/>
          <w:highlight w:val="none"/>
        </w:rPr>
      </w:pPr>
    </w:p>
    <w:p>
      <w:pPr>
        <w:spacing w:line="360" w:lineRule="auto"/>
        <w:ind w:firstLine="5103" w:firstLineChars="243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声明人：（公章）</w:t>
      </w:r>
    </w:p>
    <w:p>
      <w:pPr>
        <w:autoSpaceDE w:val="0"/>
        <w:autoSpaceDN w:val="0"/>
        <w:adjustRightInd w:val="0"/>
        <w:spacing w:line="360" w:lineRule="auto"/>
        <w:ind w:firstLine="5040" w:firstLineChars="24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color w:val="auto"/>
          <w:szCs w:val="21"/>
          <w:highlight w:val="none"/>
          <w:lang w:val="zh-CN"/>
        </w:rPr>
        <w:t>日期：</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zh-CN"/>
        </w:rPr>
        <w:t>年</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szCs w:val="21"/>
          <w:highlight w:val="none"/>
          <w:lang w:val="zh-CN"/>
        </w:rPr>
        <w:t>月</w:t>
      </w:r>
      <w:r>
        <w:rPr>
          <w:rFonts w:hint="eastAsia" w:asciiTheme="minorEastAsia" w:hAnsiTheme="minorEastAsia" w:eastAsiaTheme="minorEastAsia" w:cstheme="minorEastAsia"/>
          <w:b/>
          <w:color w:val="auto"/>
          <w:szCs w:val="21"/>
          <w:highlight w:val="none"/>
          <w:lang w:val="zh-CN"/>
        </w:rPr>
        <w:br w:type="page"/>
      </w:r>
      <w:r>
        <w:rPr>
          <w:rFonts w:hint="eastAsia" w:asciiTheme="minorEastAsia" w:hAnsiTheme="minorEastAsia" w:eastAsiaTheme="minorEastAsia" w:cstheme="minorEastAsia"/>
          <w:b/>
          <w:color w:val="auto"/>
          <w:highlight w:val="none"/>
        </w:rPr>
        <w:t>附件十二、投标保证金缴纳凭证</w:t>
      </w:r>
    </w:p>
    <w:p>
      <w:pPr>
        <w:autoSpaceDE w:val="0"/>
        <w:autoSpaceDN w:val="0"/>
        <w:adjustRightInd w:val="0"/>
        <w:spacing w:line="360" w:lineRule="auto"/>
        <w:ind w:firstLine="5060" w:firstLineChars="2400"/>
        <w:rPr>
          <w:rFonts w:asciiTheme="minorEastAsia" w:hAnsiTheme="minorEastAsia" w:eastAsiaTheme="minorEastAsia" w:cstheme="minorEastAsia"/>
          <w:b/>
          <w:color w:val="auto"/>
          <w:highlight w:val="none"/>
        </w:rPr>
      </w:pPr>
    </w:p>
    <w:p>
      <w:pPr>
        <w:autoSpaceDE w:val="0"/>
        <w:autoSpaceDN w:val="0"/>
        <w:adjustRightInd w:val="0"/>
        <w:spacing w:line="360" w:lineRule="auto"/>
        <w:ind w:firstLine="5060" w:firstLineChars="2400"/>
        <w:rPr>
          <w:rFonts w:asciiTheme="minorEastAsia" w:hAnsiTheme="minorEastAsia" w:eastAsiaTheme="minorEastAsia" w:cstheme="minorEastAsia"/>
          <w:b/>
          <w:color w:val="auto"/>
          <w:highlight w:val="none"/>
        </w:rPr>
      </w:pPr>
    </w:p>
    <w:p>
      <w:pPr>
        <w:autoSpaceDE w:val="0"/>
        <w:autoSpaceDN w:val="0"/>
        <w:adjustRightInd w:val="0"/>
        <w:spacing w:line="360" w:lineRule="auto"/>
        <w:ind w:firstLine="5060" w:firstLineChars="2400"/>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附件十三、 资格资信证明文件</w:t>
      </w: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附件十四、 联合体协议及联合体授权委托书（如允许联合体）</w:t>
      </w: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p>
    <w:p>
      <w:pPr>
        <w:autoSpaceDE w:val="0"/>
        <w:autoSpaceDN w:val="0"/>
        <w:adjustRightInd w:val="0"/>
        <w:spacing w:line="360" w:lineRule="auto"/>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附件十五、其他</w:t>
      </w:r>
    </w:p>
    <w:p>
      <w:pPr>
        <w:pStyle w:val="22"/>
        <w:ind w:left="1260"/>
        <w:rPr>
          <w:rFonts w:asciiTheme="minorEastAsia" w:hAnsiTheme="minorEastAsia" w:eastAsiaTheme="minorEastAsia" w:cstheme="minorEastAsia"/>
          <w:b/>
          <w:color w:val="auto"/>
          <w:highlight w:val="none"/>
        </w:rPr>
      </w:pPr>
    </w:p>
    <w:p>
      <w:pPr>
        <w:jc w:val="center"/>
        <w:rPr>
          <w:rFonts w:asciiTheme="minorEastAsia" w:hAnsiTheme="minorEastAsia" w:eastAsiaTheme="minorEastAsia" w:cstheme="minorEastAsia"/>
          <w:b/>
          <w:bCs/>
          <w:color w:val="auto"/>
          <w:szCs w:val="21"/>
          <w:highlight w:val="none"/>
        </w:rPr>
      </w:pPr>
    </w:p>
    <w:p>
      <w:pPr>
        <w:jc w:val="center"/>
        <w:rPr>
          <w:rFonts w:asciiTheme="minorEastAsia" w:hAnsiTheme="minorEastAsia" w:eastAsiaTheme="minorEastAsia" w:cstheme="minorEastAsia"/>
          <w:b/>
          <w:bCs/>
          <w:color w:val="auto"/>
          <w:szCs w:val="21"/>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sectPr>
      <w:pgSz w:w="11906" w:h="16838"/>
      <w:pgMar w:top="1440" w:right="1800" w:bottom="1440" w:left="16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幼圆">
    <w:panose1 w:val="0201050906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
    <w:altName w:val="Arial"/>
    <w:panose1 w:val="00000000000000000000"/>
    <w:charset w:val="00"/>
    <w:family w:val="swiss"/>
    <w:pitch w:val="default"/>
    <w:sig w:usb0="00000000" w:usb1="00000000" w:usb2="00000000" w:usb3="00000000" w:csb0="00000001" w:csb1="00000000"/>
  </w:font>
  <w:font w:name="KNLe">
    <w:altName w:val="Times New Roman"/>
    <w:panose1 w:val="00000000000000000000"/>
    <w:charset w:val="00"/>
    <w:family w:val="roman"/>
    <w:pitch w:val="default"/>
    <w:sig w:usb0="00000000" w:usb1="00000000" w:usb2="00000000" w:usb3="00000000" w:csb0="00040001" w:csb1="0000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TimesNewRomanPSMT">
    <w:altName w:val="Times New Roman"/>
    <w:panose1 w:val="00000000000000000000"/>
    <w:charset w:val="00"/>
    <w:family w:val="roman"/>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57885" cy="147955"/>
              <wp:effectExtent l="0" t="0" r="0" b="0"/>
              <wp:wrapNone/>
              <wp:docPr id="2" name="Text Box 1026"/>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pPr>
                            <w:pStyle w:val="3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6" o:spid="_x0000_s1026" o:spt="202" type="#_x0000_t202" style="position:absolute;left:0pt;margin-top:0pt;height:11.65pt;width:67.55pt;mso-position-horizontal:center;mso-position-horizontal-relative:margin;mso-wrap-style:none;z-index:251659264;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Q8Q1tP4BAAAEBAAADgAAAGRycy9lMm9Eb2MueG1srVPLbtswELwX&#10;6D8QvNeyjTpxBctBGsNFgfQBJPkAmqIkoiKXWNKW3K/vkpLcNL3kkAuxJJezM7PLzU1vWnZS6DXY&#10;gi9mc86UlVBqWxf86XH/Yc2ZD8KWogWrCn5Wnt9s37/bdC5XS2igLRUyArE+71zBmxBcnmVeNsoI&#10;PwOnLF1WgEYE2mKdlSg6QjdttpzPr7IOsHQIUnlPp7vhko+I+BpAqCot1Q7k0SgbBlRUrQgkyTfa&#10;eb5NbKtKyfCjqrwKrC04KQ1ppSIUH+KabTcir1G4RsuRgngNhReajNCWil6gdiIIdkT9H5TREsFD&#10;FWYSTDYISY6QisX8hTcPjXAqaSGrvbuY7t8OVn4//USmy4IvObPCUMMfVR/YZ+jZYr68igZ1zueU&#10;9+AoM/R0Q2OTxHp3D/KXZxbuGmFrdYsIXaNESQQX8WX27OmA4yPIofsGJVUSxwAJqK/QRPfID0bo&#10;1JzzpTmRjaTD9ep6vV5xJulq8fH602qVKoh8euzQhy8KDItBwZF6n8DF6d6HSEbkU0qsZWGv2zb1&#10;v7X/HFBiPEnkI9+BeegP/WjGAcozyUAYxok+EwUN4G/OOhqlglv6OZy1Xy0ZEaduCnAKDlMgrKSH&#10;BQ+cDeFdGKbz6FDXDeFOVt+SWXudhERXBw4jSxqOpG8c5Dh9z/cp6+/n3f4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40N5RNIAAAAEAQAADwAAAAAAAAABACAAAAAiAAAAZHJzL2Rvd25yZXYueG1s&#10;UEsBAhQAFAAAAAgAh07iQEPENbT+AQAABAQAAA4AAAAAAAAAAQAgAAAAIQEAAGRycy9lMm9Eb2Mu&#10;eG1sUEsFBgAAAAAGAAYAWQEAAJEFAAAAAA==&#10;">
              <v:fill on="f" focussize="0,0"/>
              <v:stroke on="f"/>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47</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857885" cy="147955"/>
              <wp:effectExtent l="0" t="0" r="0" b="0"/>
              <wp:wrapNone/>
              <wp:docPr id="1"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857885" cy="147955"/>
                      </a:xfrm>
                      <a:prstGeom prst="rect">
                        <a:avLst/>
                      </a:prstGeom>
                      <a:noFill/>
                      <a:ln>
                        <a:noFill/>
                      </a:ln>
                    </wps:spPr>
                    <wps:txbx>
                      <w:txbxContent>
                        <w:p>
                          <w:pPr>
                            <w:pStyle w:val="30"/>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65pt;width:67.55pt;mso-position-horizontal:center;mso-position-horizontal-relative:margin;mso-wrap-style:none;z-index:251660288;mso-width-relative:page;mso-height-relative:page;" filled="f" stroked="f" coordsize="21600,21600" o:gfxdata="UEsDBAoAAAAAAIdO4kAAAAAAAAAAAAAAAAAEAAAAZHJzL1BLAwQUAAAACACHTuJA40N5RNIAAAAE&#10;AQAADwAAAGRycy9kb3ducmV2LnhtbE2PwU7DMBBE70j8g7VI3KiTRkAVsumhEhduFITUmxtv4wh7&#10;Hdlumvw9Lhe4rDSa0czbZjs7KyYKcfCMUK4KEMSd1wP3CJ8frw8bEDEp1sp6JoSFImzb25tG1dpf&#10;+J2mfepFLuFYKwST0lhLGTtDTsWVH4mzd/LBqZRl6KUO6pLLnZXroniSTg2cF4waaWeo+96fHcLz&#10;/OVpjLSjw2nqghmWjX1bEO/vyuIFRKI5/YXhip/Roc1MR39mHYVFyI+k33v1qscSxBFhXVUg20b+&#10;h29/AFBLAwQUAAAACACHTuJAsO8KLvwBAAAEBAAADgAAAGRycy9lMm9Eb2MueG1srVPBbtswDL0P&#10;2D8Iui9OgmXNjDhF1yDDgG4d0PYDZFm2hVmiQCmxs68fJcdZ11562EWgJOrxvUdqcz2Yjh0Veg22&#10;4IvZnDNlJVTaNgV/etx/WHPmg7CV6MCqgp+U59fb9+82vcvVElroKoWMQKzPe1fwNgSXZ5mXrTLC&#10;z8ApS5c1oBGBtthkFYqe0E2XLefzT1kPWDkEqbyn0914yc+I+BZAqGst1Q7kwSgbRlRUnQgkybfa&#10;eb5NbOtayXBf114F1hWclIa0UhGKy7hm243IGxSu1fJMQbyFwgtNRmhLRS9QOxEEO6B+BWW0RPBQ&#10;h5kEk41CkiOkYjF/4c1DK5xKWshq7y6m+/8HK38cfyLTFU0CZ1YYavijGgL7AgNbzJeraFDvfE55&#10;D44yw0A3MTmK9e4O5C/PLNy2wjbqBhH6VomKCC7iy+zZ0xHHR5Cy/w4VVRKHAAloqNFEQPKDETo1&#10;53RpTmQj6XC9ulqvV5xJulp8vPq8StwykU+PHfrwVYFhMSg4Uu8TuDje+RDJiHxKibUs7HXXpf53&#10;9p8DSowniXzkOzIPQzmczSihOpEMhHGc6DNR0AL+5qynUSq4pZ/DWffNkhFx6qYAp6CcAmElPSx4&#10;4GwMb8M4nQeHumkJd7L6hsza6yQkujpyOLOk4Uj6zoMcp+/5PmX9/bzb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NDeUTSAAAABAEAAA8AAAAAAAAAAQAgAAAAIgAAAGRycy9kb3ducmV2LnhtbFBL&#10;AQIUABQAAAAIAIdO4kCw7wou/AEAAAQEAAAOAAAAAAAAAAEAIAAAACEBAABkcnMvZTJvRG9jLnht&#10;bFBLBQYAAAAABgAGAFkBAACPBQAAAAA=&#10;">
              <v:fill on="f" focussize="0,0"/>
              <v:stroke on="f"/>
              <v:imagedata o:title=""/>
              <o:lock v:ext="edit" aspectratio="f"/>
              <v:textbox inset="0mm,0mm,0mm,0mm" style="mso-fit-shape-to-text:t;">
                <w:txbxContent>
                  <w:p>
                    <w:pPr>
                      <w:pStyle w:val="30"/>
                    </w:pPr>
                    <w:r>
                      <w:t xml:space="preserve">第 </w:t>
                    </w:r>
                    <w:r>
                      <w:fldChar w:fldCharType="begin"/>
                    </w:r>
                    <w:r>
                      <w:instrText xml:space="preserve"> PAGE  \* MERGEFORMAT </w:instrText>
                    </w:r>
                    <w:r>
                      <w:fldChar w:fldCharType="separate"/>
                    </w:r>
                    <w:r>
                      <w:t>46</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C1CCD0"/>
    <w:multiLevelType w:val="singleLevel"/>
    <w:tmpl w:val="AAC1CCD0"/>
    <w:lvl w:ilvl="0" w:tentative="0">
      <w:start w:val="4"/>
      <w:numFmt w:val="chineseCounting"/>
      <w:suff w:val="space"/>
      <w:lvlText w:val="第%1章"/>
      <w:lvlJc w:val="left"/>
      <w:rPr>
        <w:rFonts w:hint="eastAsia"/>
      </w:rPr>
    </w:lvl>
  </w:abstractNum>
  <w:abstractNum w:abstractNumId="1">
    <w:nsid w:val="00000006"/>
    <w:multiLevelType w:val="multilevel"/>
    <w:tmpl w:val="00000006"/>
    <w:lvl w:ilvl="0" w:tentative="0">
      <w:start w:val="1"/>
      <w:numFmt w:val="chineseCountingThousand"/>
      <w:pStyle w:val="3"/>
      <w:suff w:val="nothing"/>
      <w:lvlText w:val="第%1章"/>
      <w:lvlJc w:val="left"/>
      <w:pPr>
        <w:ind w:left="0" w:firstLine="0"/>
      </w:pPr>
    </w:lvl>
    <w:lvl w:ilvl="1" w:tentative="0">
      <w:start w:val="1"/>
      <w:numFmt w:val="none"/>
      <w:pStyle w:val="4"/>
      <w:suff w:val="nothing"/>
      <w:lvlText w:val=""/>
      <w:lvlJc w:val="left"/>
      <w:pPr>
        <w:ind w:left="0" w:firstLine="0"/>
      </w:pPr>
    </w:lvl>
    <w:lvl w:ilvl="2" w:tentative="0">
      <w:start w:val="1"/>
      <w:numFmt w:val="none"/>
      <w:pStyle w:val="5"/>
      <w:suff w:val="nothing"/>
      <w:lvlText w:val=""/>
      <w:lvlJc w:val="left"/>
      <w:pPr>
        <w:ind w:left="0" w:firstLine="0"/>
      </w:pPr>
    </w:lvl>
    <w:lvl w:ilvl="3" w:tentative="0">
      <w:start w:val="1"/>
      <w:numFmt w:val="none"/>
      <w:pStyle w:val="6"/>
      <w:suff w:val="nothing"/>
      <w:lvlText w:val=""/>
      <w:lvlJc w:val="left"/>
      <w:pPr>
        <w:ind w:left="0" w:firstLine="0"/>
      </w:pPr>
    </w:lvl>
    <w:lvl w:ilvl="4" w:tentative="0">
      <w:start w:val="1"/>
      <w:numFmt w:val="none"/>
      <w:pStyle w:val="7"/>
      <w:suff w:val="nothing"/>
      <w:lvlText w:val=""/>
      <w:lvlJc w:val="left"/>
      <w:pPr>
        <w:ind w:left="0" w:firstLine="0"/>
      </w:pPr>
    </w:lvl>
    <w:lvl w:ilvl="5" w:tentative="0">
      <w:start w:val="1"/>
      <w:numFmt w:val="none"/>
      <w:pStyle w:val="8"/>
      <w:suff w:val="nothing"/>
      <w:lvlText w:val=""/>
      <w:lvlJc w:val="left"/>
      <w:pPr>
        <w:ind w:left="0" w:firstLine="0"/>
      </w:pPr>
    </w:lvl>
    <w:lvl w:ilvl="6" w:tentative="0">
      <w:start w:val="1"/>
      <w:numFmt w:val="none"/>
      <w:pStyle w:val="9"/>
      <w:suff w:val="nothing"/>
      <w:lvlText w:val=""/>
      <w:lvlJc w:val="left"/>
      <w:pPr>
        <w:ind w:left="0" w:firstLine="0"/>
      </w:pPr>
    </w:lvl>
    <w:lvl w:ilvl="7" w:tentative="0">
      <w:start w:val="1"/>
      <w:numFmt w:val="none"/>
      <w:pStyle w:val="10"/>
      <w:suff w:val="nothing"/>
      <w:lvlText w:val=""/>
      <w:lvlJc w:val="left"/>
      <w:pPr>
        <w:ind w:left="0" w:firstLine="0"/>
      </w:pPr>
    </w:lvl>
    <w:lvl w:ilvl="8" w:tentative="0">
      <w:start w:val="1"/>
      <w:numFmt w:val="none"/>
      <w:pStyle w:val="11"/>
      <w:suff w:val="nothing"/>
      <w:lvlText w:val=""/>
      <w:lvlJc w:val="left"/>
      <w:pPr>
        <w:ind w:left="0" w:firstLine="0"/>
      </w:pPr>
    </w:lvl>
  </w:abstractNum>
  <w:abstractNum w:abstractNumId="2">
    <w:nsid w:val="085007CF"/>
    <w:multiLevelType w:val="multilevel"/>
    <w:tmpl w:val="085007CF"/>
    <w:lvl w:ilvl="0" w:tentative="0">
      <w:start w:val="1"/>
      <w:numFmt w:val="decimal"/>
      <w:lvlText w:val="%1."/>
      <w:lvlJc w:val="left"/>
      <w:pPr>
        <w:tabs>
          <w:tab w:val="left" w:pos="630"/>
        </w:tabs>
        <w:ind w:left="630" w:hanging="420"/>
      </w:pPr>
      <w:rPr>
        <w:rFonts w:cs="Times New Roman"/>
      </w:rPr>
    </w:lvl>
    <w:lvl w:ilvl="1" w:tentative="0">
      <w:start w:val="1"/>
      <w:numFmt w:val="decimal"/>
      <w:lvlText w:val="%2)"/>
      <w:lvlJc w:val="left"/>
      <w:pPr>
        <w:tabs>
          <w:tab w:val="left" w:pos="990"/>
        </w:tabs>
        <w:ind w:left="990" w:hanging="360"/>
      </w:pPr>
      <w:rPr>
        <w:color w:val="auto"/>
      </w:rPr>
    </w:lvl>
    <w:lvl w:ilvl="2" w:tentative="0">
      <w:start w:val="1"/>
      <w:numFmt w:val="lowerRoman"/>
      <w:lvlText w:val="%3."/>
      <w:lvlJc w:val="right"/>
      <w:pPr>
        <w:tabs>
          <w:tab w:val="left" w:pos="1470"/>
        </w:tabs>
        <w:ind w:left="1470" w:hanging="420"/>
      </w:pPr>
      <w:rPr>
        <w:rFonts w:cs="Times New Roman"/>
      </w:rPr>
    </w:lvl>
    <w:lvl w:ilvl="3" w:tentative="0">
      <w:start w:val="1"/>
      <w:numFmt w:val="decimal"/>
      <w:lvlText w:val="%4."/>
      <w:lvlJc w:val="left"/>
      <w:pPr>
        <w:tabs>
          <w:tab w:val="left" w:pos="1890"/>
        </w:tabs>
        <w:ind w:left="1890" w:hanging="420"/>
      </w:pPr>
      <w:rPr>
        <w:rFonts w:cs="Times New Roman"/>
      </w:rPr>
    </w:lvl>
    <w:lvl w:ilvl="4" w:tentative="0">
      <w:start w:val="1"/>
      <w:numFmt w:val="lowerLetter"/>
      <w:lvlText w:val="%5)"/>
      <w:lvlJc w:val="left"/>
      <w:pPr>
        <w:tabs>
          <w:tab w:val="left" w:pos="2310"/>
        </w:tabs>
        <w:ind w:left="2310" w:hanging="420"/>
      </w:pPr>
      <w:rPr>
        <w:rFonts w:cs="Times New Roman"/>
      </w:rPr>
    </w:lvl>
    <w:lvl w:ilvl="5" w:tentative="0">
      <w:start w:val="1"/>
      <w:numFmt w:val="lowerRoman"/>
      <w:lvlText w:val="%6."/>
      <w:lvlJc w:val="right"/>
      <w:pPr>
        <w:tabs>
          <w:tab w:val="left" w:pos="2730"/>
        </w:tabs>
        <w:ind w:left="2730" w:hanging="420"/>
      </w:pPr>
      <w:rPr>
        <w:rFonts w:cs="Times New Roman"/>
      </w:rPr>
    </w:lvl>
    <w:lvl w:ilvl="6" w:tentative="0">
      <w:start w:val="1"/>
      <w:numFmt w:val="decimal"/>
      <w:lvlText w:val="%7."/>
      <w:lvlJc w:val="left"/>
      <w:pPr>
        <w:tabs>
          <w:tab w:val="left" w:pos="3150"/>
        </w:tabs>
        <w:ind w:left="3150" w:hanging="420"/>
      </w:pPr>
      <w:rPr>
        <w:rFonts w:cs="Times New Roman"/>
      </w:rPr>
    </w:lvl>
    <w:lvl w:ilvl="7" w:tentative="0">
      <w:start w:val="1"/>
      <w:numFmt w:val="lowerLetter"/>
      <w:lvlText w:val="%8)"/>
      <w:lvlJc w:val="left"/>
      <w:pPr>
        <w:tabs>
          <w:tab w:val="left" w:pos="3570"/>
        </w:tabs>
        <w:ind w:left="3570" w:hanging="420"/>
      </w:pPr>
      <w:rPr>
        <w:rFonts w:cs="Times New Roman"/>
      </w:rPr>
    </w:lvl>
    <w:lvl w:ilvl="8" w:tentative="0">
      <w:start w:val="1"/>
      <w:numFmt w:val="lowerRoman"/>
      <w:lvlText w:val="%9."/>
      <w:lvlJc w:val="right"/>
      <w:pPr>
        <w:tabs>
          <w:tab w:val="left" w:pos="3990"/>
        </w:tabs>
        <w:ind w:left="3990" w:hanging="420"/>
      </w:pPr>
      <w:rPr>
        <w:rFonts w:cs="Times New Roman"/>
      </w:rPr>
    </w:lvl>
  </w:abstractNum>
  <w:abstractNum w:abstractNumId="3">
    <w:nsid w:val="10DF7A5E"/>
    <w:multiLevelType w:val="multilevel"/>
    <w:tmpl w:val="10DF7A5E"/>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30A2188"/>
    <w:multiLevelType w:val="multilevel"/>
    <w:tmpl w:val="130A2188"/>
    <w:lvl w:ilvl="0" w:tentative="0">
      <w:start w:val="1"/>
      <w:numFmt w:val="chineseCountingThousand"/>
      <w:pStyle w:val="146"/>
      <w:lvlText w:val="%1"/>
      <w:lvlJc w:val="left"/>
      <w:pPr>
        <w:ind w:left="425" w:hanging="425"/>
      </w:pPr>
      <w:rPr>
        <w:rFonts w:hint="eastAsia" w:ascii="Arial Unicode MS" w:hAnsi="Arial Unicode MS" w:eastAsia="微软雅黑"/>
        <w:b/>
        <w:i w:val="0"/>
        <w:lang w:val="en-US"/>
      </w:rPr>
    </w:lvl>
    <w:lvl w:ilvl="1" w:tentative="0">
      <w:start w:val="1"/>
      <w:numFmt w:val="decimal"/>
      <w:pStyle w:val="166"/>
      <w:isLgl/>
      <w:lvlText w:val="%1.%2"/>
      <w:lvlJc w:val="left"/>
      <w:pPr>
        <w:ind w:left="425" w:hanging="425"/>
      </w:pPr>
      <w:rPr>
        <w:rFonts w:hint="eastAsia" w:ascii="Arial Unicode MS" w:hAnsi="Arial Unicode MS" w:eastAsia="微软雅黑"/>
        <w:b/>
        <w:i w:val="0"/>
      </w:rPr>
    </w:lvl>
    <w:lvl w:ilvl="2" w:tentative="0">
      <w:start w:val="1"/>
      <w:numFmt w:val="decimal"/>
      <w:pStyle w:val="180"/>
      <w:isLgl/>
      <w:lvlText w:val="%1.%2.%3"/>
      <w:lvlJc w:val="left"/>
      <w:pPr>
        <w:ind w:left="425" w:hanging="425"/>
      </w:pPr>
      <w:rPr>
        <w:rFonts w:hint="eastAsia" w:ascii="Arial Unicode MS" w:hAnsi="Arial Unicode MS" w:eastAsia="微软雅黑"/>
        <w:b/>
        <w:i w:val="0"/>
      </w:rPr>
    </w:lvl>
    <w:lvl w:ilvl="3" w:tentative="0">
      <w:start w:val="1"/>
      <w:numFmt w:val="decimal"/>
      <w:isLgl/>
      <w:lvlText w:val="%1.%2.%3.%4"/>
      <w:lvlJc w:val="left"/>
      <w:pPr>
        <w:ind w:left="425" w:hanging="425"/>
      </w:pPr>
      <w:rPr>
        <w:rFonts w:hint="eastAsia" w:ascii="Arial Unicode MS" w:hAnsi="Arial Unicode MS" w:eastAsia="微软雅黑"/>
        <w:b/>
        <w:i w:val="0"/>
      </w:rPr>
    </w:lvl>
    <w:lvl w:ilvl="4" w:tentative="0">
      <w:start w:val="1"/>
      <w:numFmt w:val="decimal"/>
      <w:isLgl/>
      <w:lvlText w:val="%1.%2.%3.%4.%5"/>
      <w:lvlJc w:val="left"/>
      <w:pPr>
        <w:ind w:left="425" w:hanging="425"/>
      </w:pPr>
      <w:rPr>
        <w:rFonts w:hint="eastAsia" w:ascii="Arial Unicode MS" w:hAnsi="Arial Unicode MS" w:eastAsia="微软雅黑"/>
        <w:b/>
        <w:i w:val="0"/>
      </w:rPr>
    </w:lvl>
    <w:lvl w:ilvl="5" w:tentative="0">
      <w:start w:val="1"/>
      <w:numFmt w:val="none"/>
      <w:lvlText w:val="%1.%2.%3.%4.%5.%6"/>
      <w:lvlJc w:val="left"/>
      <w:pPr>
        <w:ind w:left="425" w:hanging="425"/>
      </w:pPr>
      <w:rPr>
        <w:rFonts w:hint="eastAsia"/>
      </w:rPr>
    </w:lvl>
    <w:lvl w:ilvl="6" w:tentative="0">
      <w:start w:val="1"/>
      <w:numFmt w:val="decimal"/>
      <w:lvlText w:val="%1.%2.%3.%4.%5.%6.%7"/>
      <w:lvlJc w:val="left"/>
      <w:pPr>
        <w:ind w:left="425" w:hanging="425"/>
      </w:pPr>
      <w:rPr>
        <w:rFonts w:hint="eastAsia"/>
      </w:rPr>
    </w:lvl>
    <w:lvl w:ilvl="7" w:tentative="0">
      <w:start w:val="1"/>
      <w:numFmt w:val="decimal"/>
      <w:lvlText w:val="%1.%2.%3.%4.%5.%6.%7.%8"/>
      <w:lvlJc w:val="left"/>
      <w:pPr>
        <w:ind w:left="425" w:hanging="425"/>
      </w:pPr>
      <w:rPr>
        <w:rFonts w:hint="eastAsia"/>
      </w:rPr>
    </w:lvl>
    <w:lvl w:ilvl="8" w:tentative="0">
      <w:start w:val="1"/>
      <w:numFmt w:val="decimal"/>
      <w:lvlText w:val="%1.%2.%3.%4.%5.%6.%7.%8.%9"/>
      <w:lvlJc w:val="left"/>
      <w:pPr>
        <w:ind w:left="425" w:hanging="425"/>
      </w:pPr>
      <w:rPr>
        <w:rFonts w:hint="eastAsia"/>
      </w:rPr>
    </w:lvl>
  </w:abstractNum>
  <w:abstractNum w:abstractNumId="5">
    <w:nsid w:val="5915610C"/>
    <w:multiLevelType w:val="singleLevel"/>
    <w:tmpl w:val="5915610C"/>
    <w:lvl w:ilvl="0" w:tentative="0">
      <w:start w:val="1"/>
      <w:numFmt w:val="decimal"/>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NmYzk2YjQ5M2NmMjE1NjE4YTE0MDAwNDlhN2I1MzkifQ=="/>
  </w:docVars>
  <w:rsids>
    <w:rsidRoot w:val="00172A27"/>
    <w:rsid w:val="000024D5"/>
    <w:rsid w:val="000033BC"/>
    <w:rsid w:val="000037BA"/>
    <w:rsid w:val="00003E09"/>
    <w:rsid w:val="00004ADD"/>
    <w:rsid w:val="00006365"/>
    <w:rsid w:val="00013EE1"/>
    <w:rsid w:val="00016168"/>
    <w:rsid w:val="000165C0"/>
    <w:rsid w:val="000207B3"/>
    <w:rsid w:val="00020AA1"/>
    <w:rsid w:val="00020F19"/>
    <w:rsid w:val="000240F2"/>
    <w:rsid w:val="00024385"/>
    <w:rsid w:val="0002464E"/>
    <w:rsid w:val="00026D12"/>
    <w:rsid w:val="00031EC9"/>
    <w:rsid w:val="00032B4A"/>
    <w:rsid w:val="00032EB2"/>
    <w:rsid w:val="00033F13"/>
    <w:rsid w:val="00035A5A"/>
    <w:rsid w:val="00037558"/>
    <w:rsid w:val="0004062C"/>
    <w:rsid w:val="000427E1"/>
    <w:rsid w:val="00042948"/>
    <w:rsid w:val="00043A61"/>
    <w:rsid w:val="00044757"/>
    <w:rsid w:val="00044FB9"/>
    <w:rsid w:val="000458DD"/>
    <w:rsid w:val="000473B7"/>
    <w:rsid w:val="00047F5E"/>
    <w:rsid w:val="00051706"/>
    <w:rsid w:val="00051ABD"/>
    <w:rsid w:val="00051BCC"/>
    <w:rsid w:val="00051EB2"/>
    <w:rsid w:val="000527C8"/>
    <w:rsid w:val="00054F7D"/>
    <w:rsid w:val="00056E6B"/>
    <w:rsid w:val="0006006F"/>
    <w:rsid w:val="00060B89"/>
    <w:rsid w:val="00062472"/>
    <w:rsid w:val="000640E2"/>
    <w:rsid w:val="00064163"/>
    <w:rsid w:val="0006476D"/>
    <w:rsid w:val="00064BCC"/>
    <w:rsid w:val="00067D84"/>
    <w:rsid w:val="00072185"/>
    <w:rsid w:val="00081250"/>
    <w:rsid w:val="000851FF"/>
    <w:rsid w:val="0008631F"/>
    <w:rsid w:val="000963C4"/>
    <w:rsid w:val="00096BB7"/>
    <w:rsid w:val="00097207"/>
    <w:rsid w:val="00097293"/>
    <w:rsid w:val="00097411"/>
    <w:rsid w:val="000978F6"/>
    <w:rsid w:val="00097C5F"/>
    <w:rsid w:val="000A45A0"/>
    <w:rsid w:val="000A573E"/>
    <w:rsid w:val="000A7DA8"/>
    <w:rsid w:val="000B086C"/>
    <w:rsid w:val="000B21A6"/>
    <w:rsid w:val="000B3E91"/>
    <w:rsid w:val="000B4AC4"/>
    <w:rsid w:val="000B6FEE"/>
    <w:rsid w:val="000C3C47"/>
    <w:rsid w:val="000D18A2"/>
    <w:rsid w:val="000D4CDD"/>
    <w:rsid w:val="000E0528"/>
    <w:rsid w:val="000E513A"/>
    <w:rsid w:val="000E5792"/>
    <w:rsid w:val="000E595A"/>
    <w:rsid w:val="000E6BE6"/>
    <w:rsid w:val="000E70D0"/>
    <w:rsid w:val="000E7AEC"/>
    <w:rsid w:val="000F34C3"/>
    <w:rsid w:val="000F353A"/>
    <w:rsid w:val="000F3911"/>
    <w:rsid w:val="000F64B8"/>
    <w:rsid w:val="00100C2D"/>
    <w:rsid w:val="00101CB1"/>
    <w:rsid w:val="00102973"/>
    <w:rsid w:val="00106DF5"/>
    <w:rsid w:val="00107AD2"/>
    <w:rsid w:val="001152DD"/>
    <w:rsid w:val="00115C20"/>
    <w:rsid w:val="0011699D"/>
    <w:rsid w:val="00116AB7"/>
    <w:rsid w:val="00121249"/>
    <w:rsid w:val="00123A13"/>
    <w:rsid w:val="00123BF2"/>
    <w:rsid w:val="00124DDA"/>
    <w:rsid w:val="00125FE2"/>
    <w:rsid w:val="0013061E"/>
    <w:rsid w:val="00130C01"/>
    <w:rsid w:val="001315EC"/>
    <w:rsid w:val="00132750"/>
    <w:rsid w:val="00132D0F"/>
    <w:rsid w:val="00133C84"/>
    <w:rsid w:val="0013431C"/>
    <w:rsid w:val="0014045A"/>
    <w:rsid w:val="0014108C"/>
    <w:rsid w:val="00141A8B"/>
    <w:rsid w:val="00142258"/>
    <w:rsid w:val="00145CD4"/>
    <w:rsid w:val="00153691"/>
    <w:rsid w:val="00156B27"/>
    <w:rsid w:val="00156C22"/>
    <w:rsid w:val="001620DA"/>
    <w:rsid w:val="00163D70"/>
    <w:rsid w:val="00165899"/>
    <w:rsid w:val="00170537"/>
    <w:rsid w:val="001709AF"/>
    <w:rsid w:val="00172A27"/>
    <w:rsid w:val="00172BB0"/>
    <w:rsid w:val="00173F2B"/>
    <w:rsid w:val="00176ACB"/>
    <w:rsid w:val="00180512"/>
    <w:rsid w:val="00184409"/>
    <w:rsid w:val="00190367"/>
    <w:rsid w:val="00190B4C"/>
    <w:rsid w:val="0019168F"/>
    <w:rsid w:val="00193455"/>
    <w:rsid w:val="00197E0F"/>
    <w:rsid w:val="001A38B9"/>
    <w:rsid w:val="001A7DAF"/>
    <w:rsid w:val="001B0329"/>
    <w:rsid w:val="001B4A81"/>
    <w:rsid w:val="001B77CB"/>
    <w:rsid w:val="001C158D"/>
    <w:rsid w:val="001C226C"/>
    <w:rsid w:val="001C29EE"/>
    <w:rsid w:val="001C34CC"/>
    <w:rsid w:val="001C6D1C"/>
    <w:rsid w:val="001D3678"/>
    <w:rsid w:val="001D4C43"/>
    <w:rsid w:val="001D56B2"/>
    <w:rsid w:val="001E33B5"/>
    <w:rsid w:val="001E4541"/>
    <w:rsid w:val="001E566C"/>
    <w:rsid w:val="001E6506"/>
    <w:rsid w:val="001F2EB7"/>
    <w:rsid w:val="001F3EF6"/>
    <w:rsid w:val="00201CD1"/>
    <w:rsid w:val="00201D97"/>
    <w:rsid w:val="00202386"/>
    <w:rsid w:val="002035A8"/>
    <w:rsid w:val="00206E55"/>
    <w:rsid w:val="00207739"/>
    <w:rsid w:val="002079EB"/>
    <w:rsid w:val="00210C2B"/>
    <w:rsid w:val="00213F8B"/>
    <w:rsid w:val="00215B16"/>
    <w:rsid w:val="0021753F"/>
    <w:rsid w:val="002179DE"/>
    <w:rsid w:val="002215ED"/>
    <w:rsid w:val="00226A2F"/>
    <w:rsid w:val="00227213"/>
    <w:rsid w:val="00235A36"/>
    <w:rsid w:val="002368B0"/>
    <w:rsid w:val="0023761F"/>
    <w:rsid w:val="00241C7D"/>
    <w:rsid w:val="0024462B"/>
    <w:rsid w:val="0025013B"/>
    <w:rsid w:val="00250EDD"/>
    <w:rsid w:val="00253197"/>
    <w:rsid w:val="002570EE"/>
    <w:rsid w:val="002604F0"/>
    <w:rsid w:val="00263349"/>
    <w:rsid w:val="002708AF"/>
    <w:rsid w:val="0027124D"/>
    <w:rsid w:val="002740C3"/>
    <w:rsid w:val="0027735C"/>
    <w:rsid w:val="0027753E"/>
    <w:rsid w:val="002810AC"/>
    <w:rsid w:val="002812CC"/>
    <w:rsid w:val="002867C5"/>
    <w:rsid w:val="00293EC3"/>
    <w:rsid w:val="00294CFC"/>
    <w:rsid w:val="00295A7F"/>
    <w:rsid w:val="002A3AF4"/>
    <w:rsid w:val="002A74F1"/>
    <w:rsid w:val="002A7B32"/>
    <w:rsid w:val="002B7B7D"/>
    <w:rsid w:val="002C084A"/>
    <w:rsid w:val="002C24AF"/>
    <w:rsid w:val="002C4A64"/>
    <w:rsid w:val="002C6711"/>
    <w:rsid w:val="002D15AE"/>
    <w:rsid w:val="002D2894"/>
    <w:rsid w:val="002D696C"/>
    <w:rsid w:val="002D7BA2"/>
    <w:rsid w:val="002E0562"/>
    <w:rsid w:val="002E0FD5"/>
    <w:rsid w:val="002E35B5"/>
    <w:rsid w:val="002E3BC8"/>
    <w:rsid w:val="002E585D"/>
    <w:rsid w:val="002E5CD7"/>
    <w:rsid w:val="002E67FB"/>
    <w:rsid w:val="002E6D7C"/>
    <w:rsid w:val="002F0C61"/>
    <w:rsid w:val="002F4462"/>
    <w:rsid w:val="002F5066"/>
    <w:rsid w:val="002F5D82"/>
    <w:rsid w:val="002F6084"/>
    <w:rsid w:val="0030167A"/>
    <w:rsid w:val="00304E56"/>
    <w:rsid w:val="003120B1"/>
    <w:rsid w:val="003129FD"/>
    <w:rsid w:val="00312B26"/>
    <w:rsid w:val="00313484"/>
    <w:rsid w:val="00313AEF"/>
    <w:rsid w:val="00313BF3"/>
    <w:rsid w:val="003141CA"/>
    <w:rsid w:val="003154A3"/>
    <w:rsid w:val="003203E5"/>
    <w:rsid w:val="003246D4"/>
    <w:rsid w:val="00326C8C"/>
    <w:rsid w:val="00327533"/>
    <w:rsid w:val="003309C5"/>
    <w:rsid w:val="003335D3"/>
    <w:rsid w:val="00334124"/>
    <w:rsid w:val="00340850"/>
    <w:rsid w:val="0034418A"/>
    <w:rsid w:val="00345DB5"/>
    <w:rsid w:val="00346E30"/>
    <w:rsid w:val="0034735E"/>
    <w:rsid w:val="00351AFA"/>
    <w:rsid w:val="003527FB"/>
    <w:rsid w:val="00352E13"/>
    <w:rsid w:val="00357CF7"/>
    <w:rsid w:val="003600F4"/>
    <w:rsid w:val="00360F68"/>
    <w:rsid w:val="003651BD"/>
    <w:rsid w:val="00367044"/>
    <w:rsid w:val="00367B01"/>
    <w:rsid w:val="00367B81"/>
    <w:rsid w:val="0037007A"/>
    <w:rsid w:val="00372366"/>
    <w:rsid w:val="00372537"/>
    <w:rsid w:val="00374628"/>
    <w:rsid w:val="003762DA"/>
    <w:rsid w:val="003767C0"/>
    <w:rsid w:val="00381242"/>
    <w:rsid w:val="0038766E"/>
    <w:rsid w:val="00393EC0"/>
    <w:rsid w:val="003969C7"/>
    <w:rsid w:val="003A12C6"/>
    <w:rsid w:val="003A1936"/>
    <w:rsid w:val="003A2501"/>
    <w:rsid w:val="003A2F14"/>
    <w:rsid w:val="003A3E1F"/>
    <w:rsid w:val="003A477C"/>
    <w:rsid w:val="003A484D"/>
    <w:rsid w:val="003A565F"/>
    <w:rsid w:val="003B1470"/>
    <w:rsid w:val="003B57AF"/>
    <w:rsid w:val="003B5D74"/>
    <w:rsid w:val="003B5E57"/>
    <w:rsid w:val="003B6BFB"/>
    <w:rsid w:val="003B6DB0"/>
    <w:rsid w:val="003C5B1B"/>
    <w:rsid w:val="003D11A8"/>
    <w:rsid w:val="003E1379"/>
    <w:rsid w:val="003E582E"/>
    <w:rsid w:val="003F22CE"/>
    <w:rsid w:val="003F2F8E"/>
    <w:rsid w:val="003F2FB9"/>
    <w:rsid w:val="003F374E"/>
    <w:rsid w:val="003F49F0"/>
    <w:rsid w:val="003F604B"/>
    <w:rsid w:val="00400EF4"/>
    <w:rsid w:val="00401780"/>
    <w:rsid w:val="00403E2E"/>
    <w:rsid w:val="0040420E"/>
    <w:rsid w:val="00407F04"/>
    <w:rsid w:val="004112F7"/>
    <w:rsid w:val="004119C7"/>
    <w:rsid w:val="00413B7E"/>
    <w:rsid w:val="00413DA2"/>
    <w:rsid w:val="004157AF"/>
    <w:rsid w:val="00420A4C"/>
    <w:rsid w:val="00432FE4"/>
    <w:rsid w:val="00434F67"/>
    <w:rsid w:val="00435AEC"/>
    <w:rsid w:val="004361EB"/>
    <w:rsid w:val="0043707B"/>
    <w:rsid w:val="00440CD0"/>
    <w:rsid w:val="0044226E"/>
    <w:rsid w:val="00443704"/>
    <w:rsid w:val="00447CE8"/>
    <w:rsid w:val="00447E6A"/>
    <w:rsid w:val="004506CC"/>
    <w:rsid w:val="00452A3D"/>
    <w:rsid w:val="0045464A"/>
    <w:rsid w:val="0045557D"/>
    <w:rsid w:val="00455A31"/>
    <w:rsid w:val="00455F44"/>
    <w:rsid w:val="00460E3D"/>
    <w:rsid w:val="0046330A"/>
    <w:rsid w:val="00463ACA"/>
    <w:rsid w:val="00463CB4"/>
    <w:rsid w:val="004642FE"/>
    <w:rsid w:val="00470C69"/>
    <w:rsid w:val="004726C8"/>
    <w:rsid w:val="00476ECA"/>
    <w:rsid w:val="00477839"/>
    <w:rsid w:val="00477B1A"/>
    <w:rsid w:val="00483480"/>
    <w:rsid w:val="00484798"/>
    <w:rsid w:val="0048503D"/>
    <w:rsid w:val="004860C3"/>
    <w:rsid w:val="00492FA1"/>
    <w:rsid w:val="00497549"/>
    <w:rsid w:val="004A24F0"/>
    <w:rsid w:val="004A5E41"/>
    <w:rsid w:val="004C1F95"/>
    <w:rsid w:val="004C4DBA"/>
    <w:rsid w:val="004C5EAB"/>
    <w:rsid w:val="004C6150"/>
    <w:rsid w:val="004C6A6C"/>
    <w:rsid w:val="004C6F0B"/>
    <w:rsid w:val="004C6F22"/>
    <w:rsid w:val="004C7623"/>
    <w:rsid w:val="004D07DF"/>
    <w:rsid w:val="004D611F"/>
    <w:rsid w:val="004D7D51"/>
    <w:rsid w:val="004E3F50"/>
    <w:rsid w:val="004E58AB"/>
    <w:rsid w:val="004E6188"/>
    <w:rsid w:val="004F0BBC"/>
    <w:rsid w:val="00501DC6"/>
    <w:rsid w:val="00502239"/>
    <w:rsid w:val="00502CFD"/>
    <w:rsid w:val="00502FF2"/>
    <w:rsid w:val="00507FE8"/>
    <w:rsid w:val="00512D9D"/>
    <w:rsid w:val="00517586"/>
    <w:rsid w:val="00520554"/>
    <w:rsid w:val="00521485"/>
    <w:rsid w:val="0052251E"/>
    <w:rsid w:val="005278AA"/>
    <w:rsid w:val="005334EE"/>
    <w:rsid w:val="0053471D"/>
    <w:rsid w:val="005358FA"/>
    <w:rsid w:val="00535C12"/>
    <w:rsid w:val="00542510"/>
    <w:rsid w:val="005430D6"/>
    <w:rsid w:val="0054652E"/>
    <w:rsid w:val="0054703C"/>
    <w:rsid w:val="00550D42"/>
    <w:rsid w:val="00550DC4"/>
    <w:rsid w:val="005514AF"/>
    <w:rsid w:val="00551B4A"/>
    <w:rsid w:val="00552394"/>
    <w:rsid w:val="005525C3"/>
    <w:rsid w:val="00552860"/>
    <w:rsid w:val="00554AFE"/>
    <w:rsid w:val="00557436"/>
    <w:rsid w:val="005627DD"/>
    <w:rsid w:val="0056374A"/>
    <w:rsid w:val="00566375"/>
    <w:rsid w:val="00567F95"/>
    <w:rsid w:val="00572476"/>
    <w:rsid w:val="00573C88"/>
    <w:rsid w:val="005759AF"/>
    <w:rsid w:val="005770BB"/>
    <w:rsid w:val="00580AB2"/>
    <w:rsid w:val="00582092"/>
    <w:rsid w:val="005852C9"/>
    <w:rsid w:val="00585A68"/>
    <w:rsid w:val="005868C9"/>
    <w:rsid w:val="00586A03"/>
    <w:rsid w:val="00586B6F"/>
    <w:rsid w:val="00586E84"/>
    <w:rsid w:val="005877F6"/>
    <w:rsid w:val="00592F71"/>
    <w:rsid w:val="00592FF1"/>
    <w:rsid w:val="005A495B"/>
    <w:rsid w:val="005A56EA"/>
    <w:rsid w:val="005A61D7"/>
    <w:rsid w:val="005B0287"/>
    <w:rsid w:val="005B7896"/>
    <w:rsid w:val="005C0FD4"/>
    <w:rsid w:val="005C1E86"/>
    <w:rsid w:val="005C31E6"/>
    <w:rsid w:val="005C3479"/>
    <w:rsid w:val="005C4816"/>
    <w:rsid w:val="005C5E8D"/>
    <w:rsid w:val="005D00AF"/>
    <w:rsid w:val="005D3E66"/>
    <w:rsid w:val="005D5118"/>
    <w:rsid w:val="005E04C9"/>
    <w:rsid w:val="005E0A69"/>
    <w:rsid w:val="005E5029"/>
    <w:rsid w:val="005E58CC"/>
    <w:rsid w:val="005E6299"/>
    <w:rsid w:val="005F35E4"/>
    <w:rsid w:val="005F46BB"/>
    <w:rsid w:val="005F5E49"/>
    <w:rsid w:val="00600CEF"/>
    <w:rsid w:val="0060102F"/>
    <w:rsid w:val="00601094"/>
    <w:rsid w:val="00601B4B"/>
    <w:rsid w:val="00603813"/>
    <w:rsid w:val="00606EDF"/>
    <w:rsid w:val="00611528"/>
    <w:rsid w:val="006128AC"/>
    <w:rsid w:val="0061542D"/>
    <w:rsid w:val="00620715"/>
    <w:rsid w:val="00624187"/>
    <w:rsid w:val="006252AF"/>
    <w:rsid w:val="00627DFF"/>
    <w:rsid w:val="006304CC"/>
    <w:rsid w:val="00631DEC"/>
    <w:rsid w:val="0063400A"/>
    <w:rsid w:val="00634CC2"/>
    <w:rsid w:val="00635435"/>
    <w:rsid w:val="00636109"/>
    <w:rsid w:val="00637F2B"/>
    <w:rsid w:val="00646FBB"/>
    <w:rsid w:val="006476CE"/>
    <w:rsid w:val="006503D3"/>
    <w:rsid w:val="00654CF6"/>
    <w:rsid w:val="00655583"/>
    <w:rsid w:val="00656945"/>
    <w:rsid w:val="00661BA3"/>
    <w:rsid w:val="0066223F"/>
    <w:rsid w:val="00663C55"/>
    <w:rsid w:val="0067483E"/>
    <w:rsid w:val="0067674F"/>
    <w:rsid w:val="00676AA0"/>
    <w:rsid w:val="00676B2B"/>
    <w:rsid w:val="00681700"/>
    <w:rsid w:val="00683C73"/>
    <w:rsid w:val="006935CB"/>
    <w:rsid w:val="0069514B"/>
    <w:rsid w:val="00697D38"/>
    <w:rsid w:val="006A0450"/>
    <w:rsid w:val="006A2FA2"/>
    <w:rsid w:val="006A6A77"/>
    <w:rsid w:val="006A76FC"/>
    <w:rsid w:val="006B10BA"/>
    <w:rsid w:val="006B21F9"/>
    <w:rsid w:val="006B4C50"/>
    <w:rsid w:val="006B690E"/>
    <w:rsid w:val="006B70FF"/>
    <w:rsid w:val="006B7FF7"/>
    <w:rsid w:val="006C01BE"/>
    <w:rsid w:val="006C7B0E"/>
    <w:rsid w:val="006D0719"/>
    <w:rsid w:val="006D09F2"/>
    <w:rsid w:val="006D1409"/>
    <w:rsid w:val="006D3D8B"/>
    <w:rsid w:val="006E1B8C"/>
    <w:rsid w:val="006E7D40"/>
    <w:rsid w:val="006F0FCE"/>
    <w:rsid w:val="006F31BB"/>
    <w:rsid w:val="006F36D3"/>
    <w:rsid w:val="006F6030"/>
    <w:rsid w:val="006F62A0"/>
    <w:rsid w:val="006F75D1"/>
    <w:rsid w:val="006F7B4F"/>
    <w:rsid w:val="00703446"/>
    <w:rsid w:val="007045EC"/>
    <w:rsid w:val="007118A7"/>
    <w:rsid w:val="00711B4E"/>
    <w:rsid w:val="0071236C"/>
    <w:rsid w:val="007139E4"/>
    <w:rsid w:val="0071548A"/>
    <w:rsid w:val="007177BB"/>
    <w:rsid w:val="00720E8A"/>
    <w:rsid w:val="007213DC"/>
    <w:rsid w:val="0072184F"/>
    <w:rsid w:val="007221B0"/>
    <w:rsid w:val="00727891"/>
    <w:rsid w:val="007305AB"/>
    <w:rsid w:val="0073090C"/>
    <w:rsid w:val="00731C48"/>
    <w:rsid w:val="0073200D"/>
    <w:rsid w:val="00732750"/>
    <w:rsid w:val="007341A1"/>
    <w:rsid w:val="00735E4B"/>
    <w:rsid w:val="007364B5"/>
    <w:rsid w:val="007422E5"/>
    <w:rsid w:val="00742ACC"/>
    <w:rsid w:val="007458B4"/>
    <w:rsid w:val="00746717"/>
    <w:rsid w:val="007467DE"/>
    <w:rsid w:val="007503CF"/>
    <w:rsid w:val="00753361"/>
    <w:rsid w:val="007571EB"/>
    <w:rsid w:val="007639EB"/>
    <w:rsid w:val="00764437"/>
    <w:rsid w:val="00764D39"/>
    <w:rsid w:val="00767F86"/>
    <w:rsid w:val="00772B9E"/>
    <w:rsid w:val="00773D1C"/>
    <w:rsid w:val="00774A96"/>
    <w:rsid w:val="007752BE"/>
    <w:rsid w:val="00775C02"/>
    <w:rsid w:val="007763D4"/>
    <w:rsid w:val="00777BF5"/>
    <w:rsid w:val="00781498"/>
    <w:rsid w:val="00784A5B"/>
    <w:rsid w:val="0079007B"/>
    <w:rsid w:val="007903B1"/>
    <w:rsid w:val="00793211"/>
    <w:rsid w:val="00793B75"/>
    <w:rsid w:val="0079589E"/>
    <w:rsid w:val="00795DE4"/>
    <w:rsid w:val="007A5697"/>
    <w:rsid w:val="007A6D30"/>
    <w:rsid w:val="007A7822"/>
    <w:rsid w:val="007B00C4"/>
    <w:rsid w:val="007B0587"/>
    <w:rsid w:val="007B2825"/>
    <w:rsid w:val="007B4D43"/>
    <w:rsid w:val="007B4D6A"/>
    <w:rsid w:val="007B6685"/>
    <w:rsid w:val="007C0C37"/>
    <w:rsid w:val="007C1804"/>
    <w:rsid w:val="007C3478"/>
    <w:rsid w:val="007C701D"/>
    <w:rsid w:val="007D23BF"/>
    <w:rsid w:val="007D60DB"/>
    <w:rsid w:val="007D615F"/>
    <w:rsid w:val="007E05FE"/>
    <w:rsid w:val="007E0C57"/>
    <w:rsid w:val="007E5512"/>
    <w:rsid w:val="007F403B"/>
    <w:rsid w:val="00800176"/>
    <w:rsid w:val="00801882"/>
    <w:rsid w:val="00802408"/>
    <w:rsid w:val="008100C8"/>
    <w:rsid w:val="00813ACF"/>
    <w:rsid w:val="008149D2"/>
    <w:rsid w:val="0081714F"/>
    <w:rsid w:val="00825B11"/>
    <w:rsid w:val="0082761A"/>
    <w:rsid w:val="00830124"/>
    <w:rsid w:val="00831A1E"/>
    <w:rsid w:val="00832600"/>
    <w:rsid w:val="0083386A"/>
    <w:rsid w:val="00833C7A"/>
    <w:rsid w:val="00835672"/>
    <w:rsid w:val="00836244"/>
    <w:rsid w:val="0084216B"/>
    <w:rsid w:val="0084342C"/>
    <w:rsid w:val="00845109"/>
    <w:rsid w:val="00846FB4"/>
    <w:rsid w:val="008531C0"/>
    <w:rsid w:val="00861FDD"/>
    <w:rsid w:val="0086227A"/>
    <w:rsid w:val="0086783C"/>
    <w:rsid w:val="00870D02"/>
    <w:rsid w:val="00870D28"/>
    <w:rsid w:val="00872E0F"/>
    <w:rsid w:val="008763EA"/>
    <w:rsid w:val="00880F39"/>
    <w:rsid w:val="00881BD6"/>
    <w:rsid w:val="00882AB7"/>
    <w:rsid w:val="00884031"/>
    <w:rsid w:val="0088575E"/>
    <w:rsid w:val="00885CAF"/>
    <w:rsid w:val="00892ACF"/>
    <w:rsid w:val="0089353F"/>
    <w:rsid w:val="00896EAB"/>
    <w:rsid w:val="008A3C15"/>
    <w:rsid w:val="008A53D0"/>
    <w:rsid w:val="008B0795"/>
    <w:rsid w:val="008B0C0F"/>
    <w:rsid w:val="008B30E9"/>
    <w:rsid w:val="008B558C"/>
    <w:rsid w:val="008B6C7E"/>
    <w:rsid w:val="008B7A42"/>
    <w:rsid w:val="008C113C"/>
    <w:rsid w:val="008C1570"/>
    <w:rsid w:val="008C1984"/>
    <w:rsid w:val="008C30C4"/>
    <w:rsid w:val="008C3BF5"/>
    <w:rsid w:val="008C502A"/>
    <w:rsid w:val="008D0BF3"/>
    <w:rsid w:val="008D2503"/>
    <w:rsid w:val="008D556A"/>
    <w:rsid w:val="008E411E"/>
    <w:rsid w:val="008E4653"/>
    <w:rsid w:val="008E6170"/>
    <w:rsid w:val="008E7A24"/>
    <w:rsid w:val="008F1C48"/>
    <w:rsid w:val="008F5667"/>
    <w:rsid w:val="008F57E9"/>
    <w:rsid w:val="008F67CB"/>
    <w:rsid w:val="008F76DC"/>
    <w:rsid w:val="009003BF"/>
    <w:rsid w:val="009108B8"/>
    <w:rsid w:val="00910F76"/>
    <w:rsid w:val="00915A2F"/>
    <w:rsid w:val="00917E2A"/>
    <w:rsid w:val="00923223"/>
    <w:rsid w:val="009238FC"/>
    <w:rsid w:val="00927BA0"/>
    <w:rsid w:val="00927E3C"/>
    <w:rsid w:val="009300DD"/>
    <w:rsid w:val="00930CF2"/>
    <w:rsid w:val="00930FF5"/>
    <w:rsid w:val="00931DEC"/>
    <w:rsid w:val="00935B11"/>
    <w:rsid w:val="009361D3"/>
    <w:rsid w:val="00936F46"/>
    <w:rsid w:val="0094375E"/>
    <w:rsid w:val="00953CE9"/>
    <w:rsid w:val="00954C60"/>
    <w:rsid w:val="00955A1E"/>
    <w:rsid w:val="00960582"/>
    <w:rsid w:val="00960ACF"/>
    <w:rsid w:val="00961017"/>
    <w:rsid w:val="00961335"/>
    <w:rsid w:val="009627DA"/>
    <w:rsid w:val="00964046"/>
    <w:rsid w:val="00964EE9"/>
    <w:rsid w:val="00965C05"/>
    <w:rsid w:val="009723B1"/>
    <w:rsid w:val="009739F0"/>
    <w:rsid w:val="00976721"/>
    <w:rsid w:val="00981166"/>
    <w:rsid w:val="00985AC0"/>
    <w:rsid w:val="009867A9"/>
    <w:rsid w:val="00987D75"/>
    <w:rsid w:val="009914FD"/>
    <w:rsid w:val="00991DED"/>
    <w:rsid w:val="00992892"/>
    <w:rsid w:val="00995208"/>
    <w:rsid w:val="0099556B"/>
    <w:rsid w:val="009A38D5"/>
    <w:rsid w:val="009B4BC4"/>
    <w:rsid w:val="009B6F6E"/>
    <w:rsid w:val="009C052A"/>
    <w:rsid w:val="009C273F"/>
    <w:rsid w:val="009C2E52"/>
    <w:rsid w:val="009C3E80"/>
    <w:rsid w:val="009C5742"/>
    <w:rsid w:val="009C634D"/>
    <w:rsid w:val="009D09B2"/>
    <w:rsid w:val="009D160D"/>
    <w:rsid w:val="009D1894"/>
    <w:rsid w:val="009D2F43"/>
    <w:rsid w:val="009D7A62"/>
    <w:rsid w:val="009D7E3A"/>
    <w:rsid w:val="009E5347"/>
    <w:rsid w:val="009E5EE5"/>
    <w:rsid w:val="009E793F"/>
    <w:rsid w:val="009F005A"/>
    <w:rsid w:val="009F060E"/>
    <w:rsid w:val="009F4A60"/>
    <w:rsid w:val="009F62C3"/>
    <w:rsid w:val="00A009E1"/>
    <w:rsid w:val="00A04CAD"/>
    <w:rsid w:val="00A05EBA"/>
    <w:rsid w:val="00A06538"/>
    <w:rsid w:val="00A15221"/>
    <w:rsid w:val="00A174BA"/>
    <w:rsid w:val="00A17910"/>
    <w:rsid w:val="00A17E00"/>
    <w:rsid w:val="00A21FEB"/>
    <w:rsid w:val="00A23187"/>
    <w:rsid w:val="00A23AA3"/>
    <w:rsid w:val="00A23B5F"/>
    <w:rsid w:val="00A31791"/>
    <w:rsid w:val="00A33A06"/>
    <w:rsid w:val="00A3443B"/>
    <w:rsid w:val="00A358EB"/>
    <w:rsid w:val="00A37343"/>
    <w:rsid w:val="00A4388C"/>
    <w:rsid w:val="00A448BE"/>
    <w:rsid w:val="00A451A3"/>
    <w:rsid w:val="00A4567F"/>
    <w:rsid w:val="00A45F50"/>
    <w:rsid w:val="00A46714"/>
    <w:rsid w:val="00A54843"/>
    <w:rsid w:val="00A5593E"/>
    <w:rsid w:val="00A64CCC"/>
    <w:rsid w:val="00A64FA1"/>
    <w:rsid w:val="00A70562"/>
    <w:rsid w:val="00A70DAE"/>
    <w:rsid w:val="00A722F2"/>
    <w:rsid w:val="00A76434"/>
    <w:rsid w:val="00A87993"/>
    <w:rsid w:val="00A9111A"/>
    <w:rsid w:val="00A93819"/>
    <w:rsid w:val="00A939FC"/>
    <w:rsid w:val="00A96D7B"/>
    <w:rsid w:val="00AA0DFF"/>
    <w:rsid w:val="00AA48DB"/>
    <w:rsid w:val="00AA6D6C"/>
    <w:rsid w:val="00AA7036"/>
    <w:rsid w:val="00AA76E0"/>
    <w:rsid w:val="00AB4B93"/>
    <w:rsid w:val="00AB7BC7"/>
    <w:rsid w:val="00AC0555"/>
    <w:rsid w:val="00AC3CE1"/>
    <w:rsid w:val="00AD2779"/>
    <w:rsid w:val="00AD5827"/>
    <w:rsid w:val="00AD5D52"/>
    <w:rsid w:val="00AD6419"/>
    <w:rsid w:val="00AD664C"/>
    <w:rsid w:val="00AE1C40"/>
    <w:rsid w:val="00AE1CDC"/>
    <w:rsid w:val="00AE7B65"/>
    <w:rsid w:val="00AF4078"/>
    <w:rsid w:val="00AF4596"/>
    <w:rsid w:val="00AF62B4"/>
    <w:rsid w:val="00B04924"/>
    <w:rsid w:val="00B0516F"/>
    <w:rsid w:val="00B0648B"/>
    <w:rsid w:val="00B068AF"/>
    <w:rsid w:val="00B0788D"/>
    <w:rsid w:val="00B128F3"/>
    <w:rsid w:val="00B12E42"/>
    <w:rsid w:val="00B14156"/>
    <w:rsid w:val="00B147A7"/>
    <w:rsid w:val="00B174A4"/>
    <w:rsid w:val="00B208FC"/>
    <w:rsid w:val="00B21CD1"/>
    <w:rsid w:val="00B26A86"/>
    <w:rsid w:val="00B3135E"/>
    <w:rsid w:val="00B35BA3"/>
    <w:rsid w:val="00B40276"/>
    <w:rsid w:val="00B40CB7"/>
    <w:rsid w:val="00B41B5C"/>
    <w:rsid w:val="00B41E08"/>
    <w:rsid w:val="00B4362D"/>
    <w:rsid w:val="00B43F73"/>
    <w:rsid w:val="00B45AEE"/>
    <w:rsid w:val="00B510B4"/>
    <w:rsid w:val="00B52ABC"/>
    <w:rsid w:val="00B52BCB"/>
    <w:rsid w:val="00B53034"/>
    <w:rsid w:val="00B60C6E"/>
    <w:rsid w:val="00B62C19"/>
    <w:rsid w:val="00B6458E"/>
    <w:rsid w:val="00B646E8"/>
    <w:rsid w:val="00B70D16"/>
    <w:rsid w:val="00B70E19"/>
    <w:rsid w:val="00B73B6F"/>
    <w:rsid w:val="00B73D69"/>
    <w:rsid w:val="00B74BB5"/>
    <w:rsid w:val="00B83525"/>
    <w:rsid w:val="00B847F1"/>
    <w:rsid w:val="00B852CF"/>
    <w:rsid w:val="00B86BF1"/>
    <w:rsid w:val="00B871C6"/>
    <w:rsid w:val="00B908D5"/>
    <w:rsid w:val="00B95D34"/>
    <w:rsid w:val="00B96B13"/>
    <w:rsid w:val="00BA5931"/>
    <w:rsid w:val="00BA643D"/>
    <w:rsid w:val="00BA77B1"/>
    <w:rsid w:val="00BB2C34"/>
    <w:rsid w:val="00BB5965"/>
    <w:rsid w:val="00BB6E73"/>
    <w:rsid w:val="00BC1FEC"/>
    <w:rsid w:val="00BC4002"/>
    <w:rsid w:val="00BC4039"/>
    <w:rsid w:val="00BC4127"/>
    <w:rsid w:val="00BC4788"/>
    <w:rsid w:val="00BD1BFA"/>
    <w:rsid w:val="00BD239B"/>
    <w:rsid w:val="00BD2CBA"/>
    <w:rsid w:val="00BD424B"/>
    <w:rsid w:val="00BD75C8"/>
    <w:rsid w:val="00BD7A67"/>
    <w:rsid w:val="00BE14FC"/>
    <w:rsid w:val="00BE18B2"/>
    <w:rsid w:val="00BE3415"/>
    <w:rsid w:val="00BE47A9"/>
    <w:rsid w:val="00BE6EA9"/>
    <w:rsid w:val="00BE73AA"/>
    <w:rsid w:val="00BE7592"/>
    <w:rsid w:val="00BF2DEB"/>
    <w:rsid w:val="00BF3BDE"/>
    <w:rsid w:val="00BF53AE"/>
    <w:rsid w:val="00BF58A6"/>
    <w:rsid w:val="00C0020E"/>
    <w:rsid w:val="00C00D89"/>
    <w:rsid w:val="00C063BE"/>
    <w:rsid w:val="00C07CE5"/>
    <w:rsid w:val="00C17EE9"/>
    <w:rsid w:val="00C20199"/>
    <w:rsid w:val="00C34E2D"/>
    <w:rsid w:val="00C368A2"/>
    <w:rsid w:val="00C42190"/>
    <w:rsid w:val="00C44F54"/>
    <w:rsid w:val="00C45F02"/>
    <w:rsid w:val="00C5138C"/>
    <w:rsid w:val="00C51FE2"/>
    <w:rsid w:val="00C52F0D"/>
    <w:rsid w:val="00C536D8"/>
    <w:rsid w:val="00C55E63"/>
    <w:rsid w:val="00C55F5D"/>
    <w:rsid w:val="00C60C03"/>
    <w:rsid w:val="00C61906"/>
    <w:rsid w:val="00C65A0F"/>
    <w:rsid w:val="00C66416"/>
    <w:rsid w:val="00C6720B"/>
    <w:rsid w:val="00C72249"/>
    <w:rsid w:val="00C74F5D"/>
    <w:rsid w:val="00C777EC"/>
    <w:rsid w:val="00C7783A"/>
    <w:rsid w:val="00C7784E"/>
    <w:rsid w:val="00C80836"/>
    <w:rsid w:val="00C857E4"/>
    <w:rsid w:val="00C85FB7"/>
    <w:rsid w:val="00C86EF1"/>
    <w:rsid w:val="00C87051"/>
    <w:rsid w:val="00CA0C53"/>
    <w:rsid w:val="00CA138A"/>
    <w:rsid w:val="00CA17E5"/>
    <w:rsid w:val="00CA2B62"/>
    <w:rsid w:val="00CA3030"/>
    <w:rsid w:val="00CA3CD3"/>
    <w:rsid w:val="00CA5876"/>
    <w:rsid w:val="00CA5EF1"/>
    <w:rsid w:val="00CB0495"/>
    <w:rsid w:val="00CB0869"/>
    <w:rsid w:val="00CB0CCF"/>
    <w:rsid w:val="00CB3E3D"/>
    <w:rsid w:val="00CC3FAB"/>
    <w:rsid w:val="00CC4D44"/>
    <w:rsid w:val="00CC7469"/>
    <w:rsid w:val="00CD15B3"/>
    <w:rsid w:val="00CD345C"/>
    <w:rsid w:val="00CD76FF"/>
    <w:rsid w:val="00CE03A7"/>
    <w:rsid w:val="00CE64EF"/>
    <w:rsid w:val="00CF07A6"/>
    <w:rsid w:val="00CF0FFE"/>
    <w:rsid w:val="00CF52B0"/>
    <w:rsid w:val="00CF586B"/>
    <w:rsid w:val="00CF7CF7"/>
    <w:rsid w:val="00D03886"/>
    <w:rsid w:val="00D04600"/>
    <w:rsid w:val="00D1163E"/>
    <w:rsid w:val="00D13DFA"/>
    <w:rsid w:val="00D15918"/>
    <w:rsid w:val="00D1596B"/>
    <w:rsid w:val="00D23B2E"/>
    <w:rsid w:val="00D27127"/>
    <w:rsid w:val="00D34579"/>
    <w:rsid w:val="00D351D3"/>
    <w:rsid w:val="00D36535"/>
    <w:rsid w:val="00D4423F"/>
    <w:rsid w:val="00D4737E"/>
    <w:rsid w:val="00D473B7"/>
    <w:rsid w:val="00D47A8B"/>
    <w:rsid w:val="00D5050A"/>
    <w:rsid w:val="00D52F4C"/>
    <w:rsid w:val="00D53374"/>
    <w:rsid w:val="00D613DA"/>
    <w:rsid w:val="00D65CE2"/>
    <w:rsid w:val="00D674CF"/>
    <w:rsid w:val="00D67AB8"/>
    <w:rsid w:val="00D72480"/>
    <w:rsid w:val="00D7295D"/>
    <w:rsid w:val="00D76010"/>
    <w:rsid w:val="00D80DD9"/>
    <w:rsid w:val="00D81544"/>
    <w:rsid w:val="00D90426"/>
    <w:rsid w:val="00D922E2"/>
    <w:rsid w:val="00D95960"/>
    <w:rsid w:val="00D95BAC"/>
    <w:rsid w:val="00D97D9D"/>
    <w:rsid w:val="00DA79FF"/>
    <w:rsid w:val="00DB02DB"/>
    <w:rsid w:val="00DB1E2B"/>
    <w:rsid w:val="00DB2E4F"/>
    <w:rsid w:val="00DC360B"/>
    <w:rsid w:val="00DC426A"/>
    <w:rsid w:val="00DD3430"/>
    <w:rsid w:val="00DD4DEB"/>
    <w:rsid w:val="00DD5BAF"/>
    <w:rsid w:val="00DD5D0F"/>
    <w:rsid w:val="00DD7056"/>
    <w:rsid w:val="00DD763F"/>
    <w:rsid w:val="00DD7900"/>
    <w:rsid w:val="00DE1CA0"/>
    <w:rsid w:val="00DE7E64"/>
    <w:rsid w:val="00DF05DB"/>
    <w:rsid w:val="00DF660F"/>
    <w:rsid w:val="00E00F42"/>
    <w:rsid w:val="00E014A6"/>
    <w:rsid w:val="00E02CEA"/>
    <w:rsid w:val="00E0387F"/>
    <w:rsid w:val="00E04D4B"/>
    <w:rsid w:val="00E070B5"/>
    <w:rsid w:val="00E12A33"/>
    <w:rsid w:val="00E13411"/>
    <w:rsid w:val="00E1366E"/>
    <w:rsid w:val="00E13CF7"/>
    <w:rsid w:val="00E17DAE"/>
    <w:rsid w:val="00E26533"/>
    <w:rsid w:val="00E27A3D"/>
    <w:rsid w:val="00E303F7"/>
    <w:rsid w:val="00E30714"/>
    <w:rsid w:val="00E32B6F"/>
    <w:rsid w:val="00E334F0"/>
    <w:rsid w:val="00E369B3"/>
    <w:rsid w:val="00E374F0"/>
    <w:rsid w:val="00E41763"/>
    <w:rsid w:val="00E503A3"/>
    <w:rsid w:val="00E53B1C"/>
    <w:rsid w:val="00E56503"/>
    <w:rsid w:val="00E607AB"/>
    <w:rsid w:val="00E607E2"/>
    <w:rsid w:val="00E61798"/>
    <w:rsid w:val="00E63D31"/>
    <w:rsid w:val="00E658BE"/>
    <w:rsid w:val="00E7091A"/>
    <w:rsid w:val="00E7122E"/>
    <w:rsid w:val="00E71259"/>
    <w:rsid w:val="00E82156"/>
    <w:rsid w:val="00E85579"/>
    <w:rsid w:val="00E871F1"/>
    <w:rsid w:val="00E876F5"/>
    <w:rsid w:val="00E909B3"/>
    <w:rsid w:val="00E968CF"/>
    <w:rsid w:val="00EA152B"/>
    <w:rsid w:val="00EA3DFF"/>
    <w:rsid w:val="00EB1661"/>
    <w:rsid w:val="00EB226C"/>
    <w:rsid w:val="00EB4048"/>
    <w:rsid w:val="00EB5814"/>
    <w:rsid w:val="00EB6B3F"/>
    <w:rsid w:val="00EB77BA"/>
    <w:rsid w:val="00EB7F9C"/>
    <w:rsid w:val="00EC0994"/>
    <w:rsid w:val="00EC6044"/>
    <w:rsid w:val="00EC68FF"/>
    <w:rsid w:val="00EC6982"/>
    <w:rsid w:val="00ED016E"/>
    <w:rsid w:val="00ED113C"/>
    <w:rsid w:val="00ED2A85"/>
    <w:rsid w:val="00EE07F5"/>
    <w:rsid w:val="00EE59C9"/>
    <w:rsid w:val="00EE78B2"/>
    <w:rsid w:val="00EF4558"/>
    <w:rsid w:val="00EF52AB"/>
    <w:rsid w:val="00F00286"/>
    <w:rsid w:val="00F03651"/>
    <w:rsid w:val="00F060AA"/>
    <w:rsid w:val="00F0635F"/>
    <w:rsid w:val="00F06650"/>
    <w:rsid w:val="00F06B84"/>
    <w:rsid w:val="00F10C97"/>
    <w:rsid w:val="00F12552"/>
    <w:rsid w:val="00F135DB"/>
    <w:rsid w:val="00F137C2"/>
    <w:rsid w:val="00F144BB"/>
    <w:rsid w:val="00F15B03"/>
    <w:rsid w:val="00F163AE"/>
    <w:rsid w:val="00F20F9C"/>
    <w:rsid w:val="00F23C2B"/>
    <w:rsid w:val="00F300F7"/>
    <w:rsid w:val="00F305F9"/>
    <w:rsid w:val="00F3169A"/>
    <w:rsid w:val="00F31E88"/>
    <w:rsid w:val="00F40680"/>
    <w:rsid w:val="00F4340B"/>
    <w:rsid w:val="00F44E1D"/>
    <w:rsid w:val="00F45A1A"/>
    <w:rsid w:val="00F50BA2"/>
    <w:rsid w:val="00F52175"/>
    <w:rsid w:val="00F52A69"/>
    <w:rsid w:val="00F56683"/>
    <w:rsid w:val="00F602A9"/>
    <w:rsid w:val="00F60E76"/>
    <w:rsid w:val="00F61F72"/>
    <w:rsid w:val="00F70B72"/>
    <w:rsid w:val="00F72186"/>
    <w:rsid w:val="00F73A04"/>
    <w:rsid w:val="00F757A6"/>
    <w:rsid w:val="00F84879"/>
    <w:rsid w:val="00F8613C"/>
    <w:rsid w:val="00F90B71"/>
    <w:rsid w:val="00F925CB"/>
    <w:rsid w:val="00F92FA8"/>
    <w:rsid w:val="00F93B98"/>
    <w:rsid w:val="00F94557"/>
    <w:rsid w:val="00FA088D"/>
    <w:rsid w:val="00FA138F"/>
    <w:rsid w:val="00FA13CB"/>
    <w:rsid w:val="00FA180A"/>
    <w:rsid w:val="00FA6257"/>
    <w:rsid w:val="00FA62AE"/>
    <w:rsid w:val="00FA63F1"/>
    <w:rsid w:val="00FA65FB"/>
    <w:rsid w:val="00FB1353"/>
    <w:rsid w:val="00FB1C45"/>
    <w:rsid w:val="00FB1D95"/>
    <w:rsid w:val="00FB2707"/>
    <w:rsid w:val="00FB2C77"/>
    <w:rsid w:val="00FB433B"/>
    <w:rsid w:val="00FC0121"/>
    <w:rsid w:val="00FC1F29"/>
    <w:rsid w:val="00FC36B9"/>
    <w:rsid w:val="00FC4D67"/>
    <w:rsid w:val="00FC4F35"/>
    <w:rsid w:val="00FD6875"/>
    <w:rsid w:val="00FE0272"/>
    <w:rsid w:val="00FE04CE"/>
    <w:rsid w:val="00FE152C"/>
    <w:rsid w:val="00FE2D29"/>
    <w:rsid w:val="00FE3CC9"/>
    <w:rsid w:val="00FE4057"/>
    <w:rsid w:val="00FE42F7"/>
    <w:rsid w:val="00FE675C"/>
    <w:rsid w:val="00FE7D98"/>
    <w:rsid w:val="00FF04AB"/>
    <w:rsid w:val="00FF0DB2"/>
    <w:rsid w:val="00FF2F69"/>
    <w:rsid w:val="00FF617C"/>
    <w:rsid w:val="011E1EB1"/>
    <w:rsid w:val="01214A1E"/>
    <w:rsid w:val="013C057C"/>
    <w:rsid w:val="013E5391"/>
    <w:rsid w:val="014F1B49"/>
    <w:rsid w:val="0161201C"/>
    <w:rsid w:val="01674AD8"/>
    <w:rsid w:val="017B15F7"/>
    <w:rsid w:val="019B2A51"/>
    <w:rsid w:val="01BB069A"/>
    <w:rsid w:val="01BD4BA4"/>
    <w:rsid w:val="01E64F72"/>
    <w:rsid w:val="01EE6DBE"/>
    <w:rsid w:val="01FB049A"/>
    <w:rsid w:val="020E7F3F"/>
    <w:rsid w:val="021A6004"/>
    <w:rsid w:val="022E08B9"/>
    <w:rsid w:val="023A07E4"/>
    <w:rsid w:val="025D291A"/>
    <w:rsid w:val="027202B1"/>
    <w:rsid w:val="02721F48"/>
    <w:rsid w:val="02737E4C"/>
    <w:rsid w:val="02805163"/>
    <w:rsid w:val="02815E8D"/>
    <w:rsid w:val="02E41BF4"/>
    <w:rsid w:val="02F07CB0"/>
    <w:rsid w:val="030D75EF"/>
    <w:rsid w:val="031168BC"/>
    <w:rsid w:val="03426C59"/>
    <w:rsid w:val="03433AF1"/>
    <w:rsid w:val="03501AE4"/>
    <w:rsid w:val="03716722"/>
    <w:rsid w:val="039B623A"/>
    <w:rsid w:val="03A4401F"/>
    <w:rsid w:val="03B44AA5"/>
    <w:rsid w:val="040020A7"/>
    <w:rsid w:val="04473247"/>
    <w:rsid w:val="044D2B93"/>
    <w:rsid w:val="04810BB0"/>
    <w:rsid w:val="04833676"/>
    <w:rsid w:val="04930DBB"/>
    <w:rsid w:val="04A1072E"/>
    <w:rsid w:val="04A2371F"/>
    <w:rsid w:val="04A53BA4"/>
    <w:rsid w:val="04AA1834"/>
    <w:rsid w:val="04D17C83"/>
    <w:rsid w:val="04E374DE"/>
    <w:rsid w:val="04EB7500"/>
    <w:rsid w:val="04FF00EB"/>
    <w:rsid w:val="0501459E"/>
    <w:rsid w:val="05175FCF"/>
    <w:rsid w:val="052263A0"/>
    <w:rsid w:val="054E23E8"/>
    <w:rsid w:val="05586075"/>
    <w:rsid w:val="058E5789"/>
    <w:rsid w:val="058F16D1"/>
    <w:rsid w:val="059C5E7A"/>
    <w:rsid w:val="059F3F35"/>
    <w:rsid w:val="05AB2DB2"/>
    <w:rsid w:val="05C127AF"/>
    <w:rsid w:val="05C342DE"/>
    <w:rsid w:val="05D56659"/>
    <w:rsid w:val="05EB76F4"/>
    <w:rsid w:val="05EC4B85"/>
    <w:rsid w:val="05F56B6A"/>
    <w:rsid w:val="05F7106C"/>
    <w:rsid w:val="06027766"/>
    <w:rsid w:val="06305727"/>
    <w:rsid w:val="06322461"/>
    <w:rsid w:val="065D1187"/>
    <w:rsid w:val="06647C6C"/>
    <w:rsid w:val="06665E33"/>
    <w:rsid w:val="06936D88"/>
    <w:rsid w:val="06A31CA0"/>
    <w:rsid w:val="06AF2A12"/>
    <w:rsid w:val="06D31947"/>
    <w:rsid w:val="06D92562"/>
    <w:rsid w:val="06E760D7"/>
    <w:rsid w:val="06EA54F3"/>
    <w:rsid w:val="06F650AE"/>
    <w:rsid w:val="07075B45"/>
    <w:rsid w:val="070A76BD"/>
    <w:rsid w:val="072E5643"/>
    <w:rsid w:val="073D7196"/>
    <w:rsid w:val="074524EE"/>
    <w:rsid w:val="074F1960"/>
    <w:rsid w:val="07504429"/>
    <w:rsid w:val="07612720"/>
    <w:rsid w:val="0772306F"/>
    <w:rsid w:val="07792B42"/>
    <w:rsid w:val="077E3D0B"/>
    <w:rsid w:val="078C511B"/>
    <w:rsid w:val="078D2D8A"/>
    <w:rsid w:val="07927268"/>
    <w:rsid w:val="07A062A2"/>
    <w:rsid w:val="07BE2A34"/>
    <w:rsid w:val="07CF5DE6"/>
    <w:rsid w:val="07D43E3E"/>
    <w:rsid w:val="07DF1893"/>
    <w:rsid w:val="07E53F70"/>
    <w:rsid w:val="07F03CBF"/>
    <w:rsid w:val="07F156B8"/>
    <w:rsid w:val="07F42B67"/>
    <w:rsid w:val="07FA13E6"/>
    <w:rsid w:val="080D0CE3"/>
    <w:rsid w:val="08340CAC"/>
    <w:rsid w:val="085B5F8D"/>
    <w:rsid w:val="086626CB"/>
    <w:rsid w:val="08777DF5"/>
    <w:rsid w:val="08790814"/>
    <w:rsid w:val="08817F9A"/>
    <w:rsid w:val="08933F38"/>
    <w:rsid w:val="089E56D2"/>
    <w:rsid w:val="08B472FE"/>
    <w:rsid w:val="08B614BD"/>
    <w:rsid w:val="08B937A7"/>
    <w:rsid w:val="08CD671D"/>
    <w:rsid w:val="08D83875"/>
    <w:rsid w:val="08E17EB0"/>
    <w:rsid w:val="08F56067"/>
    <w:rsid w:val="08F56798"/>
    <w:rsid w:val="08F66D6C"/>
    <w:rsid w:val="09072AF5"/>
    <w:rsid w:val="090D78C9"/>
    <w:rsid w:val="09101FB3"/>
    <w:rsid w:val="09296C06"/>
    <w:rsid w:val="094A0884"/>
    <w:rsid w:val="097028EB"/>
    <w:rsid w:val="097054DF"/>
    <w:rsid w:val="09721554"/>
    <w:rsid w:val="09742817"/>
    <w:rsid w:val="09815806"/>
    <w:rsid w:val="09C17587"/>
    <w:rsid w:val="09E322F1"/>
    <w:rsid w:val="09F8752F"/>
    <w:rsid w:val="09FB7CA1"/>
    <w:rsid w:val="0A0D439F"/>
    <w:rsid w:val="0A0F0D09"/>
    <w:rsid w:val="0A117A89"/>
    <w:rsid w:val="0A1D4600"/>
    <w:rsid w:val="0A1F186B"/>
    <w:rsid w:val="0A1F68B2"/>
    <w:rsid w:val="0A210F95"/>
    <w:rsid w:val="0A2836E0"/>
    <w:rsid w:val="0A29194C"/>
    <w:rsid w:val="0A593073"/>
    <w:rsid w:val="0A597DB4"/>
    <w:rsid w:val="0A8E5529"/>
    <w:rsid w:val="0AB44EF5"/>
    <w:rsid w:val="0AC159A6"/>
    <w:rsid w:val="0AC21E17"/>
    <w:rsid w:val="0AE34BB1"/>
    <w:rsid w:val="0AED0B6E"/>
    <w:rsid w:val="0B4B7099"/>
    <w:rsid w:val="0B6C404A"/>
    <w:rsid w:val="0B747542"/>
    <w:rsid w:val="0B9E1A60"/>
    <w:rsid w:val="0BAD70EA"/>
    <w:rsid w:val="0BBD4852"/>
    <w:rsid w:val="0BE60C5C"/>
    <w:rsid w:val="0C296CAE"/>
    <w:rsid w:val="0C364685"/>
    <w:rsid w:val="0C365370"/>
    <w:rsid w:val="0C3D2CC2"/>
    <w:rsid w:val="0C442C80"/>
    <w:rsid w:val="0C4B30F1"/>
    <w:rsid w:val="0C6E65F8"/>
    <w:rsid w:val="0C7376A8"/>
    <w:rsid w:val="0C801F53"/>
    <w:rsid w:val="0C8076E1"/>
    <w:rsid w:val="0CA97841"/>
    <w:rsid w:val="0CE75980"/>
    <w:rsid w:val="0CF22F65"/>
    <w:rsid w:val="0CFD3771"/>
    <w:rsid w:val="0D001BEA"/>
    <w:rsid w:val="0D0A7F77"/>
    <w:rsid w:val="0D45713C"/>
    <w:rsid w:val="0D4D0748"/>
    <w:rsid w:val="0D5F5515"/>
    <w:rsid w:val="0D80189F"/>
    <w:rsid w:val="0D8943DC"/>
    <w:rsid w:val="0D8A04E4"/>
    <w:rsid w:val="0D932BB8"/>
    <w:rsid w:val="0D98461B"/>
    <w:rsid w:val="0D9E1D0B"/>
    <w:rsid w:val="0DB904D9"/>
    <w:rsid w:val="0DBB0918"/>
    <w:rsid w:val="0DE25782"/>
    <w:rsid w:val="0DEE271A"/>
    <w:rsid w:val="0DF148E8"/>
    <w:rsid w:val="0E0407B3"/>
    <w:rsid w:val="0E1C4271"/>
    <w:rsid w:val="0E210D90"/>
    <w:rsid w:val="0E280BF1"/>
    <w:rsid w:val="0E2A2732"/>
    <w:rsid w:val="0E2F7B01"/>
    <w:rsid w:val="0E4B5699"/>
    <w:rsid w:val="0E512E80"/>
    <w:rsid w:val="0E6E1A32"/>
    <w:rsid w:val="0E8A14C4"/>
    <w:rsid w:val="0E915BD0"/>
    <w:rsid w:val="0ECD4128"/>
    <w:rsid w:val="0EDD5B95"/>
    <w:rsid w:val="0EEC3721"/>
    <w:rsid w:val="0EF05635"/>
    <w:rsid w:val="0F0913A4"/>
    <w:rsid w:val="0F2F6B75"/>
    <w:rsid w:val="0F360DD3"/>
    <w:rsid w:val="0F4F20A3"/>
    <w:rsid w:val="0F627C88"/>
    <w:rsid w:val="0F653F85"/>
    <w:rsid w:val="0F6B1793"/>
    <w:rsid w:val="0F740F51"/>
    <w:rsid w:val="0F761E15"/>
    <w:rsid w:val="0F7B5DFB"/>
    <w:rsid w:val="0FA62C2D"/>
    <w:rsid w:val="0FF37EF3"/>
    <w:rsid w:val="0FFE4C46"/>
    <w:rsid w:val="10064480"/>
    <w:rsid w:val="100930B7"/>
    <w:rsid w:val="10156FD1"/>
    <w:rsid w:val="10371F2F"/>
    <w:rsid w:val="105A6D80"/>
    <w:rsid w:val="10727827"/>
    <w:rsid w:val="107B23CF"/>
    <w:rsid w:val="107E1871"/>
    <w:rsid w:val="10824E25"/>
    <w:rsid w:val="108A0AA9"/>
    <w:rsid w:val="10A82DCB"/>
    <w:rsid w:val="10BD5626"/>
    <w:rsid w:val="10C85301"/>
    <w:rsid w:val="10F4014F"/>
    <w:rsid w:val="10F5099F"/>
    <w:rsid w:val="11046680"/>
    <w:rsid w:val="11423CF0"/>
    <w:rsid w:val="1159255C"/>
    <w:rsid w:val="115D038D"/>
    <w:rsid w:val="116741A8"/>
    <w:rsid w:val="11887A9E"/>
    <w:rsid w:val="119E030F"/>
    <w:rsid w:val="11AC3296"/>
    <w:rsid w:val="11BF3764"/>
    <w:rsid w:val="11BF5D6D"/>
    <w:rsid w:val="11EF6486"/>
    <w:rsid w:val="11F75962"/>
    <w:rsid w:val="11FC0451"/>
    <w:rsid w:val="120C4EB8"/>
    <w:rsid w:val="12271EF5"/>
    <w:rsid w:val="122D760A"/>
    <w:rsid w:val="12311F5A"/>
    <w:rsid w:val="12427601"/>
    <w:rsid w:val="125944FB"/>
    <w:rsid w:val="12624EB7"/>
    <w:rsid w:val="1282388F"/>
    <w:rsid w:val="128572E6"/>
    <w:rsid w:val="128A0F8B"/>
    <w:rsid w:val="129139EE"/>
    <w:rsid w:val="12B26461"/>
    <w:rsid w:val="12D228CA"/>
    <w:rsid w:val="12E560FF"/>
    <w:rsid w:val="12EF5328"/>
    <w:rsid w:val="12F36759"/>
    <w:rsid w:val="1300045E"/>
    <w:rsid w:val="130A6921"/>
    <w:rsid w:val="133D024F"/>
    <w:rsid w:val="133D6D87"/>
    <w:rsid w:val="134F68AB"/>
    <w:rsid w:val="13716BB4"/>
    <w:rsid w:val="13821EE1"/>
    <w:rsid w:val="138400CC"/>
    <w:rsid w:val="13890B9C"/>
    <w:rsid w:val="13BB7A9E"/>
    <w:rsid w:val="13C84C91"/>
    <w:rsid w:val="13CB4137"/>
    <w:rsid w:val="13D11AEC"/>
    <w:rsid w:val="13F27FD8"/>
    <w:rsid w:val="13FA3C10"/>
    <w:rsid w:val="14197590"/>
    <w:rsid w:val="141C7AF8"/>
    <w:rsid w:val="142D5867"/>
    <w:rsid w:val="14311C3C"/>
    <w:rsid w:val="14577D89"/>
    <w:rsid w:val="146A08DF"/>
    <w:rsid w:val="1470498C"/>
    <w:rsid w:val="1477269D"/>
    <w:rsid w:val="14866DCF"/>
    <w:rsid w:val="14A05CEA"/>
    <w:rsid w:val="14A131E5"/>
    <w:rsid w:val="14BA7BD0"/>
    <w:rsid w:val="14BE0DA8"/>
    <w:rsid w:val="14C0564F"/>
    <w:rsid w:val="14DF2DE8"/>
    <w:rsid w:val="14E20E88"/>
    <w:rsid w:val="14E71B9C"/>
    <w:rsid w:val="14ED24C4"/>
    <w:rsid w:val="14EE787E"/>
    <w:rsid w:val="14FE6E45"/>
    <w:rsid w:val="15030DD2"/>
    <w:rsid w:val="151246C1"/>
    <w:rsid w:val="15300534"/>
    <w:rsid w:val="15430081"/>
    <w:rsid w:val="1549179A"/>
    <w:rsid w:val="155855A0"/>
    <w:rsid w:val="15760A82"/>
    <w:rsid w:val="15885993"/>
    <w:rsid w:val="15943580"/>
    <w:rsid w:val="159F71E4"/>
    <w:rsid w:val="15CD1423"/>
    <w:rsid w:val="15DA54BE"/>
    <w:rsid w:val="15DE1A29"/>
    <w:rsid w:val="163B50D2"/>
    <w:rsid w:val="16883ABF"/>
    <w:rsid w:val="16AA3EEF"/>
    <w:rsid w:val="16B46B4D"/>
    <w:rsid w:val="16BB65F1"/>
    <w:rsid w:val="16C30E50"/>
    <w:rsid w:val="16DF70C3"/>
    <w:rsid w:val="16E36A8E"/>
    <w:rsid w:val="17174321"/>
    <w:rsid w:val="17382C6C"/>
    <w:rsid w:val="17B2733D"/>
    <w:rsid w:val="17D32110"/>
    <w:rsid w:val="17EF333D"/>
    <w:rsid w:val="17F736BA"/>
    <w:rsid w:val="180B1C8C"/>
    <w:rsid w:val="182F613A"/>
    <w:rsid w:val="1856228A"/>
    <w:rsid w:val="18655549"/>
    <w:rsid w:val="186E0357"/>
    <w:rsid w:val="189D5730"/>
    <w:rsid w:val="18AE6BDF"/>
    <w:rsid w:val="18B2778A"/>
    <w:rsid w:val="18B46832"/>
    <w:rsid w:val="18BC41FE"/>
    <w:rsid w:val="18D255E8"/>
    <w:rsid w:val="18E73115"/>
    <w:rsid w:val="190529FD"/>
    <w:rsid w:val="19085EB5"/>
    <w:rsid w:val="190A6030"/>
    <w:rsid w:val="191206D3"/>
    <w:rsid w:val="192D3C92"/>
    <w:rsid w:val="192E2BD3"/>
    <w:rsid w:val="19362545"/>
    <w:rsid w:val="195823B2"/>
    <w:rsid w:val="196D493A"/>
    <w:rsid w:val="197B5636"/>
    <w:rsid w:val="198D30EC"/>
    <w:rsid w:val="199C4851"/>
    <w:rsid w:val="19CF0004"/>
    <w:rsid w:val="1A0F1D92"/>
    <w:rsid w:val="1A200C49"/>
    <w:rsid w:val="1A287589"/>
    <w:rsid w:val="1A2C7C12"/>
    <w:rsid w:val="1A382E26"/>
    <w:rsid w:val="1A420843"/>
    <w:rsid w:val="1A530FB4"/>
    <w:rsid w:val="1A5C16D9"/>
    <w:rsid w:val="1A5C6D63"/>
    <w:rsid w:val="1A7636B6"/>
    <w:rsid w:val="1A7B17BE"/>
    <w:rsid w:val="1ABD14CA"/>
    <w:rsid w:val="1AE133EF"/>
    <w:rsid w:val="1AEF4DAE"/>
    <w:rsid w:val="1AF77FAB"/>
    <w:rsid w:val="1AFB020E"/>
    <w:rsid w:val="1B492FF3"/>
    <w:rsid w:val="1B4950A4"/>
    <w:rsid w:val="1B556620"/>
    <w:rsid w:val="1BA324C2"/>
    <w:rsid w:val="1BA61267"/>
    <w:rsid w:val="1BAF2B44"/>
    <w:rsid w:val="1BD705F4"/>
    <w:rsid w:val="1C2663BF"/>
    <w:rsid w:val="1C36433C"/>
    <w:rsid w:val="1C376E21"/>
    <w:rsid w:val="1C607E4F"/>
    <w:rsid w:val="1C721035"/>
    <w:rsid w:val="1C887DF5"/>
    <w:rsid w:val="1C89288A"/>
    <w:rsid w:val="1CA47846"/>
    <w:rsid w:val="1CA8049E"/>
    <w:rsid w:val="1CC208A7"/>
    <w:rsid w:val="1CD565D5"/>
    <w:rsid w:val="1CDF6675"/>
    <w:rsid w:val="1CEF14EF"/>
    <w:rsid w:val="1CF43006"/>
    <w:rsid w:val="1CFA1BDD"/>
    <w:rsid w:val="1D077570"/>
    <w:rsid w:val="1D287665"/>
    <w:rsid w:val="1D325942"/>
    <w:rsid w:val="1D672B1F"/>
    <w:rsid w:val="1D8B3670"/>
    <w:rsid w:val="1DA73124"/>
    <w:rsid w:val="1DAD49C3"/>
    <w:rsid w:val="1DAE0556"/>
    <w:rsid w:val="1DB1270C"/>
    <w:rsid w:val="1DB67C12"/>
    <w:rsid w:val="1DD50B1E"/>
    <w:rsid w:val="1DE46313"/>
    <w:rsid w:val="1E000346"/>
    <w:rsid w:val="1E060554"/>
    <w:rsid w:val="1E0F6E32"/>
    <w:rsid w:val="1E314714"/>
    <w:rsid w:val="1E415560"/>
    <w:rsid w:val="1E4848DC"/>
    <w:rsid w:val="1E5D18EA"/>
    <w:rsid w:val="1E604A81"/>
    <w:rsid w:val="1E62410A"/>
    <w:rsid w:val="1E706AC5"/>
    <w:rsid w:val="1E706D9C"/>
    <w:rsid w:val="1E793C59"/>
    <w:rsid w:val="1E8411F8"/>
    <w:rsid w:val="1E841A5F"/>
    <w:rsid w:val="1EA1427A"/>
    <w:rsid w:val="1EA33881"/>
    <w:rsid w:val="1EA40105"/>
    <w:rsid w:val="1EA972F9"/>
    <w:rsid w:val="1EBC7CC4"/>
    <w:rsid w:val="1EC665E8"/>
    <w:rsid w:val="1EDC6093"/>
    <w:rsid w:val="1F524DE1"/>
    <w:rsid w:val="1F553125"/>
    <w:rsid w:val="1F6812CD"/>
    <w:rsid w:val="1F69585D"/>
    <w:rsid w:val="1F6B38B0"/>
    <w:rsid w:val="1FCE2385"/>
    <w:rsid w:val="1FD0749B"/>
    <w:rsid w:val="1FE35ADC"/>
    <w:rsid w:val="202D5DAA"/>
    <w:rsid w:val="203A5CDB"/>
    <w:rsid w:val="205C16F7"/>
    <w:rsid w:val="206823A1"/>
    <w:rsid w:val="20734C03"/>
    <w:rsid w:val="207A43DF"/>
    <w:rsid w:val="207F6629"/>
    <w:rsid w:val="20B24112"/>
    <w:rsid w:val="20CB4F5C"/>
    <w:rsid w:val="20D91DD8"/>
    <w:rsid w:val="20DD5762"/>
    <w:rsid w:val="20EE43F2"/>
    <w:rsid w:val="20F301B2"/>
    <w:rsid w:val="20F716A2"/>
    <w:rsid w:val="20F903BB"/>
    <w:rsid w:val="21011A51"/>
    <w:rsid w:val="21096B24"/>
    <w:rsid w:val="210B25F8"/>
    <w:rsid w:val="211E2099"/>
    <w:rsid w:val="2123675E"/>
    <w:rsid w:val="21637A27"/>
    <w:rsid w:val="216C08BA"/>
    <w:rsid w:val="2196459B"/>
    <w:rsid w:val="21A665AD"/>
    <w:rsid w:val="21B33C19"/>
    <w:rsid w:val="21BB34D8"/>
    <w:rsid w:val="21C573AC"/>
    <w:rsid w:val="21D722C1"/>
    <w:rsid w:val="21D8619F"/>
    <w:rsid w:val="21DF24FF"/>
    <w:rsid w:val="21FD282D"/>
    <w:rsid w:val="22136A87"/>
    <w:rsid w:val="222C0C93"/>
    <w:rsid w:val="223546C4"/>
    <w:rsid w:val="224B3D5F"/>
    <w:rsid w:val="22562AF0"/>
    <w:rsid w:val="2258252F"/>
    <w:rsid w:val="225E4F1E"/>
    <w:rsid w:val="228F63A9"/>
    <w:rsid w:val="22A177E6"/>
    <w:rsid w:val="22E6677E"/>
    <w:rsid w:val="22F7317B"/>
    <w:rsid w:val="231D3794"/>
    <w:rsid w:val="233236E3"/>
    <w:rsid w:val="233B768D"/>
    <w:rsid w:val="2340625C"/>
    <w:rsid w:val="2346752C"/>
    <w:rsid w:val="23585DD8"/>
    <w:rsid w:val="235B4AD3"/>
    <w:rsid w:val="237D05D8"/>
    <w:rsid w:val="23867849"/>
    <w:rsid w:val="23996864"/>
    <w:rsid w:val="239B1C02"/>
    <w:rsid w:val="23AB3963"/>
    <w:rsid w:val="23BA793E"/>
    <w:rsid w:val="23D028AF"/>
    <w:rsid w:val="23D17044"/>
    <w:rsid w:val="23D172B3"/>
    <w:rsid w:val="23E40684"/>
    <w:rsid w:val="23EF6E73"/>
    <w:rsid w:val="23F23381"/>
    <w:rsid w:val="2411563C"/>
    <w:rsid w:val="242447AF"/>
    <w:rsid w:val="242A2D5F"/>
    <w:rsid w:val="242C781D"/>
    <w:rsid w:val="24334C53"/>
    <w:rsid w:val="24731A7A"/>
    <w:rsid w:val="24771FAD"/>
    <w:rsid w:val="24BB09DE"/>
    <w:rsid w:val="24D75451"/>
    <w:rsid w:val="24DC47FF"/>
    <w:rsid w:val="24F54077"/>
    <w:rsid w:val="25005256"/>
    <w:rsid w:val="250439EF"/>
    <w:rsid w:val="25302162"/>
    <w:rsid w:val="2557729C"/>
    <w:rsid w:val="255A6A4F"/>
    <w:rsid w:val="257239B5"/>
    <w:rsid w:val="257A3E03"/>
    <w:rsid w:val="258C3DF5"/>
    <w:rsid w:val="25B9357F"/>
    <w:rsid w:val="25D61FBA"/>
    <w:rsid w:val="25E1786F"/>
    <w:rsid w:val="25EB11E1"/>
    <w:rsid w:val="25ED6331"/>
    <w:rsid w:val="25F057BF"/>
    <w:rsid w:val="25F252DE"/>
    <w:rsid w:val="25F453F1"/>
    <w:rsid w:val="25F574EA"/>
    <w:rsid w:val="260B280F"/>
    <w:rsid w:val="260B6FED"/>
    <w:rsid w:val="263F3EBB"/>
    <w:rsid w:val="266C5402"/>
    <w:rsid w:val="266E1364"/>
    <w:rsid w:val="268E2249"/>
    <w:rsid w:val="268F31CC"/>
    <w:rsid w:val="26A67D94"/>
    <w:rsid w:val="26C52C94"/>
    <w:rsid w:val="26E51871"/>
    <w:rsid w:val="26EC52C4"/>
    <w:rsid w:val="26FD1062"/>
    <w:rsid w:val="27173BB5"/>
    <w:rsid w:val="271E29D4"/>
    <w:rsid w:val="27224B0F"/>
    <w:rsid w:val="272F1E9F"/>
    <w:rsid w:val="274E1A68"/>
    <w:rsid w:val="275B499D"/>
    <w:rsid w:val="2764417B"/>
    <w:rsid w:val="27795A37"/>
    <w:rsid w:val="278476CC"/>
    <w:rsid w:val="27F710A0"/>
    <w:rsid w:val="27F72B8F"/>
    <w:rsid w:val="282E0D0A"/>
    <w:rsid w:val="283659E1"/>
    <w:rsid w:val="284F7247"/>
    <w:rsid w:val="2854115A"/>
    <w:rsid w:val="286744CD"/>
    <w:rsid w:val="287B2854"/>
    <w:rsid w:val="287E3B05"/>
    <w:rsid w:val="2887096F"/>
    <w:rsid w:val="28891A68"/>
    <w:rsid w:val="28B0142C"/>
    <w:rsid w:val="28B031C4"/>
    <w:rsid w:val="28B813D8"/>
    <w:rsid w:val="28C05393"/>
    <w:rsid w:val="28C15F16"/>
    <w:rsid w:val="28C56D4D"/>
    <w:rsid w:val="28C8217E"/>
    <w:rsid w:val="28D13A25"/>
    <w:rsid w:val="28E23AA6"/>
    <w:rsid w:val="291433AE"/>
    <w:rsid w:val="29144A5A"/>
    <w:rsid w:val="292274D8"/>
    <w:rsid w:val="29432A42"/>
    <w:rsid w:val="294F62D4"/>
    <w:rsid w:val="2976043F"/>
    <w:rsid w:val="29834CA6"/>
    <w:rsid w:val="298429E5"/>
    <w:rsid w:val="29A346A6"/>
    <w:rsid w:val="29AA7F26"/>
    <w:rsid w:val="29D250A3"/>
    <w:rsid w:val="29D97152"/>
    <w:rsid w:val="29EA6773"/>
    <w:rsid w:val="2A2622F9"/>
    <w:rsid w:val="2A2E7A7E"/>
    <w:rsid w:val="2A3124A0"/>
    <w:rsid w:val="2A4735A8"/>
    <w:rsid w:val="2A5F40B6"/>
    <w:rsid w:val="2ABB7BC1"/>
    <w:rsid w:val="2B0161C1"/>
    <w:rsid w:val="2B1708CB"/>
    <w:rsid w:val="2B1A174A"/>
    <w:rsid w:val="2B332625"/>
    <w:rsid w:val="2B41788A"/>
    <w:rsid w:val="2B565E56"/>
    <w:rsid w:val="2B7865F9"/>
    <w:rsid w:val="2B8C374E"/>
    <w:rsid w:val="2B8F46B6"/>
    <w:rsid w:val="2B991DFF"/>
    <w:rsid w:val="2BC33EC7"/>
    <w:rsid w:val="2BF24C23"/>
    <w:rsid w:val="2BFC6B25"/>
    <w:rsid w:val="2C016DEB"/>
    <w:rsid w:val="2C0D040E"/>
    <w:rsid w:val="2C2D6BBA"/>
    <w:rsid w:val="2C3911FE"/>
    <w:rsid w:val="2C421FD2"/>
    <w:rsid w:val="2C59517D"/>
    <w:rsid w:val="2C6B4093"/>
    <w:rsid w:val="2C997AF3"/>
    <w:rsid w:val="2C997CDE"/>
    <w:rsid w:val="2C9E14E5"/>
    <w:rsid w:val="2CAF6281"/>
    <w:rsid w:val="2CB16958"/>
    <w:rsid w:val="2CD25FF8"/>
    <w:rsid w:val="2CF3392B"/>
    <w:rsid w:val="2D17132E"/>
    <w:rsid w:val="2D287BC3"/>
    <w:rsid w:val="2D377655"/>
    <w:rsid w:val="2D403484"/>
    <w:rsid w:val="2D651E34"/>
    <w:rsid w:val="2DAB5DC1"/>
    <w:rsid w:val="2DF14475"/>
    <w:rsid w:val="2DF83CAE"/>
    <w:rsid w:val="2E1036F7"/>
    <w:rsid w:val="2E2F76FC"/>
    <w:rsid w:val="2E3B3187"/>
    <w:rsid w:val="2E422DCC"/>
    <w:rsid w:val="2E754540"/>
    <w:rsid w:val="2E905186"/>
    <w:rsid w:val="2ED2330B"/>
    <w:rsid w:val="2ED701D3"/>
    <w:rsid w:val="2EDC447A"/>
    <w:rsid w:val="2EE5733A"/>
    <w:rsid w:val="2EEE11AC"/>
    <w:rsid w:val="2EFE35E8"/>
    <w:rsid w:val="2F315682"/>
    <w:rsid w:val="2F3F386C"/>
    <w:rsid w:val="2F4E6128"/>
    <w:rsid w:val="2F593497"/>
    <w:rsid w:val="2F80221D"/>
    <w:rsid w:val="2FA6202F"/>
    <w:rsid w:val="2FBC1D2B"/>
    <w:rsid w:val="2FBE1FE8"/>
    <w:rsid w:val="2FBE7E66"/>
    <w:rsid w:val="2FDB47FA"/>
    <w:rsid w:val="2FF44560"/>
    <w:rsid w:val="301952A7"/>
    <w:rsid w:val="303F08C7"/>
    <w:rsid w:val="30412492"/>
    <w:rsid w:val="304704C5"/>
    <w:rsid w:val="30615FED"/>
    <w:rsid w:val="309713C6"/>
    <w:rsid w:val="30A232E4"/>
    <w:rsid w:val="30C50C66"/>
    <w:rsid w:val="30ED1711"/>
    <w:rsid w:val="31167200"/>
    <w:rsid w:val="312C69BA"/>
    <w:rsid w:val="31393DCB"/>
    <w:rsid w:val="31447312"/>
    <w:rsid w:val="314C6370"/>
    <w:rsid w:val="31636DC3"/>
    <w:rsid w:val="316A224B"/>
    <w:rsid w:val="316D2854"/>
    <w:rsid w:val="31712EBC"/>
    <w:rsid w:val="317D5FB6"/>
    <w:rsid w:val="318A3897"/>
    <w:rsid w:val="318C7F04"/>
    <w:rsid w:val="319C5AA7"/>
    <w:rsid w:val="319F465C"/>
    <w:rsid w:val="31AD1224"/>
    <w:rsid w:val="31B51762"/>
    <w:rsid w:val="31C32FA3"/>
    <w:rsid w:val="31CD468B"/>
    <w:rsid w:val="31D91BE1"/>
    <w:rsid w:val="31E60856"/>
    <w:rsid w:val="31EA35E8"/>
    <w:rsid w:val="322C0610"/>
    <w:rsid w:val="322E1BFD"/>
    <w:rsid w:val="323A3E96"/>
    <w:rsid w:val="323E22F7"/>
    <w:rsid w:val="32A5173A"/>
    <w:rsid w:val="32BB148C"/>
    <w:rsid w:val="32BB6217"/>
    <w:rsid w:val="32F4557D"/>
    <w:rsid w:val="33137498"/>
    <w:rsid w:val="33291ACF"/>
    <w:rsid w:val="333D7CDA"/>
    <w:rsid w:val="33437FE8"/>
    <w:rsid w:val="336C20F6"/>
    <w:rsid w:val="337D6DD6"/>
    <w:rsid w:val="339670C9"/>
    <w:rsid w:val="339B1966"/>
    <w:rsid w:val="33A23507"/>
    <w:rsid w:val="33C1178D"/>
    <w:rsid w:val="33CD5CBF"/>
    <w:rsid w:val="33CF6A93"/>
    <w:rsid w:val="33D52CF0"/>
    <w:rsid w:val="33E3198C"/>
    <w:rsid w:val="33F238E5"/>
    <w:rsid w:val="33F352AE"/>
    <w:rsid w:val="341663D8"/>
    <w:rsid w:val="3432280E"/>
    <w:rsid w:val="34491953"/>
    <w:rsid w:val="344F1FA8"/>
    <w:rsid w:val="345721E6"/>
    <w:rsid w:val="34751483"/>
    <w:rsid w:val="34B44B7E"/>
    <w:rsid w:val="34F10E8A"/>
    <w:rsid w:val="34FB43FF"/>
    <w:rsid w:val="35056F41"/>
    <w:rsid w:val="350A4AD0"/>
    <w:rsid w:val="350F0702"/>
    <w:rsid w:val="35316240"/>
    <w:rsid w:val="35537C83"/>
    <w:rsid w:val="359D5F14"/>
    <w:rsid w:val="35A873D1"/>
    <w:rsid w:val="35C76FEA"/>
    <w:rsid w:val="35CA654E"/>
    <w:rsid w:val="36312097"/>
    <w:rsid w:val="3640422D"/>
    <w:rsid w:val="36460B81"/>
    <w:rsid w:val="36495886"/>
    <w:rsid w:val="36637A63"/>
    <w:rsid w:val="3679308C"/>
    <w:rsid w:val="367F4F73"/>
    <w:rsid w:val="369623BF"/>
    <w:rsid w:val="36C51348"/>
    <w:rsid w:val="36CB12BD"/>
    <w:rsid w:val="36DF1B09"/>
    <w:rsid w:val="36F5558D"/>
    <w:rsid w:val="36FA75CB"/>
    <w:rsid w:val="36FE69CC"/>
    <w:rsid w:val="37077031"/>
    <w:rsid w:val="370A446C"/>
    <w:rsid w:val="370A4D0C"/>
    <w:rsid w:val="37186290"/>
    <w:rsid w:val="371F5514"/>
    <w:rsid w:val="37236D14"/>
    <w:rsid w:val="374A1271"/>
    <w:rsid w:val="376806DB"/>
    <w:rsid w:val="37846EE5"/>
    <w:rsid w:val="379461DF"/>
    <w:rsid w:val="379C5527"/>
    <w:rsid w:val="379D5086"/>
    <w:rsid w:val="379F25AA"/>
    <w:rsid w:val="37B7331B"/>
    <w:rsid w:val="37BE432D"/>
    <w:rsid w:val="37C0269B"/>
    <w:rsid w:val="37C20289"/>
    <w:rsid w:val="37CC113C"/>
    <w:rsid w:val="37DD3769"/>
    <w:rsid w:val="37FE4685"/>
    <w:rsid w:val="38316343"/>
    <w:rsid w:val="383A3AD4"/>
    <w:rsid w:val="38540962"/>
    <w:rsid w:val="385775AE"/>
    <w:rsid w:val="386366DD"/>
    <w:rsid w:val="38727B02"/>
    <w:rsid w:val="38812AD7"/>
    <w:rsid w:val="388329B2"/>
    <w:rsid w:val="389C3213"/>
    <w:rsid w:val="389F5CD8"/>
    <w:rsid w:val="38AA6BDA"/>
    <w:rsid w:val="38B279EB"/>
    <w:rsid w:val="38B82AF5"/>
    <w:rsid w:val="38C7204D"/>
    <w:rsid w:val="38CC22BE"/>
    <w:rsid w:val="38EA6C83"/>
    <w:rsid w:val="392B1828"/>
    <w:rsid w:val="393251AB"/>
    <w:rsid w:val="394D58E5"/>
    <w:rsid w:val="396C5426"/>
    <w:rsid w:val="399003FF"/>
    <w:rsid w:val="39933B19"/>
    <w:rsid w:val="39A33CED"/>
    <w:rsid w:val="39B63F14"/>
    <w:rsid w:val="39BB11C0"/>
    <w:rsid w:val="39C76EB0"/>
    <w:rsid w:val="39ED5AEC"/>
    <w:rsid w:val="39F16A99"/>
    <w:rsid w:val="39F25C1A"/>
    <w:rsid w:val="3A2B463D"/>
    <w:rsid w:val="3A386A14"/>
    <w:rsid w:val="3A3C0A2C"/>
    <w:rsid w:val="3A453174"/>
    <w:rsid w:val="3A5133D0"/>
    <w:rsid w:val="3A52381C"/>
    <w:rsid w:val="3A58654F"/>
    <w:rsid w:val="3A687E26"/>
    <w:rsid w:val="3A8322BE"/>
    <w:rsid w:val="3AC7728A"/>
    <w:rsid w:val="3ACB380C"/>
    <w:rsid w:val="3AF6205F"/>
    <w:rsid w:val="3B050D2B"/>
    <w:rsid w:val="3B1D2FE9"/>
    <w:rsid w:val="3B1F566C"/>
    <w:rsid w:val="3B265D2B"/>
    <w:rsid w:val="3B450564"/>
    <w:rsid w:val="3B497D60"/>
    <w:rsid w:val="3B4D0406"/>
    <w:rsid w:val="3B4F3729"/>
    <w:rsid w:val="3B5423F5"/>
    <w:rsid w:val="3B5C1C29"/>
    <w:rsid w:val="3B716F78"/>
    <w:rsid w:val="3B8725C8"/>
    <w:rsid w:val="3BA154DD"/>
    <w:rsid w:val="3BB54638"/>
    <w:rsid w:val="3BD62991"/>
    <w:rsid w:val="3BD64E0F"/>
    <w:rsid w:val="3BD95935"/>
    <w:rsid w:val="3BF34A5A"/>
    <w:rsid w:val="3C2A50F0"/>
    <w:rsid w:val="3C2B11E4"/>
    <w:rsid w:val="3C40286C"/>
    <w:rsid w:val="3C4373C4"/>
    <w:rsid w:val="3C4C000D"/>
    <w:rsid w:val="3C6138D6"/>
    <w:rsid w:val="3C745EF6"/>
    <w:rsid w:val="3C9508B9"/>
    <w:rsid w:val="3CBE1861"/>
    <w:rsid w:val="3CD06F1D"/>
    <w:rsid w:val="3CD9405C"/>
    <w:rsid w:val="3CDB019A"/>
    <w:rsid w:val="3CE83CA8"/>
    <w:rsid w:val="3CF672F5"/>
    <w:rsid w:val="3D11065F"/>
    <w:rsid w:val="3D32517E"/>
    <w:rsid w:val="3D5B4B1B"/>
    <w:rsid w:val="3D622C7D"/>
    <w:rsid w:val="3D7778E1"/>
    <w:rsid w:val="3D857BE9"/>
    <w:rsid w:val="3DA81B6D"/>
    <w:rsid w:val="3DD64A42"/>
    <w:rsid w:val="3DE94163"/>
    <w:rsid w:val="3DF23911"/>
    <w:rsid w:val="3DFF7691"/>
    <w:rsid w:val="3E1A5306"/>
    <w:rsid w:val="3E21293C"/>
    <w:rsid w:val="3E54643D"/>
    <w:rsid w:val="3E584682"/>
    <w:rsid w:val="3E5C15C8"/>
    <w:rsid w:val="3E6A644A"/>
    <w:rsid w:val="3E711D4C"/>
    <w:rsid w:val="3E861F2A"/>
    <w:rsid w:val="3E865C72"/>
    <w:rsid w:val="3E920965"/>
    <w:rsid w:val="3E92378D"/>
    <w:rsid w:val="3EC57D85"/>
    <w:rsid w:val="3ED81093"/>
    <w:rsid w:val="3EF76DEB"/>
    <w:rsid w:val="3F147322"/>
    <w:rsid w:val="3F1B7BDA"/>
    <w:rsid w:val="3F3E7E11"/>
    <w:rsid w:val="3F4F53D8"/>
    <w:rsid w:val="3F7561FB"/>
    <w:rsid w:val="3F8175A9"/>
    <w:rsid w:val="3F887394"/>
    <w:rsid w:val="3F8B7F51"/>
    <w:rsid w:val="3F9110FB"/>
    <w:rsid w:val="3F970AC9"/>
    <w:rsid w:val="3F983970"/>
    <w:rsid w:val="3FA04C1F"/>
    <w:rsid w:val="3FA57874"/>
    <w:rsid w:val="3FAB3EF2"/>
    <w:rsid w:val="3FB74B79"/>
    <w:rsid w:val="3FB97FE1"/>
    <w:rsid w:val="3FC62C11"/>
    <w:rsid w:val="3FE10133"/>
    <w:rsid w:val="3FF03FC2"/>
    <w:rsid w:val="400F586A"/>
    <w:rsid w:val="401241AA"/>
    <w:rsid w:val="40152CCE"/>
    <w:rsid w:val="40225FCC"/>
    <w:rsid w:val="402634DD"/>
    <w:rsid w:val="402C43AB"/>
    <w:rsid w:val="402D0F85"/>
    <w:rsid w:val="4031573F"/>
    <w:rsid w:val="403645F3"/>
    <w:rsid w:val="40491F46"/>
    <w:rsid w:val="40861ABD"/>
    <w:rsid w:val="40A86353"/>
    <w:rsid w:val="40CC47B9"/>
    <w:rsid w:val="40E41DEF"/>
    <w:rsid w:val="40F17FA1"/>
    <w:rsid w:val="40F2485A"/>
    <w:rsid w:val="40FC47E1"/>
    <w:rsid w:val="41167A0C"/>
    <w:rsid w:val="411E1068"/>
    <w:rsid w:val="41345493"/>
    <w:rsid w:val="4138297C"/>
    <w:rsid w:val="41390236"/>
    <w:rsid w:val="413E3FD1"/>
    <w:rsid w:val="4188317F"/>
    <w:rsid w:val="41924FB9"/>
    <w:rsid w:val="41A70799"/>
    <w:rsid w:val="41B34DF1"/>
    <w:rsid w:val="41BB0480"/>
    <w:rsid w:val="41BF708C"/>
    <w:rsid w:val="41CD5416"/>
    <w:rsid w:val="41D87443"/>
    <w:rsid w:val="41E85A76"/>
    <w:rsid w:val="41FB4F25"/>
    <w:rsid w:val="42041BE8"/>
    <w:rsid w:val="42097713"/>
    <w:rsid w:val="420D42E6"/>
    <w:rsid w:val="42186FAF"/>
    <w:rsid w:val="42436B6D"/>
    <w:rsid w:val="42635B8E"/>
    <w:rsid w:val="42A221E4"/>
    <w:rsid w:val="42BB2A5D"/>
    <w:rsid w:val="42CB6444"/>
    <w:rsid w:val="42F27836"/>
    <w:rsid w:val="430A6E5A"/>
    <w:rsid w:val="431E469A"/>
    <w:rsid w:val="4330416F"/>
    <w:rsid w:val="433E2AAC"/>
    <w:rsid w:val="434F7A62"/>
    <w:rsid w:val="436752A6"/>
    <w:rsid w:val="436E0C5B"/>
    <w:rsid w:val="437E1E93"/>
    <w:rsid w:val="43804E58"/>
    <w:rsid w:val="43843FDD"/>
    <w:rsid w:val="439F0E69"/>
    <w:rsid w:val="43A04ADF"/>
    <w:rsid w:val="43D7406A"/>
    <w:rsid w:val="43DC5799"/>
    <w:rsid w:val="43F42B17"/>
    <w:rsid w:val="441A3D23"/>
    <w:rsid w:val="441E1F6C"/>
    <w:rsid w:val="44284DFE"/>
    <w:rsid w:val="443B29FC"/>
    <w:rsid w:val="443B4DCB"/>
    <w:rsid w:val="443D5D23"/>
    <w:rsid w:val="444B1948"/>
    <w:rsid w:val="4464327A"/>
    <w:rsid w:val="446A3FBF"/>
    <w:rsid w:val="4471479A"/>
    <w:rsid w:val="44D8473A"/>
    <w:rsid w:val="44E37827"/>
    <w:rsid w:val="44E701A5"/>
    <w:rsid w:val="44E97E02"/>
    <w:rsid w:val="44F53C14"/>
    <w:rsid w:val="45080D22"/>
    <w:rsid w:val="450E74EC"/>
    <w:rsid w:val="45265484"/>
    <w:rsid w:val="452D74E0"/>
    <w:rsid w:val="45396AC7"/>
    <w:rsid w:val="457C4123"/>
    <w:rsid w:val="45855844"/>
    <w:rsid w:val="458B69F6"/>
    <w:rsid w:val="45A32AF6"/>
    <w:rsid w:val="45A647C9"/>
    <w:rsid w:val="45C943D0"/>
    <w:rsid w:val="45DA6D30"/>
    <w:rsid w:val="45DE14B8"/>
    <w:rsid w:val="45E37551"/>
    <w:rsid w:val="45F85CEB"/>
    <w:rsid w:val="46367216"/>
    <w:rsid w:val="463842DE"/>
    <w:rsid w:val="46386E53"/>
    <w:rsid w:val="4639036D"/>
    <w:rsid w:val="463A05A5"/>
    <w:rsid w:val="463A5557"/>
    <w:rsid w:val="46460291"/>
    <w:rsid w:val="464A0A81"/>
    <w:rsid w:val="46625A9D"/>
    <w:rsid w:val="4666004F"/>
    <w:rsid w:val="46793B3B"/>
    <w:rsid w:val="469506DA"/>
    <w:rsid w:val="469B1818"/>
    <w:rsid w:val="46A9385A"/>
    <w:rsid w:val="46CA4E0D"/>
    <w:rsid w:val="46DC73CB"/>
    <w:rsid w:val="46E43AC5"/>
    <w:rsid w:val="46EC218E"/>
    <w:rsid w:val="470B23CA"/>
    <w:rsid w:val="471375DA"/>
    <w:rsid w:val="472762D3"/>
    <w:rsid w:val="47454177"/>
    <w:rsid w:val="474F15D8"/>
    <w:rsid w:val="4754049B"/>
    <w:rsid w:val="475E7C0D"/>
    <w:rsid w:val="476415D8"/>
    <w:rsid w:val="47701558"/>
    <w:rsid w:val="477426A5"/>
    <w:rsid w:val="47873BD6"/>
    <w:rsid w:val="47A74C9F"/>
    <w:rsid w:val="47B2336A"/>
    <w:rsid w:val="47BA4F6E"/>
    <w:rsid w:val="47D7366E"/>
    <w:rsid w:val="47E12DA0"/>
    <w:rsid w:val="47FD665F"/>
    <w:rsid w:val="486C3D94"/>
    <w:rsid w:val="48A226AD"/>
    <w:rsid w:val="48A4283C"/>
    <w:rsid w:val="48B2699F"/>
    <w:rsid w:val="48B67D8D"/>
    <w:rsid w:val="48C16371"/>
    <w:rsid w:val="48C260C0"/>
    <w:rsid w:val="48C9569B"/>
    <w:rsid w:val="4902628A"/>
    <w:rsid w:val="490B2882"/>
    <w:rsid w:val="492412C0"/>
    <w:rsid w:val="49261EB2"/>
    <w:rsid w:val="494E7D53"/>
    <w:rsid w:val="4988006D"/>
    <w:rsid w:val="499079D7"/>
    <w:rsid w:val="499646A6"/>
    <w:rsid w:val="499F4D25"/>
    <w:rsid w:val="49A14058"/>
    <w:rsid w:val="49B26E0D"/>
    <w:rsid w:val="49BB06FB"/>
    <w:rsid w:val="49BC2A68"/>
    <w:rsid w:val="49C65840"/>
    <w:rsid w:val="49F04BCB"/>
    <w:rsid w:val="49F94914"/>
    <w:rsid w:val="49FD451C"/>
    <w:rsid w:val="4A1351EF"/>
    <w:rsid w:val="4A152F65"/>
    <w:rsid w:val="4A3E0914"/>
    <w:rsid w:val="4A3F1207"/>
    <w:rsid w:val="4A57472F"/>
    <w:rsid w:val="4A715E3D"/>
    <w:rsid w:val="4A9C5CA4"/>
    <w:rsid w:val="4AB72982"/>
    <w:rsid w:val="4AFA21BD"/>
    <w:rsid w:val="4B022645"/>
    <w:rsid w:val="4B031D06"/>
    <w:rsid w:val="4B1B2082"/>
    <w:rsid w:val="4B237456"/>
    <w:rsid w:val="4B635F8B"/>
    <w:rsid w:val="4B65032C"/>
    <w:rsid w:val="4B712A43"/>
    <w:rsid w:val="4B82202B"/>
    <w:rsid w:val="4BBE1692"/>
    <w:rsid w:val="4BCA0C2B"/>
    <w:rsid w:val="4BD65A7B"/>
    <w:rsid w:val="4BF53D69"/>
    <w:rsid w:val="4BF93976"/>
    <w:rsid w:val="4C0B49E3"/>
    <w:rsid w:val="4C0D5EC4"/>
    <w:rsid w:val="4C180EC0"/>
    <w:rsid w:val="4C696745"/>
    <w:rsid w:val="4C737423"/>
    <w:rsid w:val="4C987A51"/>
    <w:rsid w:val="4C993ABE"/>
    <w:rsid w:val="4CAA2DCE"/>
    <w:rsid w:val="4CB74BC8"/>
    <w:rsid w:val="4CB96EE9"/>
    <w:rsid w:val="4CD66C96"/>
    <w:rsid w:val="4CDC5A3B"/>
    <w:rsid w:val="4CDF0E5D"/>
    <w:rsid w:val="4CE376D5"/>
    <w:rsid w:val="4D0D3FCB"/>
    <w:rsid w:val="4D135D42"/>
    <w:rsid w:val="4D234E04"/>
    <w:rsid w:val="4D547564"/>
    <w:rsid w:val="4D6C65CD"/>
    <w:rsid w:val="4D8217BA"/>
    <w:rsid w:val="4D9C1BB4"/>
    <w:rsid w:val="4DC65A69"/>
    <w:rsid w:val="4DEC58E1"/>
    <w:rsid w:val="4DF4626D"/>
    <w:rsid w:val="4DFC20A2"/>
    <w:rsid w:val="4DFF1B97"/>
    <w:rsid w:val="4E020B1B"/>
    <w:rsid w:val="4E043535"/>
    <w:rsid w:val="4E1362FB"/>
    <w:rsid w:val="4E25360E"/>
    <w:rsid w:val="4E2719FC"/>
    <w:rsid w:val="4E5E12F1"/>
    <w:rsid w:val="4E62045F"/>
    <w:rsid w:val="4E7673D1"/>
    <w:rsid w:val="4E783F31"/>
    <w:rsid w:val="4E825B31"/>
    <w:rsid w:val="4EAC689C"/>
    <w:rsid w:val="4EB24083"/>
    <w:rsid w:val="4EB25AA5"/>
    <w:rsid w:val="4EDD2691"/>
    <w:rsid w:val="4EF911E3"/>
    <w:rsid w:val="4EF94046"/>
    <w:rsid w:val="4F0048E8"/>
    <w:rsid w:val="4F0C760F"/>
    <w:rsid w:val="4F15188C"/>
    <w:rsid w:val="4F1E7DD0"/>
    <w:rsid w:val="4F255836"/>
    <w:rsid w:val="4F29165C"/>
    <w:rsid w:val="4F2A2D93"/>
    <w:rsid w:val="4F377967"/>
    <w:rsid w:val="4F3F24FD"/>
    <w:rsid w:val="4F453377"/>
    <w:rsid w:val="4F460DE2"/>
    <w:rsid w:val="4F4F67C3"/>
    <w:rsid w:val="4F580453"/>
    <w:rsid w:val="4F647CAE"/>
    <w:rsid w:val="4F7F4759"/>
    <w:rsid w:val="4F8A3560"/>
    <w:rsid w:val="4F8A6E9D"/>
    <w:rsid w:val="4FA00EA1"/>
    <w:rsid w:val="4FA7410F"/>
    <w:rsid w:val="4FB10DBD"/>
    <w:rsid w:val="4FCA4D2A"/>
    <w:rsid w:val="4FD02150"/>
    <w:rsid w:val="4FD47514"/>
    <w:rsid w:val="4FDC31A9"/>
    <w:rsid w:val="4FE15CB0"/>
    <w:rsid w:val="4FF525AA"/>
    <w:rsid w:val="4FF63DCE"/>
    <w:rsid w:val="50087F3E"/>
    <w:rsid w:val="500A5543"/>
    <w:rsid w:val="501D01A2"/>
    <w:rsid w:val="501D19C7"/>
    <w:rsid w:val="50372FFC"/>
    <w:rsid w:val="50381A05"/>
    <w:rsid w:val="5039455C"/>
    <w:rsid w:val="504305E6"/>
    <w:rsid w:val="504C6018"/>
    <w:rsid w:val="50500C93"/>
    <w:rsid w:val="506E1264"/>
    <w:rsid w:val="50762C57"/>
    <w:rsid w:val="508B7406"/>
    <w:rsid w:val="50962409"/>
    <w:rsid w:val="509F73B0"/>
    <w:rsid w:val="50B26A6B"/>
    <w:rsid w:val="50C20F4E"/>
    <w:rsid w:val="50D40C4B"/>
    <w:rsid w:val="50E46F54"/>
    <w:rsid w:val="5131070A"/>
    <w:rsid w:val="5144267E"/>
    <w:rsid w:val="514D07CA"/>
    <w:rsid w:val="514D258C"/>
    <w:rsid w:val="51604849"/>
    <w:rsid w:val="516D7E41"/>
    <w:rsid w:val="51747844"/>
    <w:rsid w:val="51777F08"/>
    <w:rsid w:val="51912DDA"/>
    <w:rsid w:val="51AB47E1"/>
    <w:rsid w:val="51B047FE"/>
    <w:rsid w:val="51B204B9"/>
    <w:rsid w:val="51B56296"/>
    <w:rsid w:val="51C72834"/>
    <w:rsid w:val="51E74EF3"/>
    <w:rsid w:val="520C2961"/>
    <w:rsid w:val="52234D72"/>
    <w:rsid w:val="522F500B"/>
    <w:rsid w:val="52334242"/>
    <w:rsid w:val="523852D6"/>
    <w:rsid w:val="523E768F"/>
    <w:rsid w:val="5242577E"/>
    <w:rsid w:val="527076ED"/>
    <w:rsid w:val="52783884"/>
    <w:rsid w:val="527E0D71"/>
    <w:rsid w:val="52A13C06"/>
    <w:rsid w:val="52AC28BC"/>
    <w:rsid w:val="52B05067"/>
    <w:rsid w:val="52CC23E6"/>
    <w:rsid w:val="52D7787C"/>
    <w:rsid w:val="52E07238"/>
    <w:rsid w:val="52EA11D5"/>
    <w:rsid w:val="5329120F"/>
    <w:rsid w:val="536F68C7"/>
    <w:rsid w:val="5382736B"/>
    <w:rsid w:val="539E491F"/>
    <w:rsid w:val="53B24EEA"/>
    <w:rsid w:val="53B97E84"/>
    <w:rsid w:val="53BF4F14"/>
    <w:rsid w:val="53C72845"/>
    <w:rsid w:val="53CA6414"/>
    <w:rsid w:val="53D00E36"/>
    <w:rsid w:val="53D31D47"/>
    <w:rsid w:val="53DD499C"/>
    <w:rsid w:val="53EF09CA"/>
    <w:rsid w:val="53F014B1"/>
    <w:rsid w:val="5408182A"/>
    <w:rsid w:val="540D0579"/>
    <w:rsid w:val="540E250C"/>
    <w:rsid w:val="54125F57"/>
    <w:rsid w:val="54187343"/>
    <w:rsid w:val="541C31AF"/>
    <w:rsid w:val="541F4EC1"/>
    <w:rsid w:val="5420466B"/>
    <w:rsid w:val="5433414C"/>
    <w:rsid w:val="54334166"/>
    <w:rsid w:val="54465F20"/>
    <w:rsid w:val="545D4199"/>
    <w:rsid w:val="54831B18"/>
    <w:rsid w:val="549502FD"/>
    <w:rsid w:val="54AB09A6"/>
    <w:rsid w:val="54AF20D4"/>
    <w:rsid w:val="54B72A99"/>
    <w:rsid w:val="54BC49A0"/>
    <w:rsid w:val="55022976"/>
    <w:rsid w:val="551C096F"/>
    <w:rsid w:val="55240097"/>
    <w:rsid w:val="552C3D46"/>
    <w:rsid w:val="554D13EE"/>
    <w:rsid w:val="555A4E3F"/>
    <w:rsid w:val="5585116B"/>
    <w:rsid w:val="559341A6"/>
    <w:rsid w:val="55A46B3A"/>
    <w:rsid w:val="55C57ADE"/>
    <w:rsid w:val="55CE22F2"/>
    <w:rsid w:val="55E473A1"/>
    <w:rsid w:val="55F974B5"/>
    <w:rsid w:val="56160365"/>
    <w:rsid w:val="561717F3"/>
    <w:rsid w:val="561D553B"/>
    <w:rsid w:val="56424379"/>
    <w:rsid w:val="566E3E80"/>
    <w:rsid w:val="566E6821"/>
    <w:rsid w:val="56A30A58"/>
    <w:rsid w:val="56CA2900"/>
    <w:rsid w:val="56DD747D"/>
    <w:rsid w:val="56EE039D"/>
    <w:rsid w:val="56F96728"/>
    <w:rsid w:val="571F273F"/>
    <w:rsid w:val="572F7A73"/>
    <w:rsid w:val="575B5634"/>
    <w:rsid w:val="575D7EC0"/>
    <w:rsid w:val="576138FC"/>
    <w:rsid w:val="577845D7"/>
    <w:rsid w:val="578736CD"/>
    <w:rsid w:val="578739BB"/>
    <w:rsid w:val="57893C0F"/>
    <w:rsid w:val="5798256F"/>
    <w:rsid w:val="579840C7"/>
    <w:rsid w:val="57C2221D"/>
    <w:rsid w:val="57E1536E"/>
    <w:rsid w:val="57FD673B"/>
    <w:rsid w:val="58333B00"/>
    <w:rsid w:val="58370CE1"/>
    <w:rsid w:val="583A7FA8"/>
    <w:rsid w:val="58544955"/>
    <w:rsid w:val="58566AE7"/>
    <w:rsid w:val="585962B5"/>
    <w:rsid w:val="585F5B75"/>
    <w:rsid w:val="586A7D34"/>
    <w:rsid w:val="58733B8E"/>
    <w:rsid w:val="587A4269"/>
    <w:rsid w:val="589A5A5F"/>
    <w:rsid w:val="58B94375"/>
    <w:rsid w:val="58BA4A70"/>
    <w:rsid w:val="5902444F"/>
    <w:rsid w:val="591B5CBF"/>
    <w:rsid w:val="5927514C"/>
    <w:rsid w:val="592A095A"/>
    <w:rsid w:val="592A2474"/>
    <w:rsid w:val="5942321A"/>
    <w:rsid w:val="594859EC"/>
    <w:rsid w:val="594F610B"/>
    <w:rsid w:val="59600EE5"/>
    <w:rsid w:val="59634BDC"/>
    <w:rsid w:val="59672487"/>
    <w:rsid w:val="597E09A5"/>
    <w:rsid w:val="59941B20"/>
    <w:rsid w:val="599A4004"/>
    <w:rsid w:val="599B086D"/>
    <w:rsid w:val="59AA0AA4"/>
    <w:rsid w:val="59B927ED"/>
    <w:rsid w:val="59BF5C8E"/>
    <w:rsid w:val="59CD563B"/>
    <w:rsid w:val="59D97EC2"/>
    <w:rsid w:val="59E27409"/>
    <w:rsid w:val="59E52BA1"/>
    <w:rsid w:val="59ED36DC"/>
    <w:rsid w:val="59FC781F"/>
    <w:rsid w:val="5A1B549A"/>
    <w:rsid w:val="5A3526A3"/>
    <w:rsid w:val="5A4E41C1"/>
    <w:rsid w:val="5A6210CC"/>
    <w:rsid w:val="5A7348C9"/>
    <w:rsid w:val="5A7521D8"/>
    <w:rsid w:val="5A7C388E"/>
    <w:rsid w:val="5A7E7218"/>
    <w:rsid w:val="5A9725BE"/>
    <w:rsid w:val="5ABC7E92"/>
    <w:rsid w:val="5AC76508"/>
    <w:rsid w:val="5AD45AFB"/>
    <w:rsid w:val="5AFC1624"/>
    <w:rsid w:val="5B095493"/>
    <w:rsid w:val="5B115BA8"/>
    <w:rsid w:val="5B235AE9"/>
    <w:rsid w:val="5B246A53"/>
    <w:rsid w:val="5B416E74"/>
    <w:rsid w:val="5B437EA2"/>
    <w:rsid w:val="5B534ED1"/>
    <w:rsid w:val="5B7840FA"/>
    <w:rsid w:val="5B8859A0"/>
    <w:rsid w:val="5B9F7743"/>
    <w:rsid w:val="5BAF4728"/>
    <w:rsid w:val="5BB522B5"/>
    <w:rsid w:val="5BBA4618"/>
    <w:rsid w:val="5BD330D9"/>
    <w:rsid w:val="5BED40CE"/>
    <w:rsid w:val="5BF84DDB"/>
    <w:rsid w:val="5C111338"/>
    <w:rsid w:val="5C2C33F4"/>
    <w:rsid w:val="5C691941"/>
    <w:rsid w:val="5C7919DF"/>
    <w:rsid w:val="5C872260"/>
    <w:rsid w:val="5CB35D47"/>
    <w:rsid w:val="5CC85C68"/>
    <w:rsid w:val="5CE637BE"/>
    <w:rsid w:val="5CEC3A93"/>
    <w:rsid w:val="5CEF405D"/>
    <w:rsid w:val="5CFE5040"/>
    <w:rsid w:val="5D1341B2"/>
    <w:rsid w:val="5D251093"/>
    <w:rsid w:val="5D287B54"/>
    <w:rsid w:val="5D3047D1"/>
    <w:rsid w:val="5D494018"/>
    <w:rsid w:val="5D6B14A2"/>
    <w:rsid w:val="5D9B0E6A"/>
    <w:rsid w:val="5D9E1AED"/>
    <w:rsid w:val="5D9E4E16"/>
    <w:rsid w:val="5DBA0135"/>
    <w:rsid w:val="5DCD5DE5"/>
    <w:rsid w:val="5DCE08D0"/>
    <w:rsid w:val="5DD437EF"/>
    <w:rsid w:val="5DF16302"/>
    <w:rsid w:val="5DFF4B46"/>
    <w:rsid w:val="5DFF7FDB"/>
    <w:rsid w:val="5E3B0A10"/>
    <w:rsid w:val="5E424B71"/>
    <w:rsid w:val="5E881A80"/>
    <w:rsid w:val="5EB51AB3"/>
    <w:rsid w:val="5EC33621"/>
    <w:rsid w:val="5EF31C67"/>
    <w:rsid w:val="5EF4004E"/>
    <w:rsid w:val="5EFA106E"/>
    <w:rsid w:val="5EFF06CD"/>
    <w:rsid w:val="5F010576"/>
    <w:rsid w:val="5F0251FA"/>
    <w:rsid w:val="5F4475AE"/>
    <w:rsid w:val="5F4A6799"/>
    <w:rsid w:val="5F6C2424"/>
    <w:rsid w:val="5F802EB4"/>
    <w:rsid w:val="5F946A7C"/>
    <w:rsid w:val="5FA5104D"/>
    <w:rsid w:val="5FBA79B0"/>
    <w:rsid w:val="5FC61813"/>
    <w:rsid w:val="5FD57CF6"/>
    <w:rsid w:val="5FF50EAD"/>
    <w:rsid w:val="5FFC6842"/>
    <w:rsid w:val="600676E3"/>
    <w:rsid w:val="601C5687"/>
    <w:rsid w:val="602677D0"/>
    <w:rsid w:val="602A71D2"/>
    <w:rsid w:val="602B7B91"/>
    <w:rsid w:val="60391C4C"/>
    <w:rsid w:val="603B021E"/>
    <w:rsid w:val="60584683"/>
    <w:rsid w:val="606F768E"/>
    <w:rsid w:val="608D00E3"/>
    <w:rsid w:val="60992490"/>
    <w:rsid w:val="60A1419A"/>
    <w:rsid w:val="60A43A47"/>
    <w:rsid w:val="60A6437F"/>
    <w:rsid w:val="60C33C2B"/>
    <w:rsid w:val="60C82C6A"/>
    <w:rsid w:val="60E97ACC"/>
    <w:rsid w:val="61160E7E"/>
    <w:rsid w:val="61243C8C"/>
    <w:rsid w:val="61311E12"/>
    <w:rsid w:val="61637659"/>
    <w:rsid w:val="617C570B"/>
    <w:rsid w:val="61853804"/>
    <w:rsid w:val="619B53CA"/>
    <w:rsid w:val="61A56DFA"/>
    <w:rsid w:val="61C3423B"/>
    <w:rsid w:val="61EB5F1D"/>
    <w:rsid w:val="620F2314"/>
    <w:rsid w:val="621B5631"/>
    <w:rsid w:val="626D5F91"/>
    <w:rsid w:val="627E7D9D"/>
    <w:rsid w:val="628407FE"/>
    <w:rsid w:val="62880405"/>
    <w:rsid w:val="628E25D4"/>
    <w:rsid w:val="629073C4"/>
    <w:rsid w:val="62996318"/>
    <w:rsid w:val="62AA6D2C"/>
    <w:rsid w:val="62B0179B"/>
    <w:rsid w:val="62CC094F"/>
    <w:rsid w:val="630334E9"/>
    <w:rsid w:val="63242B23"/>
    <w:rsid w:val="635C73A1"/>
    <w:rsid w:val="637040BF"/>
    <w:rsid w:val="63743838"/>
    <w:rsid w:val="637455EF"/>
    <w:rsid w:val="637509AF"/>
    <w:rsid w:val="63927568"/>
    <w:rsid w:val="63A23228"/>
    <w:rsid w:val="63AB5D44"/>
    <w:rsid w:val="63B04CF8"/>
    <w:rsid w:val="63BA7188"/>
    <w:rsid w:val="63DF59C2"/>
    <w:rsid w:val="63E6136F"/>
    <w:rsid w:val="63EA625B"/>
    <w:rsid w:val="63FC6F31"/>
    <w:rsid w:val="642E4F72"/>
    <w:rsid w:val="64346029"/>
    <w:rsid w:val="644E64FB"/>
    <w:rsid w:val="646469D4"/>
    <w:rsid w:val="647A419D"/>
    <w:rsid w:val="64846083"/>
    <w:rsid w:val="64851089"/>
    <w:rsid w:val="64983CC9"/>
    <w:rsid w:val="64B109D5"/>
    <w:rsid w:val="64D8544F"/>
    <w:rsid w:val="64DD710D"/>
    <w:rsid w:val="64E43E7F"/>
    <w:rsid w:val="64ED07CF"/>
    <w:rsid w:val="64FE5C71"/>
    <w:rsid w:val="650A1243"/>
    <w:rsid w:val="65107E36"/>
    <w:rsid w:val="654E476E"/>
    <w:rsid w:val="657B11CD"/>
    <w:rsid w:val="658A6BCD"/>
    <w:rsid w:val="65921AA2"/>
    <w:rsid w:val="659D0782"/>
    <w:rsid w:val="659D7C90"/>
    <w:rsid w:val="65B66C75"/>
    <w:rsid w:val="65D04EEB"/>
    <w:rsid w:val="65D424B9"/>
    <w:rsid w:val="66001BA4"/>
    <w:rsid w:val="66025947"/>
    <w:rsid w:val="66322695"/>
    <w:rsid w:val="663C7469"/>
    <w:rsid w:val="66507651"/>
    <w:rsid w:val="66B50DD7"/>
    <w:rsid w:val="66B76428"/>
    <w:rsid w:val="66B8269C"/>
    <w:rsid w:val="66DA6749"/>
    <w:rsid w:val="671D46C8"/>
    <w:rsid w:val="671F22A3"/>
    <w:rsid w:val="67291A35"/>
    <w:rsid w:val="673669FF"/>
    <w:rsid w:val="67393CB7"/>
    <w:rsid w:val="673C6439"/>
    <w:rsid w:val="67564D7D"/>
    <w:rsid w:val="676A0B2B"/>
    <w:rsid w:val="676C3006"/>
    <w:rsid w:val="677220C8"/>
    <w:rsid w:val="67827A7F"/>
    <w:rsid w:val="67A570AD"/>
    <w:rsid w:val="67A667D3"/>
    <w:rsid w:val="67A74C82"/>
    <w:rsid w:val="67A95111"/>
    <w:rsid w:val="67C365BF"/>
    <w:rsid w:val="67D8341E"/>
    <w:rsid w:val="67E46FF5"/>
    <w:rsid w:val="67ED6C16"/>
    <w:rsid w:val="680A69C3"/>
    <w:rsid w:val="680A6C82"/>
    <w:rsid w:val="6824034C"/>
    <w:rsid w:val="683E3347"/>
    <w:rsid w:val="685E57CE"/>
    <w:rsid w:val="685F4AA0"/>
    <w:rsid w:val="68623D3F"/>
    <w:rsid w:val="686C7E0A"/>
    <w:rsid w:val="68757042"/>
    <w:rsid w:val="687D6111"/>
    <w:rsid w:val="6886166B"/>
    <w:rsid w:val="68954A3C"/>
    <w:rsid w:val="689B0DF8"/>
    <w:rsid w:val="689E6B93"/>
    <w:rsid w:val="68B5096E"/>
    <w:rsid w:val="68CC10BC"/>
    <w:rsid w:val="68F44B09"/>
    <w:rsid w:val="68FA1B9A"/>
    <w:rsid w:val="69431AD5"/>
    <w:rsid w:val="694E046E"/>
    <w:rsid w:val="69652D27"/>
    <w:rsid w:val="69952A0C"/>
    <w:rsid w:val="69975C37"/>
    <w:rsid w:val="699A1218"/>
    <w:rsid w:val="699B4BDB"/>
    <w:rsid w:val="69A51678"/>
    <w:rsid w:val="69B2199B"/>
    <w:rsid w:val="69BB329B"/>
    <w:rsid w:val="69BD4C61"/>
    <w:rsid w:val="69C01977"/>
    <w:rsid w:val="69FC56C6"/>
    <w:rsid w:val="69FD3B6F"/>
    <w:rsid w:val="6A0065EF"/>
    <w:rsid w:val="6A1F1C32"/>
    <w:rsid w:val="6A492BFA"/>
    <w:rsid w:val="6A616283"/>
    <w:rsid w:val="6A616EA1"/>
    <w:rsid w:val="6A641407"/>
    <w:rsid w:val="6A656882"/>
    <w:rsid w:val="6A767384"/>
    <w:rsid w:val="6A8121A6"/>
    <w:rsid w:val="6A8B60FB"/>
    <w:rsid w:val="6A9674BF"/>
    <w:rsid w:val="6A9A37E0"/>
    <w:rsid w:val="6AA604CA"/>
    <w:rsid w:val="6AAA513C"/>
    <w:rsid w:val="6AB67B97"/>
    <w:rsid w:val="6ADB41F3"/>
    <w:rsid w:val="6AFB4F4A"/>
    <w:rsid w:val="6B12444F"/>
    <w:rsid w:val="6B157505"/>
    <w:rsid w:val="6B2A12A7"/>
    <w:rsid w:val="6B4533C9"/>
    <w:rsid w:val="6B5C39DF"/>
    <w:rsid w:val="6B5E11EE"/>
    <w:rsid w:val="6B611EB1"/>
    <w:rsid w:val="6B80541B"/>
    <w:rsid w:val="6B961766"/>
    <w:rsid w:val="6BC8334A"/>
    <w:rsid w:val="6BD61A98"/>
    <w:rsid w:val="6BF77F96"/>
    <w:rsid w:val="6BFE19E1"/>
    <w:rsid w:val="6C0218D9"/>
    <w:rsid w:val="6C050A47"/>
    <w:rsid w:val="6C094D08"/>
    <w:rsid w:val="6C0B1A74"/>
    <w:rsid w:val="6C16659B"/>
    <w:rsid w:val="6C27235B"/>
    <w:rsid w:val="6C3342D8"/>
    <w:rsid w:val="6C394A8B"/>
    <w:rsid w:val="6C420156"/>
    <w:rsid w:val="6C5142B7"/>
    <w:rsid w:val="6C7218C1"/>
    <w:rsid w:val="6C7457E7"/>
    <w:rsid w:val="6C7D6E82"/>
    <w:rsid w:val="6C8311C3"/>
    <w:rsid w:val="6CA5691E"/>
    <w:rsid w:val="6CDF4337"/>
    <w:rsid w:val="6CF56C99"/>
    <w:rsid w:val="6CFC1EEB"/>
    <w:rsid w:val="6CFD2D93"/>
    <w:rsid w:val="6D1B3C07"/>
    <w:rsid w:val="6D290842"/>
    <w:rsid w:val="6D5E4122"/>
    <w:rsid w:val="6D680792"/>
    <w:rsid w:val="6D8409C5"/>
    <w:rsid w:val="6DAB0FE0"/>
    <w:rsid w:val="6DEE7FF8"/>
    <w:rsid w:val="6E0B6604"/>
    <w:rsid w:val="6E1041E0"/>
    <w:rsid w:val="6E1E5CB1"/>
    <w:rsid w:val="6E361F97"/>
    <w:rsid w:val="6E4C2764"/>
    <w:rsid w:val="6E51496A"/>
    <w:rsid w:val="6E541BB3"/>
    <w:rsid w:val="6E8555D0"/>
    <w:rsid w:val="6E876629"/>
    <w:rsid w:val="6E893B3A"/>
    <w:rsid w:val="6E8E6B7E"/>
    <w:rsid w:val="6EB65530"/>
    <w:rsid w:val="6EDA7020"/>
    <w:rsid w:val="6EDF1C43"/>
    <w:rsid w:val="6EEB583C"/>
    <w:rsid w:val="6F08338C"/>
    <w:rsid w:val="6F492FDA"/>
    <w:rsid w:val="6F561A7D"/>
    <w:rsid w:val="6F6005AE"/>
    <w:rsid w:val="6F72024E"/>
    <w:rsid w:val="6FA629B9"/>
    <w:rsid w:val="6FB41CDF"/>
    <w:rsid w:val="6FDF1719"/>
    <w:rsid w:val="6FE52B7F"/>
    <w:rsid w:val="70047746"/>
    <w:rsid w:val="700C5076"/>
    <w:rsid w:val="701B22C2"/>
    <w:rsid w:val="70434D0C"/>
    <w:rsid w:val="704A18A5"/>
    <w:rsid w:val="704E7A65"/>
    <w:rsid w:val="70535193"/>
    <w:rsid w:val="705353D7"/>
    <w:rsid w:val="70595CFD"/>
    <w:rsid w:val="70611175"/>
    <w:rsid w:val="70731CBA"/>
    <w:rsid w:val="70A020EE"/>
    <w:rsid w:val="70AB2A5F"/>
    <w:rsid w:val="70C40F6B"/>
    <w:rsid w:val="70D802E9"/>
    <w:rsid w:val="70FF2B52"/>
    <w:rsid w:val="71053071"/>
    <w:rsid w:val="71076BF9"/>
    <w:rsid w:val="710C4547"/>
    <w:rsid w:val="71146B3B"/>
    <w:rsid w:val="711E1A75"/>
    <w:rsid w:val="712121C3"/>
    <w:rsid w:val="7128017E"/>
    <w:rsid w:val="71580DB2"/>
    <w:rsid w:val="715E5257"/>
    <w:rsid w:val="718176C8"/>
    <w:rsid w:val="71BB1264"/>
    <w:rsid w:val="71C14470"/>
    <w:rsid w:val="71DD01AD"/>
    <w:rsid w:val="71E01DDD"/>
    <w:rsid w:val="72350BD7"/>
    <w:rsid w:val="723D68AF"/>
    <w:rsid w:val="724721AC"/>
    <w:rsid w:val="725E1103"/>
    <w:rsid w:val="72705108"/>
    <w:rsid w:val="729452D5"/>
    <w:rsid w:val="72F657B0"/>
    <w:rsid w:val="72FC409A"/>
    <w:rsid w:val="73032FC0"/>
    <w:rsid w:val="730F48D7"/>
    <w:rsid w:val="73253B84"/>
    <w:rsid w:val="733D0BED"/>
    <w:rsid w:val="734B3290"/>
    <w:rsid w:val="738707F8"/>
    <w:rsid w:val="7387509A"/>
    <w:rsid w:val="738754CA"/>
    <w:rsid w:val="738B6F89"/>
    <w:rsid w:val="73C056D8"/>
    <w:rsid w:val="73CB6AC4"/>
    <w:rsid w:val="73E56331"/>
    <w:rsid w:val="73E96595"/>
    <w:rsid w:val="73ED1A3A"/>
    <w:rsid w:val="73F05696"/>
    <w:rsid w:val="73F50B6F"/>
    <w:rsid w:val="74146799"/>
    <w:rsid w:val="741A1B16"/>
    <w:rsid w:val="741E67C6"/>
    <w:rsid w:val="742C5E27"/>
    <w:rsid w:val="74551D23"/>
    <w:rsid w:val="745D7B18"/>
    <w:rsid w:val="745F299C"/>
    <w:rsid w:val="746F1484"/>
    <w:rsid w:val="74B800CA"/>
    <w:rsid w:val="74DD2783"/>
    <w:rsid w:val="74F55B27"/>
    <w:rsid w:val="753D165B"/>
    <w:rsid w:val="75511543"/>
    <w:rsid w:val="756B2471"/>
    <w:rsid w:val="75726F76"/>
    <w:rsid w:val="758D6086"/>
    <w:rsid w:val="758F1A33"/>
    <w:rsid w:val="75F8009A"/>
    <w:rsid w:val="76032163"/>
    <w:rsid w:val="763A3819"/>
    <w:rsid w:val="76471DE8"/>
    <w:rsid w:val="764C1D57"/>
    <w:rsid w:val="76701D3D"/>
    <w:rsid w:val="76951140"/>
    <w:rsid w:val="76974BD9"/>
    <w:rsid w:val="76977026"/>
    <w:rsid w:val="76A13207"/>
    <w:rsid w:val="76A70C95"/>
    <w:rsid w:val="76D15D09"/>
    <w:rsid w:val="76EB626F"/>
    <w:rsid w:val="76F57B1F"/>
    <w:rsid w:val="76FF4ABD"/>
    <w:rsid w:val="771349E5"/>
    <w:rsid w:val="7714635C"/>
    <w:rsid w:val="771C30FA"/>
    <w:rsid w:val="77206134"/>
    <w:rsid w:val="772F3A61"/>
    <w:rsid w:val="773553A7"/>
    <w:rsid w:val="77580A66"/>
    <w:rsid w:val="7758265E"/>
    <w:rsid w:val="777317EF"/>
    <w:rsid w:val="778D01FE"/>
    <w:rsid w:val="77A3436B"/>
    <w:rsid w:val="77B86288"/>
    <w:rsid w:val="77C645DD"/>
    <w:rsid w:val="77F437B1"/>
    <w:rsid w:val="77F91797"/>
    <w:rsid w:val="780738D1"/>
    <w:rsid w:val="78141133"/>
    <w:rsid w:val="781C0C98"/>
    <w:rsid w:val="782226C6"/>
    <w:rsid w:val="783D4AFF"/>
    <w:rsid w:val="78402005"/>
    <w:rsid w:val="784C4C65"/>
    <w:rsid w:val="784D30F3"/>
    <w:rsid w:val="78693C27"/>
    <w:rsid w:val="788A2C6A"/>
    <w:rsid w:val="78AD0D21"/>
    <w:rsid w:val="78B73B4F"/>
    <w:rsid w:val="78B934ED"/>
    <w:rsid w:val="78C37C8A"/>
    <w:rsid w:val="78CF36DF"/>
    <w:rsid w:val="78DE2D7C"/>
    <w:rsid w:val="78EA151E"/>
    <w:rsid w:val="7901553E"/>
    <w:rsid w:val="7922596C"/>
    <w:rsid w:val="792F01A6"/>
    <w:rsid w:val="79382965"/>
    <w:rsid w:val="794C1894"/>
    <w:rsid w:val="795161CA"/>
    <w:rsid w:val="797B7924"/>
    <w:rsid w:val="79820F11"/>
    <w:rsid w:val="79932B50"/>
    <w:rsid w:val="79A81252"/>
    <w:rsid w:val="79AC037E"/>
    <w:rsid w:val="79B4594A"/>
    <w:rsid w:val="79B978EA"/>
    <w:rsid w:val="79BC708D"/>
    <w:rsid w:val="79DE67FB"/>
    <w:rsid w:val="79EB1C7D"/>
    <w:rsid w:val="79F91F98"/>
    <w:rsid w:val="7A1B476E"/>
    <w:rsid w:val="7A50702E"/>
    <w:rsid w:val="7A5346F4"/>
    <w:rsid w:val="7A8630C5"/>
    <w:rsid w:val="7A9722EA"/>
    <w:rsid w:val="7AA274F5"/>
    <w:rsid w:val="7AE16354"/>
    <w:rsid w:val="7AF27BF0"/>
    <w:rsid w:val="7B1A6AB5"/>
    <w:rsid w:val="7B327BB5"/>
    <w:rsid w:val="7B33563C"/>
    <w:rsid w:val="7B372C93"/>
    <w:rsid w:val="7B4C0E94"/>
    <w:rsid w:val="7B5737ED"/>
    <w:rsid w:val="7B594633"/>
    <w:rsid w:val="7B763FD0"/>
    <w:rsid w:val="7B8D6D12"/>
    <w:rsid w:val="7B9147B3"/>
    <w:rsid w:val="7BAC1017"/>
    <w:rsid w:val="7BC5015F"/>
    <w:rsid w:val="7BD9715F"/>
    <w:rsid w:val="7BDB40C8"/>
    <w:rsid w:val="7BFC639E"/>
    <w:rsid w:val="7C1060A4"/>
    <w:rsid w:val="7C212B16"/>
    <w:rsid w:val="7C330017"/>
    <w:rsid w:val="7C344D27"/>
    <w:rsid w:val="7C6034EF"/>
    <w:rsid w:val="7C8F3841"/>
    <w:rsid w:val="7C927737"/>
    <w:rsid w:val="7CA926B5"/>
    <w:rsid w:val="7CE055BA"/>
    <w:rsid w:val="7CFC1051"/>
    <w:rsid w:val="7D15058B"/>
    <w:rsid w:val="7D157DA1"/>
    <w:rsid w:val="7D1C025A"/>
    <w:rsid w:val="7D213138"/>
    <w:rsid w:val="7D2521B2"/>
    <w:rsid w:val="7D317598"/>
    <w:rsid w:val="7D3230DC"/>
    <w:rsid w:val="7D4D08D5"/>
    <w:rsid w:val="7D551F58"/>
    <w:rsid w:val="7D6A282B"/>
    <w:rsid w:val="7D90451F"/>
    <w:rsid w:val="7DBA63DF"/>
    <w:rsid w:val="7DF04831"/>
    <w:rsid w:val="7DF22A1C"/>
    <w:rsid w:val="7E0E1134"/>
    <w:rsid w:val="7E282CD5"/>
    <w:rsid w:val="7E3672A9"/>
    <w:rsid w:val="7E4618EE"/>
    <w:rsid w:val="7E49452F"/>
    <w:rsid w:val="7E577B57"/>
    <w:rsid w:val="7E600883"/>
    <w:rsid w:val="7E7A400D"/>
    <w:rsid w:val="7E872237"/>
    <w:rsid w:val="7E873820"/>
    <w:rsid w:val="7E8C3F75"/>
    <w:rsid w:val="7E9832EF"/>
    <w:rsid w:val="7EA80241"/>
    <w:rsid w:val="7EAB6E1B"/>
    <w:rsid w:val="7ED76DD4"/>
    <w:rsid w:val="7EDE2B8F"/>
    <w:rsid w:val="7EE354CD"/>
    <w:rsid w:val="7F055689"/>
    <w:rsid w:val="7F06366D"/>
    <w:rsid w:val="7F13011A"/>
    <w:rsid w:val="7F5456A0"/>
    <w:rsid w:val="7F5C0130"/>
    <w:rsid w:val="7F5D06FA"/>
    <w:rsid w:val="7F79289E"/>
    <w:rsid w:val="7F8F1F7C"/>
    <w:rsid w:val="7FA8445B"/>
    <w:rsid w:val="7FC54AD3"/>
    <w:rsid w:val="7FCA114D"/>
    <w:rsid w:val="7FD338C7"/>
    <w:rsid w:val="7FD422E4"/>
    <w:rsid w:val="7FE51165"/>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iPriority="99"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2"/>
    <w:qFormat/>
    <w:uiPriority w:val="0"/>
    <w:pPr>
      <w:keepNext/>
      <w:keepLines/>
      <w:numPr>
        <w:ilvl w:val="0"/>
        <w:numId w:val="1"/>
      </w:numPr>
      <w:spacing w:before="340" w:after="330" w:line="578" w:lineRule="auto"/>
      <w:jc w:val="center"/>
      <w:outlineLvl w:val="0"/>
    </w:pPr>
    <w:rPr>
      <w:b/>
      <w:bCs/>
      <w:kern w:val="44"/>
      <w:sz w:val="32"/>
      <w:szCs w:val="44"/>
    </w:rPr>
  </w:style>
  <w:style w:type="paragraph" w:styleId="4">
    <w:name w:val="heading 2"/>
    <w:basedOn w:val="1"/>
    <w:next w:val="1"/>
    <w:link w:val="62"/>
    <w:qFormat/>
    <w:uiPriority w:val="0"/>
    <w:pPr>
      <w:keepNext/>
      <w:keepLines/>
      <w:numPr>
        <w:ilvl w:val="1"/>
        <w:numId w:val="1"/>
      </w:numPr>
      <w:spacing w:before="260" w:after="260" w:line="416" w:lineRule="auto"/>
      <w:outlineLvl w:val="1"/>
    </w:pPr>
    <w:rPr>
      <w:rFonts w:ascii="Cambria" w:hAnsi="Cambria"/>
      <w:b/>
      <w:bCs/>
      <w:sz w:val="32"/>
      <w:szCs w:val="32"/>
    </w:rPr>
  </w:style>
  <w:style w:type="paragraph" w:styleId="5">
    <w:name w:val="heading 3"/>
    <w:basedOn w:val="1"/>
    <w:next w:val="1"/>
    <w:link w:val="56"/>
    <w:qFormat/>
    <w:uiPriority w:val="0"/>
    <w:pPr>
      <w:keepNext/>
      <w:keepLines/>
      <w:numPr>
        <w:ilvl w:val="2"/>
        <w:numId w:val="1"/>
      </w:numPr>
      <w:spacing w:before="260" w:after="260" w:line="416" w:lineRule="auto"/>
      <w:outlineLvl w:val="2"/>
    </w:pPr>
    <w:rPr>
      <w:b/>
      <w:bCs/>
      <w:sz w:val="32"/>
      <w:szCs w:val="32"/>
    </w:rPr>
  </w:style>
  <w:style w:type="paragraph" w:styleId="6">
    <w:name w:val="heading 4"/>
    <w:basedOn w:val="1"/>
    <w:next w:val="1"/>
    <w:link w:val="138"/>
    <w:qFormat/>
    <w:uiPriority w:val="0"/>
    <w:pPr>
      <w:keepNext/>
      <w:keepLines/>
      <w:numPr>
        <w:ilvl w:val="3"/>
        <w:numId w:val="1"/>
      </w:numPr>
      <w:spacing w:before="280" w:after="290" w:line="376" w:lineRule="auto"/>
      <w:outlineLvl w:val="3"/>
    </w:pPr>
    <w:rPr>
      <w:rFonts w:ascii="Cambria" w:hAnsi="Cambria"/>
      <w:b/>
      <w:bCs/>
      <w:sz w:val="28"/>
      <w:szCs w:val="28"/>
    </w:rPr>
  </w:style>
  <w:style w:type="paragraph" w:styleId="7">
    <w:name w:val="heading 5"/>
    <w:basedOn w:val="1"/>
    <w:next w:val="1"/>
    <w:link w:val="91"/>
    <w:qFormat/>
    <w:uiPriority w:val="0"/>
    <w:pPr>
      <w:keepNext/>
      <w:keepLines/>
      <w:numPr>
        <w:ilvl w:val="4"/>
        <w:numId w:val="1"/>
      </w:numPr>
      <w:spacing w:before="280" w:after="290" w:line="376" w:lineRule="auto"/>
      <w:outlineLvl w:val="4"/>
    </w:pPr>
    <w:rPr>
      <w:b/>
      <w:bCs/>
      <w:sz w:val="28"/>
      <w:szCs w:val="28"/>
    </w:rPr>
  </w:style>
  <w:style w:type="paragraph" w:styleId="8">
    <w:name w:val="heading 6"/>
    <w:basedOn w:val="1"/>
    <w:next w:val="1"/>
    <w:link w:val="77"/>
    <w:qFormat/>
    <w:uiPriority w:val="0"/>
    <w:pPr>
      <w:keepNext/>
      <w:keepLines/>
      <w:numPr>
        <w:ilvl w:val="5"/>
        <w:numId w:val="1"/>
      </w:numPr>
      <w:spacing w:before="240" w:after="64" w:line="320" w:lineRule="auto"/>
      <w:outlineLvl w:val="5"/>
    </w:pPr>
    <w:rPr>
      <w:rFonts w:ascii="Cambria" w:hAnsi="Cambria"/>
      <w:b/>
      <w:bCs/>
      <w:sz w:val="24"/>
    </w:rPr>
  </w:style>
  <w:style w:type="paragraph" w:styleId="9">
    <w:name w:val="heading 7"/>
    <w:basedOn w:val="1"/>
    <w:next w:val="1"/>
    <w:link w:val="131"/>
    <w:qFormat/>
    <w:uiPriority w:val="0"/>
    <w:pPr>
      <w:keepNext/>
      <w:keepLines/>
      <w:numPr>
        <w:ilvl w:val="6"/>
        <w:numId w:val="1"/>
      </w:numPr>
      <w:spacing w:before="240" w:after="64" w:line="320" w:lineRule="auto"/>
      <w:outlineLvl w:val="6"/>
    </w:pPr>
    <w:rPr>
      <w:b/>
      <w:bCs/>
      <w:sz w:val="24"/>
    </w:rPr>
  </w:style>
  <w:style w:type="paragraph" w:styleId="10">
    <w:name w:val="heading 8"/>
    <w:basedOn w:val="1"/>
    <w:next w:val="1"/>
    <w:link w:val="116"/>
    <w:qFormat/>
    <w:uiPriority w:val="0"/>
    <w:pPr>
      <w:keepNext/>
      <w:keepLines/>
      <w:numPr>
        <w:ilvl w:val="7"/>
        <w:numId w:val="1"/>
      </w:numPr>
      <w:spacing w:before="240" w:after="64" w:line="320" w:lineRule="auto"/>
      <w:outlineLvl w:val="7"/>
    </w:pPr>
    <w:rPr>
      <w:rFonts w:ascii="Cambria" w:hAnsi="Cambria"/>
      <w:sz w:val="24"/>
    </w:rPr>
  </w:style>
  <w:style w:type="paragraph" w:styleId="11">
    <w:name w:val="heading 9"/>
    <w:basedOn w:val="1"/>
    <w:next w:val="1"/>
    <w:link w:val="95"/>
    <w:qFormat/>
    <w:uiPriority w:val="0"/>
    <w:pPr>
      <w:keepNext/>
      <w:keepLines/>
      <w:numPr>
        <w:ilvl w:val="8"/>
        <w:numId w:val="1"/>
      </w:numPr>
      <w:spacing w:before="240" w:after="64" w:line="320" w:lineRule="auto"/>
      <w:outlineLvl w:val="8"/>
    </w:pPr>
    <w:rPr>
      <w:rFonts w:ascii="Cambria" w:hAnsi="Cambria"/>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spacing w:line="360" w:lineRule="auto"/>
      <w:ind w:firstLine="480"/>
      <w:jc w:val="left"/>
    </w:pPr>
    <w:rPr>
      <w:rFonts w:ascii="宋体" w:hAnsi="宋体"/>
      <w:sz w:val="24"/>
    </w:rPr>
  </w:style>
  <w:style w:type="paragraph" w:styleId="12">
    <w:name w:val="List 3"/>
    <w:basedOn w:val="1"/>
    <w:unhideWhenUsed/>
    <w:qFormat/>
    <w:uiPriority w:val="99"/>
    <w:pPr>
      <w:spacing w:before="100" w:beforeAutospacing="1" w:after="100" w:afterAutospacing="1"/>
      <w:ind w:left="1260" w:hanging="420"/>
    </w:pPr>
    <w:rPr>
      <w:szCs w:val="21"/>
    </w:rPr>
  </w:style>
  <w:style w:type="paragraph" w:styleId="13">
    <w:name w:val="toc 7"/>
    <w:basedOn w:val="1"/>
    <w:next w:val="1"/>
    <w:unhideWhenUsed/>
    <w:qFormat/>
    <w:uiPriority w:val="39"/>
    <w:pPr>
      <w:ind w:left="2520" w:leftChars="1200"/>
    </w:pPr>
    <w:rPr>
      <w:rFonts w:ascii="Calibri" w:hAnsi="Calibri"/>
      <w:szCs w:val="22"/>
    </w:rPr>
  </w:style>
  <w:style w:type="paragraph" w:styleId="14">
    <w:name w:val="Normal Indent"/>
    <w:basedOn w:val="1"/>
    <w:qFormat/>
    <w:uiPriority w:val="0"/>
    <w:pPr>
      <w:ind w:firstLine="420"/>
    </w:pPr>
    <w:rPr>
      <w:b/>
      <w:sz w:val="24"/>
      <w:szCs w:val="20"/>
    </w:rPr>
  </w:style>
  <w:style w:type="paragraph" w:styleId="15">
    <w:name w:val="caption"/>
    <w:basedOn w:val="1"/>
    <w:next w:val="1"/>
    <w:qFormat/>
    <w:uiPriority w:val="0"/>
    <w:rPr>
      <w:rFonts w:ascii="Cambria" w:hAnsi="Cambria" w:eastAsia="黑体"/>
      <w:sz w:val="20"/>
      <w:szCs w:val="22"/>
    </w:rPr>
  </w:style>
  <w:style w:type="paragraph" w:styleId="16">
    <w:name w:val="Document Map"/>
    <w:basedOn w:val="1"/>
    <w:link w:val="85"/>
    <w:qFormat/>
    <w:uiPriority w:val="0"/>
    <w:rPr>
      <w:rFonts w:ascii="宋体"/>
      <w:sz w:val="18"/>
      <w:szCs w:val="18"/>
    </w:rPr>
  </w:style>
  <w:style w:type="paragraph" w:styleId="17">
    <w:name w:val="annotation text"/>
    <w:basedOn w:val="1"/>
    <w:link w:val="108"/>
    <w:qFormat/>
    <w:uiPriority w:val="99"/>
    <w:pPr>
      <w:jc w:val="left"/>
    </w:pPr>
  </w:style>
  <w:style w:type="paragraph" w:styleId="18">
    <w:name w:val="Body Text 3"/>
    <w:basedOn w:val="1"/>
    <w:link w:val="127"/>
    <w:qFormat/>
    <w:uiPriority w:val="0"/>
    <w:rPr>
      <w:rFonts w:ascii="宋体"/>
      <w:sz w:val="24"/>
      <w:szCs w:val="20"/>
    </w:rPr>
  </w:style>
  <w:style w:type="paragraph" w:styleId="19">
    <w:name w:val="Body Text"/>
    <w:basedOn w:val="1"/>
    <w:next w:val="1"/>
    <w:link w:val="115"/>
    <w:qFormat/>
    <w:uiPriority w:val="0"/>
    <w:pPr>
      <w:jc w:val="center"/>
    </w:pPr>
    <w:rPr>
      <w:rFonts w:eastAsia="幼圆"/>
      <w:b/>
      <w:bCs/>
      <w:sz w:val="44"/>
    </w:rPr>
  </w:style>
  <w:style w:type="paragraph" w:styleId="20">
    <w:name w:val="Body Text Indent"/>
    <w:basedOn w:val="1"/>
    <w:link w:val="72"/>
    <w:qFormat/>
    <w:uiPriority w:val="0"/>
    <w:pPr>
      <w:spacing w:after="120"/>
      <w:ind w:left="420" w:leftChars="200"/>
    </w:pPr>
  </w:style>
  <w:style w:type="paragraph" w:styleId="21">
    <w:name w:val="Block Text"/>
    <w:basedOn w:val="1"/>
    <w:qFormat/>
    <w:uiPriority w:val="0"/>
    <w:pPr>
      <w:autoSpaceDE w:val="0"/>
      <w:autoSpaceDN w:val="0"/>
      <w:adjustRightInd w:val="0"/>
      <w:ind w:left="256" w:right="6" w:firstLine="624" w:firstLineChars="200"/>
    </w:pPr>
    <w:rPr>
      <w:rFonts w:eastAsia="仿宋_GB2312"/>
      <w:kern w:val="0"/>
      <w:sz w:val="28"/>
      <w:szCs w:val="20"/>
    </w:rPr>
  </w:style>
  <w:style w:type="paragraph" w:styleId="22">
    <w:name w:val="index 4"/>
    <w:basedOn w:val="1"/>
    <w:next w:val="1"/>
    <w:qFormat/>
    <w:uiPriority w:val="0"/>
    <w:pPr>
      <w:ind w:left="600" w:leftChars="600"/>
    </w:pPr>
    <w:rPr>
      <w:rFonts w:ascii="Calibri" w:hAnsi="Calibri"/>
    </w:rPr>
  </w:style>
  <w:style w:type="paragraph" w:styleId="23">
    <w:name w:val="toc 5"/>
    <w:basedOn w:val="1"/>
    <w:next w:val="1"/>
    <w:unhideWhenUsed/>
    <w:qFormat/>
    <w:uiPriority w:val="39"/>
    <w:pPr>
      <w:ind w:left="1680" w:leftChars="800"/>
    </w:pPr>
    <w:rPr>
      <w:rFonts w:ascii="Calibri" w:hAnsi="Calibri"/>
      <w:szCs w:val="22"/>
    </w:rPr>
  </w:style>
  <w:style w:type="paragraph" w:styleId="24">
    <w:name w:val="toc 3"/>
    <w:basedOn w:val="1"/>
    <w:next w:val="1"/>
    <w:qFormat/>
    <w:uiPriority w:val="39"/>
    <w:pPr>
      <w:ind w:left="840" w:leftChars="400"/>
    </w:pPr>
    <w:rPr>
      <w:rFonts w:ascii="Calibri" w:hAnsi="Calibri"/>
      <w:szCs w:val="22"/>
    </w:rPr>
  </w:style>
  <w:style w:type="paragraph" w:styleId="25">
    <w:name w:val="Plain Text"/>
    <w:basedOn w:val="1"/>
    <w:link w:val="78"/>
    <w:qFormat/>
    <w:uiPriority w:val="0"/>
    <w:rPr>
      <w:rFonts w:ascii="Ari"/>
    </w:rPr>
  </w:style>
  <w:style w:type="paragraph" w:styleId="26">
    <w:name w:val="toc 8"/>
    <w:basedOn w:val="1"/>
    <w:next w:val="1"/>
    <w:unhideWhenUsed/>
    <w:qFormat/>
    <w:uiPriority w:val="39"/>
    <w:pPr>
      <w:ind w:left="2940" w:leftChars="1400"/>
    </w:pPr>
    <w:rPr>
      <w:rFonts w:ascii="Calibri" w:hAnsi="Calibri"/>
      <w:szCs w:val="22"/>
    </w:rPr>
  </w:style>
  <w:style w:type="paragraph" w:styleId="27">
    <w:name w:val="Date"/>
    <w:basedOn w:val="1"/>
    <w:next w:val="1"/>
    <w:link w:val="86"/>
    <w:unhideWhenUsed/>
    <w:qFormat/>
    <w:uiPriority w:val="0"/>
  </w:style>
  <w:style w:type="paragraph" w:styleId="28">
    <w:name w:val="Body Text Indent 2"/>
    <w:basedOn w:val="1"/>
    <w:link w:val="107"/>
    <w:unhideWhenUsed/>
    <w:qFormat/>
    <w:uiPriority w:val="99"/>
    <w:pPr>
      <w:spacing w:line="420" w:lineRule="exact"/>
      <w:ind w:firstLine="525"/>
    </w:pPr>
    <w:rPr>
      <w:rFonts w:ascii="宋体"/>
      <w:kern w:val="0"/>
      <w:sz w:val="20"/>
      <w:szCs w:val="20"/>
    </w:rPr>
  </w:style>
  <w:style w:type="paragraph" w:styleId="29">
    <w:name w:val="Balloon Text"/>
    <w:basedOn w:val="1"/>
    <w:link w:val="130"/>
    <w:qFormat/>
    <w:uiPriority w:val="0"/>
    <w:rPr>
      <w:sz w:val="18"/>
      <w:szCs w:val="18"/>
    </w:rPr>
  </w:style>
  <w:style w:type="paragraph" w:styleId="30">
    <w:name w:val="footer"/>
    <w:basedOn w:val="1"/>
    <w:link w:val="120"/>
    <w:qFormat/>
    <w:uiPriority w:val="99"/>
    <w:pPr>
      <w:tabs>
        <w:tab w:val="center" w:pos="4153"/>
        <w:tab w:val="right" w:pos="8306"/>
      </w:tabs>
      <w:snapToGrid w:val="0"/>
      <w:jc w:val="left"/>
    </w:pPr>
    <w:rPr>
      <w:sz w:val="18"/>
      <w:szCs w:val="18"/>
    </w:rPr>
  </w:style>
  <w:style w:type="paragraph" w:styleId="31">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unhideWhenUsed/>
    <w:qFormat/>
    <w:uiPriority w:val="39"/>
    <w:pPr>
      <w:ind w:left="1260" w:leftChars="600"/>
    </w:pPr>
    <w:rPr>
      <w:rFonts w:ascii="Calibri" w:hAnsi="Calibri"/>
      <w:szCs w:val="22"/>
    </w:rPr>
  </w:style>
  <w:style w:type="paragraph" w:styleId="34">
    <w:name w:val="Subtitle"/>
    <w:basedOn w:val="1"/>
    <w:next w:val="1"/>
    <w:link w:val="103"/>
    <w:qFormat/>
    <w:uiPriority w:val="0"/>
    <w:pPr>
      <w:spacing w:before="240" w:after="60" w:line="312" w:lineRule="auto"/>
      <w:jc w:val="center"/>
      <w:outlineLvl w:val="1"/>
    </w:pPr>
    <w:rPr>
      <w:rFonts w:ascii="Cambria" w:hAnsi="Cambria"/>
      <w:b/>
      <w:bCs/>
      <w:kern w:val="28"/>
      <w:sz w:val="32"/>
      <w:szCs w:val="32"/>
    </w:rPr>
  </w:style>
  <w:style w:type="paragraph" w:styleId="35">
    <w:name w:val="toc 6"/>
    <w:basedOn w:val="1"/>
    <w:next w:val="1"/>
    <w:unhideWhenUsed/>
    <w:qFormat/>
    <w:uiPriority w:val="39"/>
    <w:pPr>
      <w:ind w:left="2100" w:leftChars="1000"/>
    </w:pPr>
    <w:rPr>
      <w:rFonts w:ascii="Calibri" w:hAnsi="Calibri"/>
      <w:szCs w:val="22"/>
    </w:rPr>
  </w:style>
  <w:style w:type="paragraph" w:styleId="36">
    <w:name w:val="Body Text Indent 3"/>
    <w:basedOn w:val="1"/>
    <w:link w:val="128"/>
    <w:qFormat/>
    <w:uiPriority w:val="0"/>
    <w:pPr>
      <w:spacing w:after="120"/>
      <w:ind w:left="420" w:leftChars="200"/>
    </w:pPr>
    <w:rPr>
      <w:sz w:val="16"/>
      <w:szCs w:val="20"/>
    </w:rPr>
  </w:style>
  <w:style w:type="paragraph" w:styleId="37">
    <w:name w:val="toc 2"/>
    <w:basedOn w:val="1"/>
    <w:next w:val="1"/>
    <w:qFormat/>
    <w:uiPriority w:val="39"/>
    <w:pPr>
      <w:ind w:left="420" w:leftChars="200"/>
    </w:pPr>
    <w:rPr>
      <w:rFonts w:ascii="Calibri" w:hAnsi="Calibri"/>
      <w:szCs w:val="22"/>
    </w:rPr>
  </w:style>
  <w:style w:type="paragraph" w:styleId="38">
    <w:name w:val="toc 9"/>
    <w:basedOn w:val="1"/>
    <w:next w:val="1"/>
    <w:unhideWhenUsed/>
    <w:qFormat/>
    <w:uiPriority w:val="39"/>
    <w:pPr>
      <w:ind w:left="3360" w:leftChars="1600"/>
    </w:pPr>
    <w:rPr>
      <w:rFonts w:ascii="Calibri" w:hAnsi="Calibri"/>
      <w:szCs w:val="22"/>
    </w:rPr>
  </w:style>
  <w:style w:type="paragraph" w:styleId="39">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40">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1">
    <w:name w:val="index 1"/>
    <w:basedOn w:val="1"/>
    <w:next w:val="1"/>
    <w:qFormat/>
    <w:uiPriority w:val="0"/>
    <w:pPr>
      <w:spacing w:line="220" w:lineRule="exact"/>
      <w:jc w:val="center"/>
    </w:pPr>
    <w:rPr>
      <w:rFonts w:ascii="仿宋_GB2312" w:hAnsi="Calibri" w:eastAsia="仿宋_GB2312"/>
      <w:szCs w:val="22"/>
    </w:rPr>
  </w:style>
  <w:style w:type="paragraph" w:styleId="42">
    <w:name w:val="Title"/>
    <w:basedOn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3">
    <w:name w:val="annotation subject"/>
    <w:basedOn w:val="17"/>
    <w:next w:val="17"/>
    <w:link w:val="118"/>
    <w:qFormat/>
    <w:uiPriority w:val="0"/>
    <w:rPr>
      <w:b/>
      <w:bCs/>
    </w:rPr>
  </w:style>
  <w:style w:type="paragraph" w:styleId="44">
    <w:name w:val="Body Text First Indent"/>
    <w:basedOn w:val="19"/>
    <w:next w:val="45"/>
    <w:qFormat/>
    <w:uiPriority w:val="0"/>
    <w:pPr>
      <w:spacing w:after="120"/>
      <w:ind w:firstLine="420" w:firstLineChars="100"/>
      <w:jc w:val="both"/>
    </w:pPr>
    <w:rPr>
      <w:rFonts w:ascii="Calibri" w:hAnsi="Calibri"/>
      <w:sz w:val="21"/>
    </w:rPr>
  </w:style>
  <w:style w:type="paragraph" w:styleId="45">
    <w:name w:val="Body Text First Indent 2"/>
    <w:basedOn w:val="20"/>
    <w:qFormat/>
    <w:uiPriority w:val="0"/>
    <w:pPr>
      <w:spacing w:after="0" w:line="360" w:lineRule="auto"/>
      <w:ind w:left="0" w:leftChars="0" w:firstLine="420" w:firstLineChars="200"/>
    </w:pPr>
    <w:rPr>
      <w:rFonts w:ascii="宋体" w:hAnsi="宋体"/>
      <w:kern w:val="0"/>
      <w:sz w:val="20"/>
      <w:szCs w:val="20"/>
    </w:rPr>
  </w:style>
  <w:style w:type="table" w:styleId="47">
    <w:name w:val="Table Grid"/>
    <w:basedOn w:val="4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9">
    <w:name w:val="Strong"/>
    <w:qFormat/>
    <w:uiPriority w:val="0"/>
    <w:rPr>
      <w:rFonts w:cs="Times New Roman"/>
      <w:b/>
    </w:rPr>
  </w:style>
  <w:style w:type="character" w:styleId="50">
    <w:name w:val="page number"/>
    <w:basedOn w:val="48"/>
    <w:qFormat/>
    <w:uiPriority w:val="0"/>
    <w:rPr>
      <w:rFonts w:eastAsia="宋体"/>
      <w:b/>
      <w:spacing w:val="0"/>
      <w:kern w:val="2"/>
      <w:sz w:val="24"/>
      <w:szCs w:val="24"/>
      <w:vertAlign w:val="baseline"/>
      <w:lang w:val="en-US" w:eastAsia="zh-CN" w:bidi="ar-SA"/>
    </w:rPr>
  </w:style>
  <w:style w:type="character" w:styleId="51">
    <w:name w:val="FollowedHyperlink"/>
    <w:qFormat/>
    <w:uiPriority w:val="0"/>
    <w:rPr>
      <w:color w:val="800080"/>
      <w:u w:val="single"/>
    </w:rPr>
  </w:style>
  <w:style w:type="character" w:styleId="52">
    <w:name w:val="Emphasis"/>
    <w:qFormat/>
    <w:uiPriority w:val="0"/>
    <w:rPr>
      <w:color w:val="CC0000"/>
    </w:rPr>
  </w:style>
  <w:style w:type="character" w:styleId="53">
    <w:name w:val="Hyperlink"/>
    <w:qFormat/>
    <w:uiPriority w:val="99"/>
    <w:rPr>
      <w:color w:val="0000FF"/>
      <w:u w:val="single"/>
    </w:rPr>
  </w:style>
  <w:style w:type="character" w:styleId="54">
    <w:name w:val="annotation reference"/>
    <w:qFormat/>
    <w:uiPriority w:val="99"/>
    <w:rPr>
      <w:sz w:val="21"/>
      <w:szCs w:val="21"/>
    </w:rPr>
  </w:style>
  <w:style w:type="character" w:styleId="55">
    <w:name w:val="HTML Cite"/>
    <w:qFormat/>
    <w:uiPriority w:val="0"/>
    <w:rPr>
      <w:color w:val="008000"/>
    </w:rPr>
  </w:style>
  <w:style w:type="character" w:customStyle="1" w:styleId="56">
    <w:name w:val="标题 3 字符"/>
    <w:link w:val="5"/>
    <w:qFormat/>
    <w:uiPriority w:val="0"/>
    <w:rPr>
      <w:b/>
      <w:bCs/>
      <w:kern w:val="2"/>
      <w:sz w:val="32"/>
      <w:szCs w:val="32"/>
    </w:rPr>
  </w:style>
  <w:style w:type="character" w:customStyle="1" w:styleId="57">
    <w:name w:val="明显强调1"/>
    <w:qFormat/>
    <w:uiPriority w:val="0"/>
    <w:rPr>
      <w:b/>
      <w:bCs/>
      <w:i/>
      <w:iCs/>
      <w:color w:val="4F81BD"/>
    </w:rPr>
  </w:style>
  <w:style w:type="character" w:customStyle="1" w:styleId="58">
    <w:name w:val="批注文字 Char2"/>
    <w:qFormat/>
    <w:uiPriority w:val="0"/>
    <w:rPr>
      <w:kern w:val="2"/>
      <w:sz w:val="21"/>
    </w:rPr>
  </w:style>
  <w:style w:type="character" w:customStyle="1" w:styleId="59">
    <w:name w:val="标题 3 Char_0"/>
    <w:link w:val="60"/>
    <w:qFormat/>
    <w:uiPriority w:val="0"/>
    <w:rPr>
      <w:b/>
      <w:bCs/>
      <w:sz w:val="32"/>
      <w:szCs w:val="32"/>
    </w:rPr>
  </w:style>
  <w:style w:type="paragraph" w:customStyle="1" w:styleId="60">
    <w:name w:val="标题 3_0"/>
    <w:basedOn w:val="61"/>
    <w:next w:val="61"/>
    <w:link w:val="59"/>
    <w:qFormat/>
    <w:uiPriority w:val="0"/>
    <w:pPr>
      <w:keepNext/>
      <w:keepLines/>
      <w:spacing w:before="260" w:after="260" w:line="416" w:lineRule="auto"/>
      <w:outlineLvl w:val="2"/>
    </w:pPr>
    <w:rPr>
      <w:b/>
      <w:bCs/>
      <w:kern w:val="0"/>
      <w:sz w:val="32"/>
      <w:szCs w:val="32"/>
    </w:rPr>
  </w:style>
  <w:style w:type="paragraph" w:customStyle="1" w:styleId="61">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2">
    <w:name w:val="标题 2 字符"/>
    <w:link w:val="4"/>
    <w:qFormat/>
    <w:uiPriority w:val="0"/>
    <w:rPr>
      <w:rFonts w:ascii="Cambria" w:hAnsi="Cambria"/>
      <w:b/>
      <w:bCs/>
      <w:kern w:val="2"/>
      <w:sz w:val="32"/>
      <w:szCs w:val="32"/>
    </w:rPr>
  </w:style>
  <w:style w:type="character" w:customStyle="1" w:styleId="63">
    <w:name w:val="正文文本 Char2"/>
    <w:semiHidden/>
    <w:qFormat/>
    <w:uiPriority w:val="99"/>
    <w:rPr>
      <w:rFonts w:ascii="Calibri" w:hAnsi="Calibri" w:eastAsia="宋体" w:cs="Times New Roman"/>
    </w:rPr>
  </w:style>
  <w:style w:type="character" w:customStyle="1" w:styleId="64">
    <w:name w:val="页脚 Char1"/>
    <w:semiHidden/>
    <w:qFormat/>
    <w:uiPriority w:val="99"/>
    <w:rPr>
      <w:rFonts w:ascii="Calibri" w:hAnsi="Calibri" w:eastAsia="宋体" w:cs="Times New Roman"/>
      <w:sz w:val="18"/>
      <w:szCs w:val="18"/>
    </w:rPr>
  </w:style>
  <w:style w:type="character" w:customStyle="1" w:styleId="65">
    <w:name w:val="明显引用 Char2"/>
    <w:qFormat/>
    <w:uiPriority w:val="99"/>
    <w:rPr>
      <w:b/>
      <w:bCs/>
      <w:i/>
      <w:iCs/>
      <w:color w:val="4F81BD"/>
      <w:kern w:val="2"/>
      <w:sz w:val="21"/>
      <w:szCs w:val="24"/>
    </w:rPr>
  </w:style>
  <w:style w:type="character" w:customStyle="1" w:styleId="66">
    <w:name w:val="引用 Char"/>
    <w:link w:val="67"/>
    <w:qFormat/>
    <w:uiPriority w:val="0"/>
    <w:rPr>
      <w:i/>
      <w:iCs/>
      <w:color w:val="000000"/>
    </w:rPr>
  </w:style>
  <w:style w:type="paragraph" w:customStyle="1" w:styleId="67">
    <w:name w:val="引用1"/>
    <w:basedOn w:val="1"/>
    <w:next w:val="1"/>
    <w:link w:val="66"/>
    <w:qFormat/>
    <w:uiPriority w:val="0"/>
    <w:rPr>
      <w:i/>
      <w:iCs/>
      <w:color w:val="000000"/>
      <w:kern w:val="0"/>
      <w:sz w:val="20"/>
      <w:szCs w:val="20"/>
    </w:rPr>
  </w:style>
  <w:style w:type="character" w:customStyle="1" w:styleId="68">
    <w:name w:val="标题 1 Char_0"/>
    <w:link w:val="69"/>
    <w:qFormat/>
    <w:uiPriority w:val="0"/>
    <w:rPr>
      <w:b/>
      <w:bCs/>
      <w:kern w:val="44"/>
      <w:sz w:val="44"/>
      <w:szCs w:val="44"/>
    </w:rPr>
  </w:style>
  <w:style w:type="paragraph" w:customStyle="1" w:styleId="69">
    <w:name w:val="标题 1_0"/>
    <w:basedOn w:val="61"/>
    <w:next w:val="61"/>
    <w:link w:val="68"/>
    <w:qFormat/>
    <w:uiPriority w:val="0"/>
    <w:pPr>
      <w:keepNext/>
      <w:keepLines/>
      <w:spacing w:before="340" w:after="330" w:line="578" w:lineRule="auto"/>
      <w:outlineLvl w:val="0"/>
    </w:pPr>
    <w:rPr>
      <w:b/>
      <w:bCs/>
      <w:kern w:val="44"/>
      <w:sz w:val="44"/>
      <w:szCs w:val="44"/>
    </w:rPr>
  </w:style>
  <w:style w:type="character" w:customStyle="1" w:styleId="70">
    <w:name w:val="正文文本缩进 3 Char1"/>
    <w:semiHidden/>
    <w:qFormat/>
    <w:uiPriority w:val="99"/>
    <w:rPr>
      <w:kern w:val="2"/>
      <w:sz w:val="16"/>
      <w:szCs w:val="16"/>
    </w:rPr>
  </w:style>
  <w:style w:type="character" w:customStyle="1" w:styleId="71">
    <w:name w:val="引用 Char1"/>
    <w:qFormat/>
    <w:uiPriority w:val="29"/>
    <w:rPr>
      <w:i/>
      <w:iCs/>
      <w:color w:val="000000"/>
      <w:kern w:val="2"/>
      <w:sz w:val="21"/>
    </w:rPr>
  </w:style>
  <w:style w:type="character" w:customStyle="1" w:styleId="72">
    <w:name w:val="正文文本缩进 字符"/>
    <w:link w:val="20"/>
    <w:qFormat/>
    <w:uiPriority w:val="0"/>
    <w:rPr>
      <w:kern w:val="2"/>
      <w:sz w:val="21"/>
      <w:szCs w:val="24"/>
    </w:rPr>
  </w:style>
  <w:style w:type="character" w:customStyle="1" w:styleId="73">
    <w:name w:val="font161"/>
    <w:qFormat/>
    <w:uiPriority w:val="0"/>
    <w:rPr>
      <w:b/>
      <w:sz w:val="32"/>
    </w:rPr>
  </w:style>
  <w:style w:type="character" w:customStyle="1" w:styleId="74">
    <w:name w:val="标题 4 Char_0"/>
    <w:link w:val="75"/>
    <w:qFormat/>
    <w:uiPriority w:val="0"/>
    <w:rPr>
      <w:rFonts w:ascii="Arial" w:hAnsi="Arial" w:eastAsia="黑体"/>
      <w:b/>
      <w:bCs/>
      <w:sz w:val="28"/>
      <w:szCs w:val="28"/>
    </w:rPr>
  </w:style>
  <w:style w:type="paragraph" w:customStyle="1" w:styleId="75">
    <w:name w:val="标题 4_0"/>
    <w:basedOn w:val="61"/>
    <w:next w:val="61"/>
    <w:link w:val="74"/>
    <w:qFormat/>
    <w:uiPriority w:val="0"/>
    <w:pPr>
      <w:keepNext/>
      <w:keepLines/>
      <w:spacing w:before="280" w:after="290" w:line="376" w:lineRule="auto"/>
      <w:outlineLvl w:val="3"/>
    </w:pPr>
    <w:rPr>
      <w:rFonts w:ascii="Arial" w:hAnsi="Arial" w:eastAsia="黑体"/>
      <w:b/>
      <w:bCs/>
      <w:kern w:val="0"/>
      <w:sz w:val="28"/>
      <w:szCs w:val="28"/>
    </w:rPr>
  </w:style>
  <w:style w:type="character" w:customStyle="1" w:styleId="76">
    <w:name w:val="页眉 字符"/>
    <w:link w:val="31"/>
    <w:qFormat/>
    <w:uiPriority w:val="0"/>
    <w:rPr>
      <w:kern w:val="2"/>
      <w:sz w:val="18"/>
      <w:szCs w:val="18"/>
    </w:rPr>
  </w:style>
  <w:style w:type="character" w:customStyle="1" w:styleId="77">
    <w:name w:val="标题 6 字符"/>
    <w:link w:val="8"/>
    <w:qFormat/>
    <w:uiPriority w:val="0"/>
    <w:rPr>
      <w:rFonts w:ascii="Cambria" w:hAnsi="Cambria" w:eastAsia="宋体" w:cs="Times New Roman"/>
      <w:b/>
      <w:bCs/>
      <w:kern w:val="2"/>
      <w:sz w:val="24"/>
      <w:szCs w:val="24"/>
    </w:rPr>
  </w:style>
  <w:style w:type="character" w:customStyle="1" w:styleId="78">
    <w:name w:val="纯文本 字符"/>
    <w:link w:val="25"/>
    <w:qFormat/>
    <w:uiPriority w:val="0"/>
    <w:rPr>
      <w:rFonts w:ascii="Ari"/>
      <w:lang w:val="en-US" w:eastAsia="zh-CN" w:bidi="ar-SA"/>
    </w:rPr>
  </w:style>
  <w:style w:type="character" w:customStyle="1" w:styleId="79">
    <w:name w:val="引用 Char2"/>
    <w:qFormat/>
    <w:uiPriority w:val="99"/>
    <w:rPr>
      <w:i/>
      <w:iCs/>
      <w:color w:val="000000"/>
      <w:kern w:val="2"/>
      <w:sz w:val="21"/>
      <w:szCs w:val="24"/>
    </w:rPr>
  </w:style>
  <w:style w:type="character" w:customStyle="1" w:styleId="80">
    <w:name w:val="rvts11"/>
    <w:qFormat/>
    <w:uiPriority w:val="0"/>
    <w:rPr>
      <w:rFonts w:hint="default" w:ascii="KNLe" w:hAnsi="KNLe"/>
      <w:sz w:val="24"/>
      <w:szCs w:val="24"/>
      <w:u w:val="single"/>
    </w:rPr>
  </w:style>
  <w:style w:type="character" w:customStyle="1" w:styleId="81">
    <w:name w:val="标题 字符"/>
    <w:link w:val="42"/>
    <w:qFormat/>
    <w:uiPriority w:val="0"/>
    <w:rPr>
      <w:rFonts w:ascii="Arial" w:hAnsi="Arial"/>
      <w:b/>
      <w:sz w:val="32"/>
    </w:rPr>
  </w:style>
  <w:style w:type="character" w:customStyle="1" w:styleId="82">
    <w:name w:val="标题5 Char Char"/>
    <w:link w:val="83"/>
    <w:qFormat/>
    <w:uiPriority w:val="0"/>
    <w:rPr>
      <w:rFonts w:ascii="Arial" w:hAnsi="Arial"/>
      <w:b/>
      <w:bCs/>
      <w:sz w:val="24"/>
      <w:szCs w:val="32"/>
    </w:rPr>
  </w:style>
  <w:style w:type="paragraph" w:customStyle="1" w:styleId="83">
    <w:name w:val="标题5"/>
    <w:basedOn w:val="5"/>
    <w:link w:val="82"/>
    <w:qFormat/>
    <w:uiPriority w:val="0"/>
    <w:pPr>
      <w:numPr>
        <w:ilvl w:val="0"/>
        <w:numId w:val="0"/>
      </w:numPr>
      <w:spacing w:line="413" w:lineRule="auto"/>
    </w:pPr>
    <w:rPr>
      <w:rFonts w:ascii="Arial" w:hAnsi="Arial"/>
      <w:kern w:val="0"/>
      <w:sz w:val="24"/>
    </w:rPr>
  </w:style>
  <w:style w:type="character" w:customStyle="1" w:styleId="84">
    <w:name w:val="副标题 Char2"/>
    <w:qFormat/>
    <w:uiPriority w:val="11"/>
    <w:rPr>
      <w:rFonts w:ascii="Cambria" w:hAnsi="Cambria" w:cs="Times New Roman"/>
      <w:b/>
      <w:bCs/>
      <w:kern w:val="28"/>
      <w:sz w:val="32"/>
      <w:szCs w:val="32"/>
    </w:rPr>
  </w:style>
  <w:style w:type="character" w:customStyle="1" w:styleId="85">
    <w:name w:val="文档结构图 字符"/>
    <w:link w:val="16"/>
    <w:qFormat/>
    <w:uiPriority w:val="0"/>
    <w:rPr>
      <w:rFonts w:ascii="宋体"/>
      <w:kern w:val="2"/>
      <w:sz w:val="18"/>
      <w:szCs w:val="18"/>
    </w:rPr>
  </w:style>
  <w:style w:type="character" w:customStyle="1" w:styleId="86">
    <w:name w:val="日期 字符"/>
    <w:link w:val="27"/>
    <w:qFormat/>
    <w:uiPriority w:val="0"/>
    <w:rPr>
      <w:kern w:val="2"/>
      <w:sz w:val="21"/>
      <w:szCs w:val="24"/>
    </w:rPr>
  </w:style>
  <w:style w:type="character" w:customStyle="1" w:styleId="87">
    <w:name w:val="批注主题 Char1"/>
    <w:qFormat/>
    <w:uiPriority w:val="0"/>
    <w:rPr>
      <w:b/>
      <w:bCs/>
      <w:kern w:val="2"/>
      <w:sz w:val="21"/>
      <w:szCs w:val="22"/>
    </w:rPr>
  </w:style>
  <w:style w:type="character" w:customStyle="1" w:styleId="88">
    <w:name w:val="font31"/>
    <w:qFormat/>
    <w:uiPriority w:val="0"/>
    <w:rPr>
      <w:rFonts w:hint="eastAsia" w:ascii="宋体" w:hAnsi="宋体" w:eastAsia="宋体" w:cs="宋体"/>
      <w:color w:val="000000"/>
      <w:sz w:val="20"/>
      <w:szCs w:val="20"/>
      <w:u w:val="none"/>
    </w:rPr>
  </w:style>
  <w:style w:type="character" w:customStyle="1" w:styleId="89">
    <w:name w:val="明显引用 Char"/>
    <w:link w:val="90"/>
    <w:qFormat/>
    <w:uiPriority w:val="0"/>
    <w:rPr>
      <w:b/>
      <w:bCs/>
      <w:i/>
      <w:iCs/>
      <w:color w:val="4F81BD"/>
    </w:rPr>
  </w:style>
  <w:style w:type="paragraph" w:customStyle="1" w:styleId="90">
    <w:name w:val="明显引用1"/>
    <w:basedOn w:val="1"/>
    <w:next w:val="1"/>
    <w:link w:val="89"/>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91">
    <w:name w:val="标题 5 字符"/>
    <w:link w:val="7"/>
    <w:qFormat/>
    <w:uiPriority w:val="0"/>
    <w:rPr>
      <w:b/>
      <w:bCs/>
      <w:kern w:val="2"/>
      <w:sz w:val="28"/>
      <w:szCs w:val="28"/>
    </w:rPr>
  </w:style>
  <w:style w:type="character" w:customStyle="1" w:styleId="92">
    <w:name w:val="日期 Char1"/>
    <w:qFormat/>
    <w:uiPriority w:val="0"/>
    <w:rPr>
      <w:rFonts w:ascii="Calibri" w:hAnsi="Calibri" w:eastAsia="宋体" w:cs="Times New Roman"/>
    </w:rPr>
  </w:style>
  <w:style w:type="character" w:customStyle="1" w:styleId="93">
    <w:name w:val="批注框文本 Char1"/>
    <w:qFormat/>
    <w:uiPriority w:val="0"/>
    <w:rPr>
      <w:kern w:val="2"/>
      <w:sz w:val="18"/>
      <w:szCs w:val="18"/>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标题 9 字符"/>
    <w:link w:val="11"/>
    <w:qFormat/>
    <w:uiPriority w:val="0"/>
    <w:rPr>
      <w:rFonts w:ascii="Cambria" w:hAnsi="Cambria" w:eastAsia="宋体" w:cs="Times New Roman"/>
      <w:kern w:val="2"/>
      <w:sz w:val="21"/>
      <w:szCs w:val="21"/>
    </w:rPr>
  </w:style>
  <w:style w:type="character" w:customStyle="1" w:styleId="96">
    <w:name w:val="不明显参考1"/>
    <w:qFormat/>
    <w:uiPriority w:val="0"/>
    <w:rPr>
      <w:smallCaps/>
      <w:color w:val="C0504D"/>
      <w:u w:val="single"/>
    </w:rPr>
  </w:style>
  <w:style w:type="character" w:customStyle="1" w:styleId="97">
    <w:name w:val="批注文字 Char1"/>
    <w:qFormat/>
    <w:uiPriority w:val="0"/>
    <w:rPr>
      <w:rFonts w:ascii="Calibri" w:hAnsi="Calibri" w:eastAsia="宋体" w:cs="Times New Roman"/>
    </w:rPr>
  </w:style>
  <w:style w:type="character" w:customStyle="1" w:styleId="98">
    <w:name w:val="标题 Char2"/>
    <w:qFormat/>
    <w:uiPriority w:val="10"/>
    <w:rPr>
      <w:rFonts w:ascii="Cambria" w:hAnsi="Cambria" w:cs="Times New Roman"/>
      <w:b/>
      <w:bCs/>
      <w:kern w:val="2"/>
      <w:sz w:val="32"/>
      <w:szCs w:val="32"/>
    </w:rPr>
  </w:style>
  <w:style w:type="character" w:customStyle="1" w:styleId="99">
    <w:name w:val="正文文本 3 Char1"/>
    <w:semiHidden/>
    <w:qFormat/>
    <w:uiPriority w:val="99"/>
    <w:rPr>
      <w:kern w:val="2"/>
      <w:sz w:val="16"/>
      <w:szCs w:val="16"/>
    </w:rPr>
  </w:style>
  <w:style w:type="character" w:customStyle="1" w:styleId="100">
    <w:name w:val="批注主题 Char2"/>
    <w:qFormat/>
    <w:uiPriority w:val="0"/>
    <w:rPr>
      <w:b/>
      <w:bCs/>
      <w:kern w:val="2"/>
      <w:sz w:val="21"/>
    </w:rPr>
  </w:style>
  <w:style w:type="character" w:customStyle="1" w:styleId="101">
    <w:name w:val="正文文本 Char_0"/>
    <w:link w:val="102"/>
    <w:qFormat/>
    <w:uiPriority w:val="0"/>
    <w:rPr>
      <w:szCs w:val="24"/>
    </w:rPr>
  </w:style>
  <w:style w:type="paragraph" w:customStyle="1" w:styleId="102">
    <w:name w:val="正文文本_0"/>
    <w:basedOn w:val="61"/>
    <w:link w:val="101"/>
    <w:qFormat/>
    <w:uiPriority w:val="0"/>
    <w:pPr>
      <w:spacing w:after="120"/>
    </w:pPr>
    <w:rPr>
      <w:kern w:val="0"/>
      <w:sz w:val="20"/>
    </w:rPr>
  </w:style>
  <w:style w:type="character" w:customStyle="1" w:styleId="103">
    <w:name w:val="副标题 字符"/>
    <w:link w:val="34"/>
    <w:qFormat/>
    <w:uiPriority w:val="0"/>
    <w:rPr>
      <w:rFonts w:ascii="Cambria" w:hAnsi="Cambria"/>
      <w:b/>
      <w:bCs/>
      <w:kern w:val="28"/>
      <w:sz w:val="32"/>
      <w:szCs w:val="32"/>
    </w:rPr>
  </w:style>
  <w:style w:type="character" w:customStyle="1" w:styleId="104">
    <w:name w:val="bookmark"/>
    <w:basedOn w:val="48"/>
    <w:qFormat/>
    <w:uiPriority w:val="0"/>
  </w:style>
  <w:style w:type="character" w:customStyle="1" w:styleId="105">
    <w:name w:val="标题 5 Char_0"/>
    <w:link w:val="106"/>
    <w:qFormat/>
    <w:uiPriority w:val="0"/>
    <w:rPr>
      <w:rFonts w:ascii="Calibri" w:hAnsi="Calibri"/>
      <w:b/>
      <w:bCs/>
      <w:sz w:val="28"/>
      <w:szCs w:val="28"/>
    </w:rPr>
  </w:style>
  <w:style w:type="paragraph" w:customStyle="1" w:styleId="106">
    <w:name w:val="标题 5_0"/>
    <w:basedOn w:val="61"/>
    <w:next w:val="61"/>
    <w:link w:val="105"/>
    <w:qFormat/>
    <w:uiPriority w:val="0"/>
    <w:pPr>
      <w:keepNext/>
      <w:keepLines/>
      <w:spacing w:before="280" w:after="290" w:line="372" w:lineRule="auto"/>
      <w:outlineLvl w:val="4"/>
    </w:pPr>
    <w:rPr>
      <w:rFonts w:ascii="Calibri" w:hAnsi="Calibri"/>
      <w:b/>
      <w:bCs/>
      <w:kern w:val="0"/>
      <w:sz w:val="28"/>
      <w:szCs w:val="28"/>
    </w:rPr>
  </w:style>
  <w:style w:type="character" w:customStyle="1" w:styleId="107">
    <w:name w:val="正文文本缩进 2 字符"/>
    <w:link w:val="28"/>
    <w:qFormat/>
    <w:uiPriority w:val="99"/>
    <w:rPr>
      <w:rFonts w:ascii="宋体"/>
    </w:rPr>
  </w:style>
  <w:style w:type="character" w:customStyle="1" w:styleId="108">
    <w:name w:val="批注文字 字符"/>
    <w:link w:val="17"/>
    <w:qFormat/>
    <w:uiPriority w:val="99"/>
    <w:rPr>
      <w:kern w:val="2"/>
      <w:sz w:val="21"/>
      <w:szCs w:val="24"/>
    </w:rPr>
  </w:style>
  <w:style w:type="character" w:customStyle="1" w:styleId="109">
    <w:name w:val="font11"/>
    <w:qFormat/>
    <w:uiPriority w:val="0"/>
    <w:rPr>
      <w:rFonts w:hint="eastAsia" w:ascii="宋体" w:hAnsi="宋体" w:eastAsia="宋体" w:cs="宋体"/>
      <w:color w:val="000000"/>
      <w:sz w:val="20"/>
      <w:szCs w:val="20"/>
      <w:u w:val="none"/>
    </w:rPr>
  </w:style>
  <w:style w:type="character" w:customStyle="1" w:styleId="110">
    <w:name w:val="明显参考1"/>
    <w:qFormat/>
    <w:uiPriority w:val="0"/>
    <w:rPr>
      <w:b/>
      <w:bCs/>
      <w:smallCaps/>
      <w:color w:val="C0504D"/>
      <w:spacing w:val="5"/>
      <w:u w:val="single"/>
    </w:rPr>
  </w:style>
  <w:style w:type="character" w:customStyle="1" w:styleId="111">
    <w:name w:val="超链接_0"/>
    <w:qFormat/>
    <w:uiPriority w:val="99"/>
    <w:rPr>
      <w:rFonts w:ascii="Calibri" w:hAnsi="Calibri"/>
      <w:color w:val="0000FF"/>
      <w:u w:val="single"/>
    </w:rPr>
  </w:style>
  <w:style w:type="character" w:customStyle="1" w:styleId="112">
    <w:name w:val="文档结构图 Char2"/>
    <w:semiHidden/>
    <w:qFormat/>
    <w:uiPriority w:val="99"/>
    <w:rPr>
      <w:rFonts w:ascii="宋体" w:hAnsi="Calibri" w:eastAsia="宋体" w:cs="Times New Roman"/>
      <w:sz w:val="18"/>
      <w:szCs w:val="18"/>
    </w:rPr>
  </w:style>
  <w:style w:type="character" w:customStyle="1" w:styleId="113">
    <w:name w:val="textcontents"/>
    <w:qFormat/>
    <w:uiPriority w:val="0"/>
    <w:rPr>
      <w:rFonts w:cs="Times New Roman"/>
    </w:rPr>
  </w:style>
  <w:style w:type="character" w:customStyle="1" w:styleId="114">
    <w:name w:val="标题 1 Char"/>
    <w:qFormat/>
    <w:uiPriority w:val="0"/>
    <w:rPr>
      <w:b/>
      <w:bCs/>
      <w:kern w:val="44"/>
      <w:sz w:val="32"/>
      <w:szCs w:val="44"/>
    </w:rPr>
  </w:style>
  <w:style w:type="character" w:customStyle="1" w:styleId="115">
    <w:name w:val="正文文本 字符"/>
    <w:link w:val="19"/>
    <w:qFormat/>
    <w:uiPriority w:val="0"/>
    <w:rPr>
      <w:rFonts w:eastAsia="幼圆"/>
      <w:b/>
      <w:bCs/>
      <w:kern w:val="2"/>
      <w:sz w:val="44"/>
      <w:szCs w:val="24"/>
    </w:rPr>
  </w:style>
  <w:style w:type="character" w:customStyle="1" w:styleId="116">
    <w:name w:val="标题 8 字符"/>
    <w:link w:val="10"/>
    <w:qFormat/>
    <w:uiPriority w:val="0"/>
    <w:rPr>
      <w:rFonts w:ascii="Cambria" w:hAnsi="Cambria" w:eastAsia="宋体" w:cs="Times New Roman"/>
      <w:kern w:val="2"/>
      <w:sz w:val="24"/>
      <w:szCs w:val="24"/>
    </w:rPr>
  </w:style>
  <w:style w:type="character" w:customStyle="1" w:styleId="117">
    <w:name w:val="副标题 Char1"/>
    <w:qFormat/>
    <w:uiPriority w:val="11"/>
    <w:rPr>
      <w:rFonts w:ascii="Cambria" w:hAnsi="Cambria" w:cs="Times New Roman"/>
      <w:b/>
      <w:bCs/>
      <w:kern w:val="28"/>
      <w:sz w:val="32"/>
      <w:szCs w:val="32"/>
    </w:rPr>
  </w:style>
  <w:style w:type="character" w:customStyle="1" w:styleId="118">
    <w:name w:val="批注主题 字符"/>
    <w:link w:val="43"/>
    <w:qFormat/>
    <w:uiPriority w:val="0"/>
    <w:rPr>
      <w:b/>
      <w:bCs/>
      <w:kern w:val="2"/>
      <w:sz w:val="21"/>
      <w:szCs w:val="24"/>
    </w:rPr>
  </w:style>
  <w:style w:type="character" w:customStyle="1" w:styleId="119">
    <w:name w:val="书籍标题1"/>
    <w:qFormat/>
    <w:uiPriority w:val="0"/>
    <w:rPr>
      <w:b/>
      <w:bCs/>
      <w:smallCaps/>
      <w:spacing w:val="5"/>
    </w:rPr>
  </w:style>
  <w:style w:type="character" w:customStyle="1" w:styleId="120">
    <w:name w:val="页脚 字符"/>
    <w:link w:val="30"/>
    <w:qFormat/>
    <w:uiPriority w:val="99"/>
    <w:rPr>
      <w:kern w:val="2"/>
      <w:sz w:val="18"/>
      <w:szCs w:val="18"/>
    </w:rPr>
  </w:style>
  <w:style w:type="character" w:customStyle="1" w:styleId="121">
    <w:name w:val="标题4 Char Char"/>
    <w:link w:val="122"/>
    <w:qFormat/>
    <w:uiPriority w:val="0"/>
    <w:rPr>
      <w:rFonts w:ascii="Arial" w:hAnsi="Arial"/>
      <w:b/>
      <w:bCs/>
      <w:sz w:val="24"/>
      <w:szCs w:val="32"/>
    </w:rPr>
  </w:style>
  <w:style w:type="paragraph" w:customStyle="1" w:styleId="122">
    <w:name w:val="标题4"/>
    <w:basedOn w:val="4"/>
    <w:next w:val="22"/>
    <w:link w:val="121"/>
    <w:qFormat/>
    <w:uiPriority w:val="0"/>
    <w:pPr>
      <w:numPr>
        <w:ilvl w:val="0"/>
        <w:numId w:val="0"/>
      </w:numPr>
      <w:spacing w:line="413" w:lineRule="auto"/>
    </w:pPr>
    <w:rPr>
      <w:rFonts w:ascii="Arial" w:hAnsi="Arial"/>
      <w:kern w:val="0"/>
      <w:sz w:val="24"/>
    </w:rPr>
  </w:style>
  <w:style w:type="character" w:customStyle="1" w:styleId="123">
    <w:name w:val="正文文本 Char1"/>
    <w:qFormat/>
    <w:uiPriority w:val="0"/>
    <w:rPr>
      <w:rFonts w:ascii="Calibri" w:hAnsi="Calibri" w:eastAsia="宋体" w:cs="Times New Roman"/>
    </w:rPr>
  </w:style>
  <w:style w:type="character" w:customStyle="1" w:styleId="124">
    <w:name w:val="明显引用 Char1"/>
    <w:qFormat/>
    <w:uiPriority w:val="30"/>
    <w:rPr>
      <w:b/>
      <w:bCs/>
      <w:i/>
      <w:iCs/>
      <w:color w:val="4F81BD"/>
      <w:kern w:val="2"/>
      <w:sz w:val="21"/>
    </w:rPr>
  </w:style>
  <w:style w:type="character" w:customStyle="1" w:styleId="125">
    <w:name w:val="页眉 Char1"/>
    <w:semiHidden/>
    <w:qFormat/>
    <w:uiPriority w:val="99"/>
    <w:rPr>
      <w:rFonts w:ascii="Calibri" w:hAnsi="Calibri" w:eastAsia="宋体" w:cs="Times New Roman"/>
      <w:sz w:val="18"/>
      <w:szCs w:val="18"/>
    </w:rPr>
  </w:style>
  <w:style w:type="character" w:customStyle="1" w:styleId="126">
    <w:name w:val="不明显强调1"/>
    <w:qFormat/>
    <w:uiPriority w:val="0"/>
    <w:rPr>
      <w:i/>
      <w:iCs/>
      <w:color w:val="808080"/>
    </w:rPr>
  </w:style>
  <w:style w:type="character" w:customStyle="1" w:styleId="127">
    <w:name w:val="正文文本 3 字符"/>
    <w:link w:val="18"/>
    <w:qFormat/>
    <w:uiPriority w:val="0"/>
    <w:rPr>
      <w:rFonts w:ascii="宋体"/>
      <w:kern w:val="2"/>
      <w:sz w:val="24"/>
    </w:rPr>
  </w:style>
  <w:style w:type="character" w:customStyle="1" w:styleId="128">
    <w:name w:val="正文文本缩进 3 字符"/>
    <w:link w:val="36"/>
    <w:qFormat/>
    <w:uiPriority w:val="0"/>
    <w:rPr>
      <w:kern w:val="2"/>
      <w:sz w:val="16"/>
    </w:rPr>
  </w:style>
  <w:style w:type="character" w:customStyle="1" w:styleId="129">
    <w:name w:val="font21"/>
    <w:qFormat/>
    <w:uiPriority w:val="0"/>
    <w:rPr>
      <w:rFonts w:hint="eastAsia" w:ascii="宋体" w:hAnsi="宋体" w:eastAsia="宋体" w:cs="宋体"/>
      <w:color w:val="000000"/>
      <w:sz w:val="20"/>
      <w:szCs w:val="20"/>
      <w:u w:val="none"/>
    </w:rPr>
  </w:style>
  <w:style w:type="character" w:customStyle="1" w:styleId="130">
    <w:name w:val="批注框文本 字符"/>
    <w:link w:val="29"/>
    <w:qFormat/>
    <w:uiPriority w:val="0"/>
    <w:rPr>
      <w:kern w:val="2"/>
      <w:sz w:val="18"/>
      <w:szCs w:val="18"/>
    </w:rPr>
  </w:style>
  <w:style w:type="character" w:customStyle="1" w:styleId="131">
    <w:name w:val="标题 7 字符"/>
    <w:link w:val="9"/>
    <w:qFormat/>
    <w:uiPriority w:val="0"/>
    <w:rPr>
      <w:b/>
      <w:bCs/>
      <w:kern w:val="2"/>
      <w:sz w:val="24"/>
      <w:szCs w:val="24"/>
    </w:rPr>
  </w:style>
  <w:style w:type="character" w:customStyle="1" w:styleId="132">
    <w:name w:val="标题 1 字符"/>
    <w:link w:val="3"/>
    <w:qFormat/>
    <w:uiPriority w:val="0"/>
    <w:rPr>
      <w:rFonts w:ascii="Times New Roman" w:hAnsi="Times New Roman" w:eastAsia="宋体" w:cs="Times New Roman"/>
      <w:b/>
      <w:bCs/>
      <w:kern w:val="44"/>
      <w:sz w:val="32"/>
      <w:szCs w:val="44"/>
    </w:rPr>
  </w:style>
  <w:style w:type="character" w:customStyle="1" w:styleId="133">
    <w:name w:val="文档结构图 Char1"/>
    <w:qFormat/>
    <w:uiPriority w:val="0"/>
    <w:rPr>
      <w:rFonts w:ascii="宋体" w:hAnsi="Calibri" w:eastAsia="宋体" w:cs="Times New Roman"/>
      <w:sz w:val="18"/>
      <w:szCs w:val="18"/>
    </w:rPr>
  </w:style>
  <w:style w:type="character" w:customStyle="1" w:styleId="134">
    <w:name w:val="标题 2 Char_0"/>
    <w:link w:val="135"/>
    <w:qFormat/>
    <w:uiPriority w:val="0"/>
    <w:rPr>
      <w:rFonts w:ascii="Cambria" w:hAnsi="Cambria"/>
      <w:b/>
      <w:bCs/>
      <w:sz w:val="32"/>
      <w:szCs w:val="32"/>
    </w:rPr>
  </w:style>
  <w:style w:type="paragraph" w:customStyle="1" w:styleId="135">
    <w:name w:val="标题 2_0"/>
    <w:basedOn w:val="61"/>
    <w:next w:val="61"/>
    <w:link w:val="134"/>
    <w:unhideWhenUsed/>
    <w:qFormat/>
    <w:uiPriority w:val="0"/>
    <w:pPr>
      <w:keepNext/>
      <w:keepLines/>
      <w:spacing w:before="260" w:after="260" w:line="416" w:lineRule="auto"/>
      <w:outlineLvl w:val="1"/>
    </w:pPr>
    <w:rPr>
      <w:rFonts w:ascii="Cambria" w:hAnsi="Cambria"/>
      <w:b/>
      <w:bCs/>
      <w:kern w:val="0"/>
      <w:sz w:val="32"/>
      <w:szCs w:val="32"/>
    </w:rPr>
  </w:style>
  <w:style w:type="character" w:customStyle="1" w:styleId="136">
    <w:name w:val="日期 Char2"/>
    <w:semiHidden/>
    <w:qFormat/>
    <w:uiPriority w:val="99"/>
    <w:rPr>
      <w:rFonts w:ascii="Calibri" w:hAnsi="Calibri" w:eastAsia="宋体" w:cs="Times New Roman"/>
    </w:rPr>
  </w:style>
  <w:style w:type="character" w:customStyle="1" w:styleId="137">
    <w:name w:val="批注框文本 Char2"/>
    <w:semiHidden/>
    <w:qFormat/>
    <w:uiPriority w:val="99"/>
    <w:rPr>
      <w:rFonts w:ascii="Calibri" w:hAnsi="Calibri" w:eastAsia="宋体" w:cs="Times New Roman"/>
      <w:sz w:val="18"/>
      <w:szCs w:val="18"/>
    </w:rPr>
  </w:style>
  <w:style w:type="character" w:customStyle="1" w:styleId="138">
    <w:name w:val="标题 4 字符"/>
    <w:link w:val="6"/>
    <w:qFormat/>
    <w:uiPriority w:val="0"/>
    <w:rPr>
      <w:rFonts w:ascii="Cambria" w:hAnsi="Cambria" w:eastAsia="宋体" w:cs="Times New Roman"/>
      <w:b/>
      <w:bCs/>
      <w:kern w:val="2"/>
      <w:sz w:val="28"/>
      <w:szCs w:val="28"/>
    </w:rPr>
  </w:style>
  <w:style w:type="character" w:customStyle="1" w:styleId="139">
    <w:name w:val="列出段落 Char"/>
    <w:link w:val="140"/>
    <w:qFormat/>
    <w:locked/>
    <w:uiPriority w:val="99"/>
    <w:rPr>
      <w:kern w:val="2"/>
      <w:sz w:val="21"/>
      <w:szCs w:val="24"/>
    </w:rPr>
  </w:style>
  <w:style w:type="paragraph" w:customStyle="1" w:styleId="140">
    <w:name w:val="List Paragraph1"/>
    <w:basedOn w:val="1"/>
    <w:link w:val="139"/>
    <w:qFormat/>
    <w:uiPriority w:val="99"/>
    <w:pPr>
      <w:ind w:firstLine="420" w:firstLineChars="200"/>
    </w:pPr>
  </w:style>
  <w:style w:type="paragraph" w:customStyle="1" w:styleId="141">
    <w:name w:val="样式 标题 3 + (中文) 黑体 小四 非加粗 段前: 7.8 磅 段后: 0 磅 行距: 固定值 20 磅"/>
    <w:basedOn w:val="5"/>
    <w:next w:val="1"/>
    <w:qFormat/>
    <w:uiPriority w:val="0"/>
    <w:pPr>
      <w:spacing w:before="0" w:after="0" w:line="400" w:lineRule="exact"/>
    </w:pPr>
    <w:rPr>
      <w:rFonts w:eastAsia="黑体" w:cs="宋体"/>
      <w:b w:val="0"/>
      <w:bCs w:val="0"/>
      <w:sz w:val="24"/>
      <w:szCs w:val="20"/>
    </w:rPr>
  </w:style>
  <w:style w:type="paragraph" w:customStyle="1" w:styleId="142">
    <w:name w:val="_Style 34"/>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3">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4">
    <w:name w:val="_Style 36"/>
    <w:next w:val="1"/>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45">
    <w:name w:val="空半行"/>
    <w:basedOn w:val="1"/>
    <w:qFormat/>
    <w:uiPriority w:val="0"/>
    <w:pPr>
      <w:adjustRightInd w:val="0"/>
      <w:spacing w:line="120" w:lineRule="exact"/>
      <w:textAlignment w:val="baseline"/>
    </w:pPr>
    <w:rPr>
      <w:rFonts w:ascii="Calibri" w:hAnsi="Calibri" w:eastAsia="仿宋_GB2312"/>
      <w:color w:val="FFFFFF"/>
      <w:kern w:val="0"/>
      <w:sz w:val="30"/>
      <w:szCs w:val="22"/>
    </w:rPr>
  </w:style>
  <w:style w:type="paragraph" w:customStyle="1" w:styleId="146">
    <w:name w:val="1方案格式1"/>
    <w:basedOn w:val="3"/>
    <w:qFormat/>
    <w:uiPriority w:val="0"/>
    <w:pPr>
      <w:numPr>
        <w:numId w:val="2"/>
      </w:numPr>
      <w:tabs>
        <w:tab w:val="left" w:pos="360"/>
      </w:tabs>
      <w:spacing w:beforeLines="50" w:afterLines="50" w:line="360" w:lineRule="auto"/>
      <w:ind w:left="0" w:firstLine="0"/>
    </w:pPr>
    <w:rPr>
      <w:rFonts w:eastAsia="微软雅黑"/>
      <w:bCs w:val="0"/>
      <w:sz w:val="48"/>
    </w:rPr>
  </w:style>
  <w:style w:type="paragraph" w:customStyle="1" w:styleId="147">
    <w:name w:val="格式３"/>
    <w:basedOn w:val="1"/>
    <w:qFormat/>
    <w:uiPriority w:val="0"/>
    <w:pPr>
      <w:spacing w:line="420" w:lineRule="exact"/>
      <w:ind w:left="600" w:hanging="600" w:hangingChars="250"/>
    </w:pPr>
    <w:rPr>
      <w:rFonts w:ascii="宋体" w:hAnsi="宋体"/>
      <w:color w:val="000000"/>
      <w:sz w:val="24"/>
      <w:szCs w:val="20"/>
    </w:rPr>
  </w:style>
  <w:style w:type="paragraph" w:customStyle="1" w:styleId="148">
    <w:name w:val="正文1"/>
    <w:qFormat/>
    <w:uiPriority w:val="0"/>
    <w:pPr>
      <w:widowControl w:val="0"/>
      <w:jc w:val="both"/>
    </w:pPr>
    <w:rPr>
      <w:rFonts w:ascii="Calibri" w:hAnsi="Calibri" w:eastAsia="宋体" w:cs="Times New Roman"/>
      <w:lang w:val="en-US" w:eastAsia="zh-CN" w:bidi="ar-SA"/>
    </w:rPr>
  </w:style>
  <w:style w:type="paragraph" w:customStyle="1" w:styleId="149">
    <w:name w:val="列出段落1"/>
    <w:basedOn w:val="1"/>
    <w:qFormat/>
    <w:uiPriority w:val="99"/>
    <w:pPr>
      <w:widowControl/>
      <w:ind w:left="720"/>
      <w:contextualSpacing/>
      <w:jc w:val="left"/>
    </w:pPr>
    <w:rPr>
      <w:rFonts w:ascii="Arial" w:hAnsi="Arial" w:eastAsia="黑体"/>
      <w:kern w:val="0"/>
      <w:sz w:val="24"/>
      <w:lang w:eastAsia="en-US"/>
    </w:rPr>
  </w:style>
  <w:style w:type="paragraph" w:customStyle="1" w:styleId="150">
    <w:name w:val="正文空2字"/>
    <w:basedOn w:val="1"/>
    <w:qFormat/>
    <w:locked/>
    <w:uiPriority w:val="0"/>
    <w:pPr>
      <w:spacing w:beforeLines="40" w:afterLines="40" w:line="360" w:lineRule="auto"/>
      <w:ind w:firstLine="200" w:firstLineChars="200"/>
    </w:pPr>
    <w:rPr>
      <w:kern w:val="0"/>
      <w:sz w:val="24"/>
      <w:lang w:bidi="en-US"/>
    </w:rPr>
  </w:style>
  <w:style w:type="paragraph" w:customStyle="1" w:styleId="151">
    <w:name w:val="正文_0_0_0"/>
    <w:qFormat/>
    <w:uiPriority w:val="0"/>
    <w:pPr>
      <w:widowControl w:val="0"/>
      <w:jc w:val="both"/>
    </w:pPr>
    <w:rPr>
      <w:rFonts w:ascii="Times New Roman" w:hAnsi="Times New Roman" w:eastAsia="宋体" w:cs="Times New Roman"/>
      <w:lang w:val="en-US" w:eastAsia="zh-CN" w:bidi="ar-SA"/>
    </w:rPr>
  </w:style>
  <w:style w:type="paragraph" w:customStyle="1" w:styleId="152">
    <w:name w:val="目录 5_0"/>
    <w:basedOn w:val="61"/>
    <w:next w:val="61"/>
    <w:qFormat/>
    <w:uiPriority w:val="39"/>
    <w:pPr>
      <w:ind w:left="1680" w:leftChars="800"/>
    </w:pPr>
    <w:rPr>
      <w:rFonts w:ascii="Calibri" w:hAnsi="Calibri"/>
    </w:rPr>
  </w:style>
  <w:style w:type="paragraph" w:customStyle="1" w:styleId="153">
    <w:name w:val="修订1"/>
    <w:qFormat/>
    <w:uiPriority w:val="0"/>
    <w:rPr>
      <w:rFonts w:ascii="Times New Roman" w:hAnsi="Times New Roman" w:eastAsia="宋体" w:cs="Times New Roman"/>
      <w:kern w:val="2"/>
      <w:sz w:val="21"/>
      <w:szCs w:val="24"/>
      <w:lang w:val="en-US" w:eastAsia="zh-CN" w:bidi="ar-SA"/>
    </w:rPr>
  </w:style>
  <w:style w:type="paragraph" w:customStyle="1" w:styleId="154">
    <w:name w:val="标题 11"/>
    <w:basedOn w:val="148"/>
    <w:next w:val="148"/>
    <w:qFormat/>
    <w:uiPriority w:val="0"/>
    <w:pPr>
      <w:keepNext/>
      <w:keepLines/>
      <w:spacing w:before="340" w:after="330" w:line="576" w:lineRule="auto"/>
      <w:outlineLvl w:val="0"/>
    </w:pPr>
    <w:rPr>
      <w:rFonts w:ascii="Times New Roman" w:hAnsi="Times New Roman" w:eastAsia="Times New Roman"/>
      <w:b/>
      <w:kern w:val="44"/>
      <w:sz w:val="44"/>
      <w:lang w:val="zh-CN"/>
    </w:rPr>
  </w:style>
  <w:style w:type="paragraph" w:customStyle="1" w:styleId="155">
    <w:name w:val="正文 + 行距: 固定值 20 磅"/>
    <w:basedOn w:val="1"/>
    <w:qFormat/>
    <w:uiPriority w:val="0"/>
    <w:pPr>
      <w:spacing w:line="400" w:lineRule="exact"/>
      <w:ind w:firstLine="716" w:firstLineChars="341"/>
    </w:pPr>
    <w:rPr>
      <w:rFonts w:ascii="Calibri" w:hAnsi="Calibri"/>
      <w:szCs w:val="22"/>
    </w:rPr>
  </w:style>
  <w:style w:type="paragraph" w:customStyle="1" w:styleId="156">
    <w:name w:val="TOC 标题1"/>
    <w:basedOn w:val="3"/>
    <w:next w:val="1"/>
    <w:qFormat/>
    <w:uiPriority w:val="0"/>
    <w:pPr>
      <w:widowControl/>
      <w:numPr>
        <w:numId w:val="0"/>
      </w:numPr>
      <w:spacing w:before="480" w:after="0" w:line="276" w:lineRule="auto"/>
      <w:jc w:val="left"/>
      <w:outlineLvl w:val="9"/>
    </w:pPr>
    <w:rPr>
      <w:rFonts w:ascii="Cambria" w:hAnsi="Cambria"/>
      <w:color w:val="365F91"/>
      <w:kern w:val="0"/>
      <w:sz w:val="28"/>
      <w:szCs w:val="28"/>
    </w:rPr>
  </w:style>
  <w:style w:type="paragraph" w:customStyle="1" w:styleId="157">
    <w:name w:val="表格文字"/>
    <w:basedOn w:val="1"/>
    <w:link w:val="188"/>
    <w:qFormat/>
    <w:uiPriority w:val="0"/>
    <w:pPr>
      <w:adjustRightInd w:val="0"/>
      <w:spacing w:line="420" w:lineRule="atLeast"/>
      <w:jc w:val="left"/>
      <w:textAlignment w:val="baseline"/>
    </w:pPr>
    <w:rPr>
      <w:rFonts w:ascii="Calibri" w:hAnsi="Calibri"/>
      <w:kern w:val="0"/>
      <w:szCs w:val="22"/>
    </w:rPr>
  </w:style>
  <w:style w:type="paragraph" w:customStyle="1" w:styleId="158">
    <w:name w:val="flNote"/>
    <w:basedOn w:val="1"/>
    <w:qFormat/>
    <w:uiPriority w:val="0"/>
    <w:pPr>
      <w:adjustRightInd w:val="0"/>
      <w:spacing w:before="320" w:after="160" w:line="360" w:lineRule="atLeast"/>
      <w:jc w:val="center"/>
      <w:textAlignment w:val="baseline"/>
    </w:pPr>
    <w:rPr>
      <w:rFonts w:ascii="Arial" w:hAnsi="Calibri" w:eastAsia="黑体"/>
      <w:kern w:val="0"/>
      <w:sz w:val="30"/>
      <w:szCs w:val="22"/>
    </w:rPr>
  </w:style>
  <w:style w:type="paragraph" w:customStyle="1" w:styleId="159">
    <w:name w:val="文章正文"/>
    <w:basedOn w:val="1"/>
    <w:qFormat/>
    <w:uiPriority w:val="99"/>
    <w:pPr>
      <w:adjustRightInd w:val="0"/>
      <w:snapToGrid w:val="0"/>
      <w:spacing w:line="360" w:lineRule="auto"/>
      <w:ind w:firstLine="480" w:firstLineChars="200"/>
    </w:pPr>
    <w:rPr>
      <w:rFonts w:ascii="仿宋_GB2312" w:hAnsi="宋体" w:eastAsia="仿宋_GB2312"/>
      <w:color w:val="FF0000"/>
      <w:sz w:val="24"/>
    </w:rPr>
  </w:style>
  <w:style w:type="paragraph" w:customStyle="1" w:styleId="160">
    <w:name w:val="表格"/>
    <w:basedOn w:val="1"/>
    <w:qFormat/>
    <w:uiPriority w:val="0"/>
    <w:pPr>
      <w:jc w:val="center"/>
      <w:textAlignment w:val="center"/>
    </w:pPr>
    <w:rPr>
      <w:rFonts w:ascii="华文细黑" w:hAnsi="华文细黑"/>
      <w:kern w:val="0"/>
      <w:szCs w:val="22"/>
    </w:rPr>
  </w:style>
  <w:style w:type="paragraph" w:customStyle="1" w:styleId="161">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163">
    <w:name w:val="列出段落2"/>
    <w:basedOn w:val="1"/>
    <w:qFormat/>
    <w:uiPriority w:val="99"/>
    <w:pPr>
      <w:ind w:firstLine="420" w:firstLineChars="200"/>
    </w:pPr>
  </w:style>
  <w:style w:type="paragraph" w:customStyle="1" w:styleId="164">
    <w:name w:val="6'"/>
    <w:basedOn w:val="1"/>
    <w:qFormat/>
    <w:uiPriority w:val="0"/>
    <w:pPr>
      <w:autoSpaceDE w:val="0"/>
      <w:autoSpaceDN w:val="0"/>
      <w:adjustRightInd w:val="0"/>
      <w:snapToGrid w:val="0"/>
      <w:spacing w:line="320" w:lineRule="exact"/>
      <w:jc w:val="center"/>
      <w:textAlignment w:val="baseline"/>
    </w:pPr>
    <w:rPr>
      <w:rFonts w:ascii="Calibri" w:hAnsi="Calibri"/>
      <w:spacing w:val="20"/>
      <w:kern w:val="28"/>
      <w:szCs w:val="22"/>
    </w:rPr>
  </w:style>
  <w:style w:type="paragraph" w:customStyle="1" w:styleId="165">
    <w:name w:val="Char Char Char Char Char Char Char"/>
    <w:basedOn w:val="1"/>
    <w:qFormat/>
    <w:uiPriority w:val="0"/>
    <w:pPr>
      <w:adjustRightInd w:val="0"/>
      <w:spacing w:line="360" w:lineRule="auto"/>
    </w:pPr>
    <w:rPr>
      <w:kern w:val="0"/>
      <w:sz w:val="24"/>
      <w:szCs w:val="20"/>
    </w:rPr>
  </w:style>
  <w:style w:type="paragraph" w:customStyle="1" w:styleId="166">
    <w:name w:val="2方案格式2"/>
    <w:basedOn w:val="146"/>
    <w:qFormat/>
    <w:uiPriority w:val="0"/>
    <w:pPr>
      <w:numPr>
        <w:ilvl w:val="1"/>
      </w:numPr>
      <w:spacing w:before="50" w:after="50" w:line="240" w:lineRule="auto"/>
      <w:outlineLvl w:val="1"/>
    </w:pPr>
    <w:rPr>
      <w:sz w:val="44"/>
    </w:rPr>
  </w:style>
  <w:style w:type="paragraph" w:customStyle="1" w:styleId="167">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8">
    <w:name w:val="文档正文"/>
    <w:basedOn w:val="1"/>
    <w:qFormat/>
    <w:uiPriority w:val="0"/>
    <w:pPr>
      <w:adjustRightInd w:val="0"/>
      <w:spacing w:line="480" w:lineRule="atLeast"/>
      <w:ind w:firstLine="567"/>
      <w:textAlignment w:val="baseline"/>
    </w:pPr>
    <w:rPr>
      <w:rFonts w:ascii="Ari" w:eastAsia="Ari"/>
      <w:kern w:val="0"/>
      <w:sz w:val="28"/>
      <w:szCs w:val="20"/>
    </w:rPr>
  </w:style>
  <w:style w:type="paragraph" w:customStyle="1" w:styleId="169">
    <w:name w:val="tx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0">
    <w:name w:val="目录 4_0"/>
    <w:basedOn w:val="61"/>
    <w:next w:val="61"/>
    <w:qFormat/>
    <w:uiPriority w:val="39"/>
    <w:pPr>
      <w:ind w:left="1260" w:leftChars="600"/>
    </w:pPr>
    <w:rPr>
      <w:rFonts w:ascii="Calibri" w:hAnsi="Calibri"/>
    </w:rPr>
  </w:style>
  <w:style w:type="paragraph" w:customStyle="1" w:styleId="171">
    <w:name w:val="目录 3_0"/>
    <w:basedOn w:val="61"/>
    <w:next w:val="61"/>
    <w:qFormat/>
    <w:uiPriority w:val="39"/>
    <w:pPr>
      <w:ind w:left="840" w:leftChars="400"/>
    </w:pPr>
    <w:rPr>
      <w:rFonts w:ascii="Calibri" w:hAnsi="Calibri"/>
    </w:rPr>
  </w:style>
  <w:style w:type="paragraph" w:customStyle="1" w:styleId="172">
    <w:name w:val="样式 标题 1 + 黑体 三号 非加粗 居中 段前: 6 磅 段后: 6 磅 行距: 固定值 20 磅"/>
    <w:basedOn w:val="3"/>
    <w:qFormat/>
    <w:uiPriority w:val="0"/>
    <w:pPr>
      <w:numPr>
        <w:numId w:val="0"/>
      </w:numPr>
      <w:spacing w:before="120" w:after="120" w:line="400" w:lineRule="exact"/>
    </w:pPr>
    <w:rPr>
      <w:rFonts w:ascii="黑体" w:hAnsi="黑体" w:eastAsia="黑体"/>
      <w:b w:val="0"/>
      <w:bCs w:val="0"/>
      <w:szCs w:val="20"/>
    </w:rPr>
  </w:style>
  <w:style w:type="paragraph" w:customStyle="1" w:styleId="173">
    <w:name w:val="1"/>
    <w:basedOn w:val="1"/>
    <w:next w:val="1"/>
    <w:qFormat/>
    <w:uiPriority w:val="0"/>
    <w:rPr>
      <w:rFonts w:ascii="Calibri" w:hAnsi="Calibri"/>
      <w:szCs w:val="22"/>
    </w:rPr>
  </w:style>
  <w:style w:type="paragraph" w:customStyle="1" w:styleId="174">
    <w:name w:val="Blockquote_0"/>
    <w:basedOn w:val="61"/>
    <w:qFormat/>
    <w:uiPriority w:val="0"/>
    <w:pPr>
      <w:autoSpaceDE w:val="0"/>
      <w:autoSpaceDN w:val="0"/>
      <w:adjustRightInd w:val="0"/>
      <w:spacing w:before="100" w:after="100"/>
      <w:ind w:left="360" w:right="360"/>
      <w:jc w:val="left"/>
    </w:pPr>
    <w:rPr>
      <w:rFonts w:ascii="Calibri" w:hAnsi="Calibri" w:eastAsia="Times New Roman"/>
      <w:kern w:val="0"/>
      <w:sz w:val="24"/>
      <w:szCs w:val="20"/>
    </w:rPr>
  </w:style>
  <w:style w:type="paragraph" w:customStyle="1" w:styleId="175">
    <w:name w:val="列出段落11"/>
    <w:basedOn w:val="1"/>
    <w:qFormat/>
    <w:uiPriority w:val="0"/>
    <w:pPr>
      <w:widowControl/>
      <w:ind w:left="720"/>
      <w:contextualSpacing/>
      <w:jc w:val="left"/>
    </w:pPr>
    <w:rPr>
      <w:rFonts w:ascii="Arial" w:hAnsi="Arial" w:eastAsia="黑体"/>
      <w:kern w:val="0"/>
      <w:sz w:val="24"/>
      <w:lang w:eastAsia="en-US"/>
    </w:rPr>
  </w:style>
  <w:style w:type="paragraph" w:customStyle="1" w:styleId="176">
    <w:name w:val="样式 标题 2 + Times New Roman 四号 非加粗 段前: 5 磅 段后: 0 磅 行距: 固定值 20..._0"/>
    <w:basedOn w:val="1"/>
    <w:qFormat/>
    <w:uiPriority w:val="0"/>
    <w:pPr>
      <w:keepNext/>
      <w:keepLines/>
      <w:spacing w:before="100" w:line="360" w:lineRule="auto"/>
      <w:outlineLvl w:val="1"/>
    </w:pPr>
    <w:rPr>
      <w:rFonts w:eastAsia="Times New Roman" w:cs="宋体"/>
      <w:kern w:val="0"/>
      <w:sz w:val="28"/>
      <w:szCs w:val="20"/>
    </w:rPr>
  </w:style>
  <w:style w:type="paragraph" w:customStyle="1" w:styleId="177">
    <w:name w:val="op_mapdots_left"/>
    <w:basedOn w:val="1"/>
    <w:qFormat/>
    <w:uiPriority w:val="0"/>
    <w:pPr>
      <w:widowControl/>
      <w:spacing w:before="100" w:beforeAutospacing="1" w:after="100" w:afterAutospacing="1"/>
      <w:jc w:val="left"/>
    </w:pPr>
    <w:rPr>
      <w:rFonts w:ascii="宋体" w:hAnsi="宋体" w:cs="宋体"/>
      <w:kern w:val="0"/>
      <w:sz w:val="24"/>
    </w:rPr>
  </w:style>
  <w:style w:type="paragraph" w:customStyle="1" w:styleId="178">
    <w:name w:val="p0"/>
    <w:basedOn w:val="1"/>
    <w:qFormat/>
    <w:uiPriority w:val="0"/>
    <w:pPr>
      <w:widowControl/>
    </w:pPr>
    <w:rPr>
      <w:b/>
      <w:bCs/>
      <w:kern w:val="0"/>
      <w:sz w:val="24"/>
    </w:rPr>
  </w:style>
  <w:style w:type="paragraph" w:customStyle="1" w:styleId="179">
    <w:name w:val="Blockquote"/>
    <w:basedOn w:val="1"/>
    <w:qFormat/>
    <w:uiPriority w:val="0"/>
    <w:pPr>
      <w:autoSpaceDE w:val="0"/>
      <w:autoSpaceDN w:val="0"/>
      <w:adjustRightInd w:val="0"/>
      <w:spacing w:before="100" w:after="100"/>
      <w:ind w:left="360" w:right="360"/>
      <w:jc w:val="left"/>
    </w:pPr>
    <w:rPr>
      <w:rFonts w:ascii="Calibri" w:hAnsi="Calibri"/>
      <w:kern w:val="0"/>
      <w:sz w:val="24"/>
      <w:szCs w:val="22"/>
    </w:rPr>
  </w:style>
  <w:style w:type="paragraph" w:customStyle="1" w:styleId="180">
    <w:name w:val="3方案格式3"/>
    <w:basedOn w:val="166"/>
    <w:qFormat/>
    <w:uiPriority w:val="0"/>
    <w:pPr>
      <w:numPr>
        <w:ilvl w:val="2"/>
      </w:numPr>
      <w:outlineLvl w:val="2"/>
    </w:pPr>
    <w:rPr>
      <w:sz w:val="32"/>
    </w:rPr>
  </w:style>
  <w:style w:type="paragraph" w:customStyle="1" w:styleId="181">
    <w:name w:val="样式 标题 2 + Times New Roman 四号 非加粗 段前: 5 磅 段后: 0 磅 行距: 固定值 20..."/>
    <w:basedOn w:val="4"/>
    <w:qFormat/>
    <w:uiPriority w:val="0"/>
    <w:pPr>
      <w:numPr>
        <w:ilvl w:val="0"/>
        <w:numId w:val="0"/>
      </w:numPr>
      <w:spacing w:before="100" w:after="0" w:line="400" w:lineRule="exact"/>
    </w:pPr>
    <w:rPr>
      <w:rFonts w:ascii="Times New Roman" w:hAnsi="Times New Roman" w:eastAsia="黑体"/>
      <w:b w:val="0"/>
      <w:bCs w:val="0"/>
      <w:sz w:val="28"/>
      <w:szCs w:val="20"/>
    </w:rPr>
  </w:style>
  <w:style w:type="paragraph" w:customStyle="1" w:styleId="182">
    <w:name w:val="标题2"/>
    <w:basedOn w:val="4"/>
    <w:next w:val="19"/>
    <w:qFormat/>
    <w:uiPriority w:val="0"/>
    <w:pPr>
      <w:spacing w:before="156" w:after="156" w:line="360" w:lineRule="auto"/>
    </w:pPr>
    <w:rPr>
      <w:bCs w:val="0"/>
      <w:sz w:val="24"/>
    </w:rPr>
  </w:style>
  <w:style w:type="paragraph" w:customStyle="1" w:styleId="183">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84">
    <w:name w:val="正文11"/>
    <w:qFormat/>
    <w:uiPriority w:val="0"/>
    <w:rPr>
      <w:rFonts w:ascii="Calibri" w:hAnsi="Calibri" w:eastAsia="宋体" w:cs="Calibri"/>
      <w:sz w:val="24"/>
      <w:szCs w:val="24"/>
      <w:lang w:val="en-US" w:eastAsia="zh-CN" w:bidi="ar-SA"/>
    </w:rPr>
  </w:style>
  <w:style w:type="paragraph" w:customStyle="1" w:styleId="185">
    <w:name w:val="正文2"/>
    <w:qFormat/>
    <w:uiPriority w:val="0"/>
    <w:rPr>
      <w:rFonts w:ascii="Times New Roman" w:hAnsi="Times New Roman" w:eastAsia="微软雅黑" w:cs="Times New Roman"/>
      <w:sz w:val="24"/>
      <w:szCs w:val="24"/>
      <w:lang w:val="en-US" w:eastAsia="zh-CN" w:bidi="ar-SA"/>
    </w:rPr>
  </w:style>
  <w:style w:type="paragraph" w:customStyle="1" w:styleId="186">
    <w:name w:val="列出段落3"/>
    <w:basedOn w:val="1"/>
    <w:qFormat/>
    <w:uiPriority w:val="0"/>
    <w:pPr>
      <w:widowControl/>
      <w:adjustRightInd w:val="0"/>
      <w:snapToGrid w:val="0"/>
      <w:spacing w:after="200"/>
      <w:ind w:firstLine="420" w:firstLineChars="200"/>
      <w:jc w:val="left"/>
    </w:pPr>
    <w:rPr>
      <w:rFonts w:ascii="Tahoma" w:hAnsi="Tahoma" w:eastAsia="微软雅黑"/>
      <w:kern w:val="0"/>
      <w:sz w:val="22"/>
      <w:szCs w:val="22"/>
    </w:rPr>
  </w:style>
  <w:style w:type="paragraph" w:customStyle="1" w:styleId="187">
    <w:name w:val="纯文本2"/>
    <w:basedOn w:val="1"/>
    <w:qFormat/>
    <w:uiPriority w:val="0"/>
    <w:pPr>
      <w:jc w:val="left"/>
    </w:pPr>
    <w:rPr>
      <w:rFonts w:hint="eastAsia" w:ascii="宋体" w:hAnsi="宋体" w:cs="Courier New"/>
      <w:kern w:val="1"/>
      <w:sz w:val="24"/>
      <w:szCs w:val="20"/>
      <w:lang w:bidi="hi-IN"/>
    </w:rPr>
  </w:style>
  <w:style w:type="character" w:customStyle="1" w:styleId="188">
    <w:name w:val="表格文字 字符"/>
    <w:link w:val="157"/>
    <w:qFormat/>
    <w:uiPriority w:val="0"/>
    <w:rPr>
      <w:rFonts w:ascii="Calibri" w:hAnsi="Calibri" w:eastAsia="宋体" w:cs="Times New Roman"/>
      <w:sz w:val="21"/>
      <w:szCs w:val="22"/>
    </w:rPr>
  </w:style>
  <w:style w:type="paragraph" w:styleId="189">
    <w:name w:val="List Paragraph"/>
    <w:basedOn w:val="1"/>
    <w:qFormat/>
    <w:uiPriority w:val="99"/>
    <w:pPr>
      <w:ind w:firstLine="420" w:firstLineChars="200"/>
    </w:pPr>
  </w:style>
  <w:style w:type="paragraph" w:customStyle="1" w:styleId="190">
    <w:name w:val="trs_editor"/>
    <w:basedOn w:val="1"/>
    <w:qFormat/>
    <w:uiPriority w:val="0"/>
    <w:pPr>
      <w:widowControl/>
      <w:spacing w:before="100" w:beforeAutospacing="1" w:after="100" w:afterAutospacing="1"/>
      <w:jc w:val="left"/>
    </w:pPr>
    <w:rPr>
      <w:rFonts w:ascii="宋体" w:hAnsi="宋体" w:cs="宋体"/>
      <w:kern w:val="0"/>
      <w:sz w:val="24"/>
    </w:rPr>
  </w:style>
  <w:style w:type="paragraph" w:styleId="191">
    <w:name w:val="No Spacing"/>
    <w:qFormat/>
    <w:uiPriority w:val="1"/>
    <w:rPr>
      <w:rFonts w:ascii="Times New Roman" w:hAnsi="Times New Roman" w:eastAsia="宋体" w:cs="Times New Roman"/>
      <w:sz w:val="21"/>
      <w:szCs w:val="22"/>
      <w:lang w:val="en-US" w:eastAsia="zh-CN" w:bidi="ar-SA"/>
    </w:rPr>
  </w:style>
  <w:style w:type="paragraph" w:customStyle="1" w:styleId="192">
    <w:name w:val="3级"/>
    <w:basedOn w:val="1"/>
    <w:qFormat/>
    <w:uiPriority w:val="0"/>
    <w:pPr>
      <w:autoSpaceDE w:val="0"/>
      <w:autoSpaceDN w:val="0"/>
      <w:ind w:firstLine="280" w:firstLineChars="100"/>
      <w:jc w:val="left"/>
      <w:outlineLvl w:val="2"/>
    </w:pPr>
    <w:rPr>
      <w:kern w:val="0"/>
      <w:sz w:val="28"/>
      <w:szCs w:val="28"/>
    </w:rPr>
  </w:style>
  <w:style w:type="paragraph" w:customStyle="1" w:styleId="193">
    <w:name w:val="4级"/>
    <w:basedOn w:val="1"/>
    <w:qFormat/>
    <w:uiPriority w:val="0"/>
    <w:pPr>
      <w:autoSpaceDE w:val="0"/>
      <w:autoSpaceDN w:val="0"/>
      <w:spacing w:line="300" w:lineRule="auto"/>
      <w:jc w:val="left"/>
      <w:outlineLvl w:val="3"/>
    </w:pPr>
    <w:rPr>
      <w:rFonts w:eastAsia="楷体"/>
      <w:b/>
      <w:kern w:val="0"/>
      <w:sz w:val="28"/>
      <w:szCs w:val="28"/>
    </w:rPr>
  </w:style>
  <w:style w:type="paragraph" w:customStyle="1" w:styleId="194">
    <w:name w:val="！正文"/>
    <w:basedOn w:val="1"/>
    <w:qFormat/>
    <w:uiPriority w:val="0"/>
    <w:pPr>
      <w:spacing w:afterLines="50" w:line="560" w:lineRule="exact"/>
      <w:ind w:right="210" w:firstLine="420" w:firstLineChars="200"/>
    </w:pPr>
    <w:rPr>
      <w:rFonts w:ascii="宋体" w:hAnsi="宋体"/>
      <w:kern w:val="0"/>
      <w:szCs w:val="20"/>
    </w:rPr>
  </w:style>
  <w:style w:type="character" w:customStyle="1" w:styleId="195">
    <w:name w:val="additive /b"/>
    <w:qFormat/>
    <w:uiPriority w:val="0"/>
  </w:style>
  <w:style w:type="paragraph" w:customStyle="1" w:styleId="196">
    <w:name w:val="_Style 30"/>
    <w:basedOn w:val="1"/>
    <w:next w:val="189"/>
    <w:qFormat/>
    <w:uiPriority w:val="34"/>
    <w:pPr>
      <w:ind w:firstLine="420" w:firstLineChars="200"/>
    </w:pPr>
  </w:style>
  <w:style w:type="paragraph" w:customStyle="1" w:styleId="197">
    <w:name w:val="0表格样式"/>
    <w:qFormat/>
    <w:uiPriority w:val="99"/>
    <w:rPr>
      <w:rFonts w:ascii="Times New Roman" w:hAnsi="Times New Roman" w:eastAsia="仿宋" w:cs="仿宋_GB2312"/>
      <w:kern w:val="2"/>
      <w:sz w:val="21"/>
      <w:szCs w:val="28"/>
      <w:lang w:val="en-US" w:eastAsia="zh-CN" w:bidi="ar-SA"/>
    </w:rPr>
  </w:style>
  <w:style w:type="paragraph" w:customStyle="1" w:styleId="198">
    <w:name w:val="Table Paragraph"/>
    <w:basedOn w:val="1"/>
    <w:qFormat/>
    <w:uiPriority w:val="1"/>
    <w:pPr>
      <w:jc w:val="left"/>
    </w:pPr>
    <w:rPr>
      <w:rFonts w:ascii="等线" w:hAnsi="等线" w:eastAsia="等线"/>
      <w:kern w:val="0"/>
      <w:sz w:val="22"/>
      <w:szCs w:val="22"/>
      <w:lang w:eastAsia="en-US"/>
    </w:rPr>
  </w:style>
  <w:style w:type="paragraph" w:customStyle="1" w:styleId="199">
    <w:name w:val="一级条标题"/>
    <w:basedOn w:val="200"/>
    <w:next w:val="201"/>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200">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201">
    <w:name w:val="段"/>
    <w:basedOn w:val="1"/>
    <w:next w:val="1"/>
    <w:qFormat/>
    <w:uiPriority w:val="0"/>
    <w:pPr>
      <w:widowControl/>
      <w:autoSpaceDE w:val="0"/>
      <w:autoSpaceDN w:val="0"/>
      <w:ind w:firstLine="200" w:firstLineChars="200"/>
    </w:pPr>
    <w:rPr>
      <w:rFonts w:hint="eastAsia" w:ascii="宋体"/>
      <w:kern w:val="0"/>
      <w:szCs w:val="20"/>
    </w:rPr>
  </w:style>
  <w:style w:type="paragraph" w:customStyle="1" w:styleId="202">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03">
    <w:name w:val="批注文字 Char3"/>
    <w:qFormat/>
    <w:uiPriority w:val="99"/>
    <w:rPr>
      <w:rFonts w:ascii="华文中宋"/>
    </w:rPr>
  </w:style>
  <w:style w:type="paragraph" w:customStyle="1" w:styleId="204">
    <w:name w:val="Revision"/>
    <w:hidden/>
    <w:semiHidden/>
    <w:qFormat/>
    <w:uiPriority w:val="99"/>
    <w:rPr>
      <w:rFonts w:ascii="Times New Roman" w:hAnsi="Times New Roman" w:eastAsia="宋体" w:cs="Times New Roman"/>
      <w:kern w:val="2"/>
      <w:sz w:val="21"/>
      <w:szCs w:val="24"/>
      <w:lang w:val="en-US" w:eastAsia="zh-CN" w:bidi="ar-SA"/>
    </w:rPr>
  </w:style>
  <w:style w:type="character" w:customStyle="1" w:styleId="205">
    <w:name w:val="fontstyle01"/>
    <w:basedOn w:val="48"/>
    <w:qFormat/>
    <w:uiPriority w:val="0"/>
    <w:rPr>
      <w:rFonts w:hint="eastAsia" w:ascii="宋体" w:hAnsi="宋体" w:eastAsia="宋体"/>
      <w:color w:val="000000"/>
      <w:sz w:val="24"/>
      <w:szCs w:val="24"/>
    </w:rPr>
  </w:style>
  <w:style w:type="character" w:customStyle="1" w:styleId="206">
    <w:name w:val="fontstyle11"/>
    <w:basedOn w:val="48"/>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江苏省设备成套有限公司</Company>
  <Pages>48</Pages>
  <Words>23060</Words>
  <Characters>24156</Characters>
  <Lines>196</Lines>
  <Paragraphs>55</Paragraphs>
  <TotalTime>15</TotalTime>
  <ScaleCrop>false</ScaleCrop>
  <LinksUpToDate>false</LinksUpToDate>
  <CharactersWithSpaces>26081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2023-02-01T06:35:00Z</dcterms:created>
  <dc:creator>Lenovo User</dc:creator>
  <cp:lastModifiedBy>玖渊</cp:lastModifiedBy>
  <cp:lastPrinted>2022-08-31T09:41:00Z</cp:lastPrinted>
  <dcterms:modified xsi:type="dcterms:W3CDTF">2023-02-27T02:38:06Z</dcterms:modified>
  <dc:title>公开招标文件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F551D45DBD9F4760845B7C4E0C4FB25C</vt:lpwstr>
  </property>
  <property fmtid="{D5CDD505-2E9C-101B-9397-08002B2CF9AE}" pid="4" name="GrammarlyDocumentId">
    <vt:lpwstr>60ed6bc941d900231fea9667efee622954d2c954e2d7b6566eb0aa646293c1a8</vt:lpwstr>
  </property>
</Properties>
</file>