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00541">
      <w:pPr>
        <w:topLinePunct/>
        <w:autoSpaceDE w:val="0"/>
        <w:autoSpaceDN w:val="0"/>
        <w:ind w:firstLine="643"/>
        <w:jc w:val="center"/>
        <w:rPr>
          <w:rFonts w:ascii="宋体" w:hAnsi="宋体" w:cs="宋体"/>
          <w:b/>
          <w:sz w:val="32"/>
          <w:szCs w:val="32"/>
          <w:highlight w:val="none"/>
        </w:rPr>
      </w:pPr>
    </w:p>
    <w:p w14:paraId="7B1628DA">
      <w:pPr>
        <w:pStyle w:val="15"/>
        <w:ind w:firstLine="643"/>
        <w:rPr>
          <w:rFonts w:ascii="宋体" w:hAnsi="宋体" w:cs="宋体"/>
          <w:sz w:val="32"/>
          <w:szCs w:val="32"/>
          <w:highlight w:val="none"/>
        </w:rPr>
      </w:pPr>
    </w:p>
    <w:p w14:paraId="7ECCFA11">
      <w:pPr>
        <w:ind w:firstLine="420"/>
        <w:rPr>
          <w:rFonts w:ascii="华文中宋" w:hAnsi="华文中宋" w:eastAsia="华文中宋" w:cs="华文中宋"/>
          <w:b/>
          <w:bCs/>
          <w:highlight w:val="none"/>
        </w:rPr>
      </w:pPr>
    </w:p>
    <w:p w14:paraId="5D2DA4AB">
      <w:pPr>
        <w:topLinePunct/>
        <w:autoSpaceDE w:val="0"/>
        <w:autoSpaceDN w:val="0"/>
        <w:jc w:val="center"/>
        <w:rPr>
          <w:rFonts w:ascii="华文中宋" w:hAnsi="华文中宋" w:eastAsia="华文中宋" w:cs="华文中宋"/>
          <w:b/>
          <w:bCs/>
          <w:sz w:val="72"/>
          <w:szCs w:val="72"/>
          <w:highlight w:val="none"/>
        </w:rPr>
      </w:pPr>
      <w:r>
        <w:rPr>
          <w:rFonts w:hint="eastAsia" w:ascii="华文中宋" w:hAnsi="华文中宋" w:eastAsia="华文中宋" w:cs="华文中宋"/>
          <w:b/>
          <w:bCs/>
          <w:sz w:val="72"/>
          <w:szCs w:val="72"/>
          <w:highlight w:val="none"/>
        </w:rPr>
        <w:t>招 标 文 件</w:t>
      </w:r>
    </w:p>
    <w:p w14:paraId="133E44A8">
      <w:pPr>
        <w:pStyle w:val="2"/>
        <w:ind w:left="0" w:leftChars="0" w:firstLine="0" w:firstLineChars="0"/>
        <w:jc w:val="center"/>
        <w:rPr>
          <w:rFonts w:ascii="华文中宋" w:hAnsi="华文中宋" w:eastAsia="华文中宋" w:cs="华文中宋"/>
          <w:b/>
          <w:bCs/>
          <w:sz w:val="56"/>
          <w:szCs w:val="56"/>
          <w:highlight w:val="none"/>
        </w:rPr>
      </w:pPr>
    </w:p>
    <w:p w14:paraId="0AD41099">
      <w:pPr>
        <w:pStyle w:val="2"/>
        <w:ind w:left="0" w:leftChars="0" w:firstLine="0" w:firstLineChars="0"/>
        <w:jc w:val="center"/>
        <w:rPr>
          <w:rFonts w:ascii="华文中宋" w:hAnsi="华文中宋" w:eastAsia="华文中宋" w:cs="华文中宋"/>
          <w:b/>
          <w:bCs/>
          <w:sz w:val="56"/>
          <w:szCs w:val="56"/>
          <w:highlight w:val="none"/>
        </w:rPr>
      </w:pPr>
      <w:r>
        <w:rPr>
          <w:rFonts w:hint="eastAsia" w:ascii="华文中宋" w:hAnsi="华文中宋" w:eastAsia="华文中宋" w:cs="华文中宋"/>
          <w:b/>
          <w:bCs/>
          <w:sz w:val="56"/>
          <w:szCs w:val="56"/>
          <w:highlight w:val="none"/>
        </w:rPr>
        <w:t>（商务部分）</w:t>
      </w:r>
    </w:p>
    <w:p w14:paraId="0B95F648">
      <w:pPr>
        <w:topLinePunct/>
        <w:autoSpaceDE w:val="0"/>
        <w:autoSpaceDN w:val="0"/>
        <w:spacing w:line="60" w:lineRule="exact"/>
        <w:ind w:firstLine="640"/>
        <w:jc w:val="center"/>
        <w:rPr>
          <w:rFonts w:ascii="宋体" w:hAnsi="宋体" w:cs="宋体"/>
          <w:bCs/>
          <w:sz w:val="32"/>
          <w:szCs w:val="32"/>
          <w:highlight w:val="none"/>
        </w:rPr>
      </w:pPr>
    </w:p>
    <w:p w14:paraId="0B2AA2DD">
      <w:pPr>
        <w:spacing w:line="360" w:lineRule="auto"/>
        <w:ind w:left="2976" w:leftChars="700" w:hanging="1506" w:hangingChars="500"/>
        <w:rPr>
          <w:rFonts w:hint="eastAsia" w:ascii="宋体" w:hAnsi="宋体" w:cs="宋体"/>
          <w:b/>
          <w:bCs/>
          <w:sz w:val="30"/>
          <w:szCs w:val="30"/>
          <w:highlight w:val="none"/>
        </w:rPr>
      </w:pPr>
    </w:p>
    <w:p w14:paraId="680EA158">
      <w:pPr>
        <w:spacing w:line="360" w:lineRule="auto"/>
        <w:ind w:left="2976" w:leftChars="700" w:hanging="1506" w:hangingChars="500"/>
        <w:rPr>
          <w:rFonts w:hint="eastAsia" w:ascii="宋体" w:hAnsi="宋体" w:cs="宋体"/>
          <w:b/>
          <w:bCs/>
          <w:sz w:val="30"/>
          <w:szCs w:val="30"/>
          <w:highlight w:val="none"/>
        </w:rPr>
      </w:pPr>
    </w:p>
    <w:p w14:paraId="24912AF8">
      <w:pPr>
        <w:spacing w:line="360" w:lineRule="auto"/>
        <w:ind w:left="0" w:leftChars="0" w:right="-218" w:rightChars="-104" w:firstLine="419" w:firstLineChars="139"/>
        <w:rPr>
          <w:rFonts w:hint="default" w:ascii="宋体" w:hAnsi="宋体" w:cs="宋体"/>
          <w:b/>
          <w:bCs/>
          <w:color w:val="auto"/>
          <w:sz w:val="30"/>
          <w:szCs w:val="30"/>
          <w:highlight w:val="none"/>
          <w:lang w:val="en-US" w:eastAsia="zh-CN"/>
        </w:rPr>
      </w:pPr>
      <w:r>
        <w:rPr>
          <w:rFonts w:hint="eastAsia" w:ascii="宋体" w:hAnsi="宋体" w:cs="宋体"/>
          <w:b/>
          <w:bCs/>
          <w:color w:val="auto"/>
          <w:sz w:val="30"/>
          <w:szCs w:val="30"/>
          <w:highlight w:val="none"/>
        </w:rPr>
        <w:t>项目名称：</w:t>
      </w:r>
      <w:r>
        <w:rPr>
          <w:rFonts w:hint="eastAsia" w:ascii="宋体" w:hAnsi="宋体" w:cs="宋体"/>
          <w:b/>
          <w:bCs/>
          <w:color w:val="auto"/>
          <w:sz w:val="30"/>
          <w:szCs w:val="30"/>
          <w:highlight w:val="none"/>
          <w:lang w:eastAsia="zh-CN"/>
        </w:rPr>
        <w:t>国家税务总局湖南省税务局2025年数据中心运行维护项目（第二次）</w:t>
      </w:r>
    </w:p>
    <w:p w14:paraId="5AC0D495">
      <w:pPr>
        <w:spacing w:line="360" w:lineRule="auto"/>
        <w:ind w:left="0" w:leftChars="0" w:right="-218" w:rightChars="-104" w:firstLine="419" w:firstLineChars="139"/>
        <w:rPr>
          <w:rFonts w:ascii="宋体" w:hAnsi="宋体" w:cs="宋体"/>
          <w:b/>
          <w:bCs/>
          <w:color w:val="auto"/>
          <w:sz w:val="30"/>
          <w:szCs w:val="30"/>
          <w:highlight w:val="none"/>
        </w:rPr>
      </w:pPr>
      <w:r>
        <w:rPr>
          <w:rFonts w:hint="eastAsia" w:ascii="宋体" w:hAnsi="宋体" w:cs="宋体"/>
          <w:b/>
          <w:bCs/>
          <w:color w:val="auto"/>
          <w:sz w:val="30"/>
          <w:szCs w:val="30"/>
          <w:highlight w:val="none"/>
        </w:rPr>
        <w:t>项目编号：</w:t>
      </w:r>
      <w:r>
        <w:rPr>
          <w:rFonts w:hint="eastAsia" w:ascii="宋体" w:hAnsi="宋体" w:cs="宋体"/>
          <w:b/>
          <w:bCs/>
          <w:color w:val="auto"/>
          <w:sz w:val="30"/>
          <w:szCs w:val="30"/>
          <w:highlight w:val="none"/>
          <w:lang w:val="en-US" w:eastAsia="zh-CN"/>
        </w:rPr>
        <w:t>TJGJCS2024-296</w:t>
      </w:r>
      <w:r>
        <w:rPr>
          <w:rFonts w:hint="eastAsia" w:ascii="宋体" w:hAnsi="宋体" w:cs="宋体"/>
          <w:b/>
          <w:bCs/>
          <w:color w:val="auto"/>
          <w:sz w:val="30"/>
          <w:szCs w:val="30"/>
          <w:highlight w:val="none"/>
        </w:rPr>
        <w:t xml:space="preserve"> </w:t>
      </w:r>
    </w:p>
    <w:p w14:paraId="17E57053">
      <w:pPr>
        <w:spacing w:line="360" w:lineRule="auto"/>
        <w:ind w:left="0" w:leftChars="0" w:right="-218" w:rightChars="-104" w:firstLine="419" w:firstLineChars="139"/>
        <w:rPr>
          <w:rFonts w:ascii="宋体" w:hAnsi="宋体" w:cs="宋体"/>
          <w:b/>
          <w:bCs/>
          <w:color w:val="auto"/>
          <w:sz w:val="30"/>
          <w:szCs w:val="30"/>
          <w:highlight w:val="none"/>
        </w:rPr>
      </w:pPr>
      <w:r>
        <w:rPr>
          <w:rFonts w:hint="eastAsia" w:ascii="宋体" w:hAnsi="宋体" w:cs="宋体"/>
          <w:b/>
          <w:bCs/>
          <w:color w:val="auto"/>
          <w:sz w:val="30"/>
          <w:szCs w:val="30"/>
          <w:highlight w:val="none"/>
        </w:rPr>
        <w:t>采 购 人：</w:t>
      </w:r>
      <w:r>
        <w:rPr>
          <w:rFonts w:hint="eastAsia" w:ascii="宋体" w:hAnsi="宋体" w:cs="宋体"/>
          <w:b/>
          <w:bCs/>
          <w:color w:val="auto"/>
          <w:sz w:val="30"/>
          <w:szCs w:val="30"/>
          <w:highlight w:val="none"/>
          <w:lang w:eastAsia="zh-CN"/>
        </w:rPr>
        <w:t>国家税务总局湖南省税务局</w:t>
      </w:r>
    </w:p>
    <w:p w14:paraId="30AA1731">
      <w:pPr>
        <w:spacing w:line="360" w:lineRule="auto"/>
        <w:ind w:left="0" w:leftChars="0" w:right="-218" w:rightChars="-104" w:firstLine="419" w:firstLineChars="139"/>
        <w:rPr>
          <w:rFonts w:hint="eastAsia" w:ascii="宋体" w:hAnsi="宋体" w:eastAsia="宋体" w:cs="宋体"/>
          <w:b/>
          <w:bCs/>
          <w:sz w:val="30"/>
          <w:szCs w:val="30"/>
          <w:highlight w:val="none"/>
          <w:lang w:eastAsia="zh-CN"/>
        </w:rPr>
      </w:pPr>
      <w:r>
        <w:rPr>
          <w:rFonts w:hint="eastAsia" w:ascii="宋体" w:hAnsi="宋体" w:cs="宋体"/>
          <w:b/>
          <w:bCs/>
          <w:sz w:val="30"/>
          <w:szCs w:val="30"/>
          <w:highlight w:val="none"/>
        </w:rPr>
        <w:t>采购</w:t>
      </w:r>
      <w:r>
        <w:rPr>
          <w:rFonts w:hint="eastAsia" w:ascii="宋体" w:hAnsi="宋体" w:cs="宋体"/>
          <w:b/>
          <w:bCs/>
          <w:color w:val="auto"/>
          <w:sz w:val="30"/>
          <w:szCs w:val="30"/>
          <w:highlight w:val="none"/>
        </w:rPr>
        <w:t>代理</w:t>
      </w:r>
      <w:r>
        <w:rPr>
          <w:rFonts w:hint="eastAsia" w:ascii="宋体" w:hAnsi="宋体" w:cs="宋体"/>
          <w:b/>
          <w:bCs/>
          <w:sz w:val="30"/>
          <w:szCs w:val="30"/>
          <w:highlight w:val="none"/>
        </w:rPr>
        <w:t>机构：</w:t>
      </w:r>
      <w:r>
        <w:rPr>
          <w:rFonts w:hint="eastAsia" w:ascii="宋体" w:hAnsi="宋体" w:cs="宋体"/>
          <w:b/>
          <w:bCs/>
          <w:sz w:val="30"/>
          <w:szCs w:val="30"/>
          <w:highlight w:val="none"/>
          <w:lang w:eastAsia="zh-CN"/>
        </w:rPr>
        <w:t>天鉴国际工程管理有限公司</w:t>
      </w:r>
    </w:p>
    <w:p w14:paraId="53A1356C">
      <w:pPr>
        <w:topLinePunct/>
        <w:autoSpaceDE w:val="0"/>
        <w:autoSpaceDN w:val="0"/>
        <w:spacing w:line="460" w:lineRule="exact"/>
        <w:ind w:firstLine="480"/>
        <w:rPr>
          <w:rFonts w:ascii="宋体" w:hAnsi="宋体" w:cs="宋体"/>
          <w:sz w:val="24"/>
          <w:szCs w:val="24"/>
          <w:highlight w:val="none"/>
        </w:rPr>
      </w:pPr>
    </w:p>
    <w:p w14:paraId="39A91C38">
      <w:pPr>
        <w:pStyle w:val="9"/>
        <w:spacing w:before="240" w:after="120"/>
        <w:ind w:firstLine="480"/>
        <w:rPr>
          <w:highlight w:val="none"/>
        </w:rPr>
      </w:pPr>
    </w:p>
    <w:p w14:paraId="0CBC4317">
      <w:pPr>
        <w:pStyle w:val="9"/>
        <w:spacing w:before="240" w:after="120"/>
        <w:ind w:firstLine="480"/>
        <w:rPr>
          <w:highlight w:val="none"/>
        </w:rPr>
      </w:pPr>
    </w:p>
    <w:p w14:paraId="29D02E5E">
      <w:pPr>
        <w:pStyle w:val="9"/>
        <w:spacing w:before="240" w:after="120"/>
        <w:ind w:firstLine="480"/>
        <w:rPr>
          <w:highlight w:val="none"/>
        </w:rPr>
      </w:pPr>
    </w:p>
    <w:p w14:paraId="5018A26A">
      <w:pPr>
        <w:pStyle w:val="9"/>
        <w:spacing w:before="240" w:after="120"/>
        <w:ind w:firstLine="480"/>
        <w:rPr>
          <w:highlight w:val="none"/>
        </w:rPr>
      </w:pPr>
    </w:p>
    <w:p w14:paraId="54EB1DD6">
      <w:pPr>
        <w:topLinePunct/>
        <w:autoSpaceDE w:val="0"/>
        <w:autoSpaceDN w:val="0"/>
        <w:spacing w:line="460" w:lineRule="exact"/>
        <w:ind w:firstLine="480"/>
        <w:jc w:val="center"/>
        <w:rPr>
          <w:rFonts w:ascii="宋体" w:hAnsi="宋体" w:cs="宋体"/>
          <w:color w:val="auto"/>
          <w:sz w:val="24"/>
          <w:szCs w:val="24"/>
          <w:highlight w:val="none"/>
        </w:rPr>
      </w:pPr>
    </w:p>
    <w:p w14:paraId="06E65D45">
      <w:pPr>
        <w:spacing w:line="360" w:lineRule="auto"/>
        <w:ind w:left="15" w:leftChars="0" w:hanging="15" w:hangingChars="5"/>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eastAsia="zh-CN"/>
        </w:rPr>
        <w:t>国家税务总局湖南省税务局</w:t>
      </w:r>
    </w:p>
    <w:p w14:paraId="565C8D0F">
      <w:pPr>
        <w:topLinePunct/>
        <w:autoSpaceDE w:val="0"/>
        <w:autoSpaceDN w:val="0"/>
        <w:spacing w:line="160" w:lineRule="exact"/>
        <w:ind w:firstLine="602"/>
        <w:jc w:val="center"/>
        <w:rPr>
          <w:rFonts w:ascii="宋体" w:hAnsi="宋体" w:cs="宋体"/>
          <w:b/>
          <w:bCs/>
          <w:color w:val="auto"/>
          <w:sz w:val="30"/>
          <w:szCs w:val="30"/>
          <w:highlight w:val="none"/>
        </w:rPr>
      </w:pPr>
    </w:p>
    <w:p w14:paraId="197E9537">
      <w:pPr>
        <w:ind w:left="0" w:leftChars="0" w:firstLine="0" w:firstLineChars="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2024年</w:t>
      </w:r>
      <w:r>
        <w:rPr>
          <w:rFonts w:hint="eastAsia" w:ascii="宋体" w:hAnsi="宋体" w:cs="宋体"/>
          <w:b/>
          <w:bCs/>
          <w:color w:val="auto"/>
          <w:sz w:val="30"/>
          <w:szCs w:val="30"/>
          <w:highlight w:val="none"/>
          <w:lang w:val="en-US" w:eastAsia="zh-CN"/>
        </w:rPr>
        <w:t>12</w:t>
      </w:r>
      <w:r>
        <w:rPr>
          <w:rFonts w:hint="eastAsia" w:ascii="宋体" w:hAnsi="宋体" w:cs="宋体"/>
          <w:b/>
          <w:bCs/>
          <w:color w:val="auto"/>
          <w:sz w:val="30"/>
          <w:szCs w:val="30"/>
          <w:highlight w:val="none"/>
        </w:rPr>
        <w:t>月</w:t>
      </w:r>
    </w:p>
    <w:p w14:paraId="45A0C142">
      <w:pPr>
        <w:ind w:firstLine="643"/>
        <w:jc w:val="center"/>
        <w:rPr>
          <w:rFonts w:ascii="宋体" w:hAnsi="宋体" w:cs="宋体"/>
          <w:b/>
          <w:bCs/>
          <w:sz w:val="32"/>
          <w:szCs w:val="32"/>
          <w:highlight w:val="none"/>
          <w:lang w:val="zh-CN"/>
        </w:rPr>
        <w:sectPr>
          <w:headerReference r:id="rId5" w:type="first"/>
          <w:footerReference r:id="rId8" w:type="first"/>
          <w:headerReference r:id="rId3" w:type="default"/>
          <w:footerReference r:id="rId6" w:type="default"/>
          <w:headerReference r:id="rId4" w:type="even"/>
          <w:footerReference r:id="rId7" w:type="even"/>
          <w:pgSz w:w="11907" w:h="16839"/>
          <w:pgMar w:top="1271" w:right="1334" w:bottom="1440" w:left="1332" w:header="851" w:footer="992" w:gutter="0"/>
          <w:pgBorders>
            <w:top w:val="none" w:sz="0" w:space="0"/>
            <w:left w:val="none" w:sz="0" w:space="0"/>
            <w:bottom w:val="none" w:sz="0" w:space="0"/>
            <w:right w:val="none" w:sz="0" w:space="0"/>
          </w:pgBorders>
          <w:cols w:space="720" w:num="1"/>
          <w:titlePg/>
          <w:docGrid w:linePitch="312" w:charSpace="0"/>
        </w:sectPr>
      </w:pPr>
    </w:p>
    <w:p w14:paraId="6AB38A98">
      <w:pPr>
        <w:spacing w:before="360" w:beforeLines="150" w:after="360" w:afterLines="150"/>
        <w:ind w:firstLine="643"/>
        <w:jc w:val="center"/>
        <w:rPr>
          <w:rFonts w:ascii="宋体" w:hAnsi="宋体" w:cs="宋体"/>
          <w:b/>
          <w:bCs/>
          <w:sz w:val="32"/>
          <w:szCs w:val="32"/>
          <w:highlight w:val="none"/>
        </w:rPr>
      </w:pPr>
      <w:r>
        <w:rPr>
          <w:rFonts w:hint="eastAsia" w:ascii="宋体" w:hAnsi="宋体" w:cs="宋体"/>
          <w:b/>
          <w:bCs/>
          <w:sz w:val="32"/>
          <w:szCs w:val="32"/>
          <w:highlight w:val="none"/>
          <w:lang w:val="zh-CN"/>
        </w:rPr>
        <w:t>目  录</w:t>
      </w:r>
    </w:p>
    <w:p w14:paraId="0DC70CE2">
      <w:pPr>
        <w:pStyle w:val="20"/>
        <w:keepNext w:val="0"/>
        <w:keepLines w:val="0"/>
        <w:pageBreakBefore w:val="0"/>
        <w:widowControl w:val="0"/>
        <w:tabs>
          <w:tab w:val="right" w:leader="dot" w:pos="9241"/>
        </w:tabs>
        <w:kinsoku/>
        <w:wordWrap/>
        <w:overflowPunct/>
        <w:topLinePunct w:val="0"/>
        <w:autoSpaceDE/>
        <w:autoSpaceDN/>
        <w:bidi w:val="0"/>
        <w:adjustRightInd/>
        <w:snapToGrid/>
        <w:spacing w:line="480" w:lineRule="auto"/>
        <w:textAlignment w:val="auto"/>
        <w:rPr>
          <w:highlight w:val="none"/>
        </w:rPr>
      </w:pPr>
      <w:r>
        <w:rPr>
          <w:rFonts w:hint="eastAsia" w:ascii="宋体" w:hAnsi="宋体" w:cs="宋体"/>
          <w:highlight w:val="none"/>
        </w:rPr>
        <w:fldChar w:fldCharType="begin"/>
      </w:r>
      <w:r>
        <w:rPr>
          <w:rFonts w:hint="eastAsia" w:ascii="宋体" w:hAnsi="宋体" w:cs="宋体"/>
          <w:highlight w:val="none"/>
        </w:rPr>
        <w:instrText xml:space="preserve">TOC \o "1-2" \h \u </w:instrText>
      </w:r>
      <w:r>
        <w:rPr>
          <w:rFonts w:hint="eastAsia" w:ascii="宋体" w:hAnsi="宋体" w:cs="宋体"/>
          <w:highlight w:val="none"/>
        </w:rPr>
        <w:fldChar w:fldCharType="separate"/>
      </w:r>
      <w:r>
        <w:rPr>
          <w:rFonts w:hint="eastAsia" w:ascii="宋体" w:hAnsi="宋体" w:cs="宋体"/>
          <w:highlight w:val="none"/>
        </w:rPr>
        <w:fldChar w:fldCharType="begin"/>
      </w:r>
      <w:r>
        <w:rPr>
          <w:rFonts w:hint="eastAsia" w:ascii="宋体" w:hAnsi="宋体" w:cs="宋体"/>
          <w:highlight w:val="none"/>
        </w:rPr>
        <w:instrText xml:space="preserve"> HYPERLINK \l _Toc17227 </w:instrText>
      </w:r>
      <w:r>
        <w:rPr>
          <w:rFonts w:hint="eastAsia" w:ascii="宋体" w:hAnsi="宋体" w:cs="宋体"/>
          <w:highlight w:val="none"/>
        </w:rPr>
        <w:fldChar w:fldCharType="separate"/>
      </w:r>
      <w:r>
        <w:rPr>
          <w:rFonts w:hint="eastAsia" w:ascii="宋体" w:hAnsi="宋体" w:cs="宋体"/>
          <w:bCs/>
          <w:szCs w:val="32"/>
          <w:highlight w:val="none"/>
        </w:rPr>
        <w:t>第一章  投标邀请</w:t>
      </w:r>
      <w:r>
        <w:rPr>
          <w:highlight w:val="none"/>
        </w:rPr>
        <w:tab/>
      </w:r>
      <w:r>
        <w:rPr>
          <w:highlight w:val="none"/>
        </w:rPr>
        <w:fldChar w:fldCharType="begin"/>
      </w:r>
      <w:r>
        <w:rPr>
          <w:highlight w:val="none"/>
        </w:rPr>
        <w:instrText xml:space="preserve"> PAGEREF _Toc17227 \h </w:instrText>
      </w:r>
      <w:r>
        <w:rPr>
          <w:highlight w:val="none"/>
        </w:rPr>
        <w:fldChar w:fldCharType="separate"/>
      </w:r>
      <w:r>
        <w:rPr>
          <w:highlight w:val="none"/>
        </w:rPr>
        <w:t>2</w:t>
      </w:r>
      <w:r>
        <w:rPr>
          <w:highlight w:val="none"/>
        </w:rPr>
        <w:fldChar w:fldCharType="end"/>
      </w:r>
      <w:r>
        <w:rPr>
          <w:rFonts w:hint="eastAsia" w:ascii="宋体" w:hAnsi="宋体" w:cs="宋体"/>
          <w:highlight w:val="none"/>
        </w:rPr>
        <w:fldChar w:fldCharType="end"/>
      </w:r>
    </w:p>
    <w:p w14:paraId="78383084">
      <w:pPr>
        <w:pStyle w:val="20"/>
        <w:keepNext w:val="0"/>
        <w:keepLines w:val="0"/>
        <w:pageBreakBefore w:val="0"/>
        <w:widowControl w:val="0"/>
        <w:tabs>
          <w:tab w:val="right" w:leader="dot" w:pos="9241"/>
        </w:tabs>
        <w:kinsoku/>
        <w:wordWrap/>
        <w:overflowPunct/>
        <w:topLinePunct w:val="0"/>
        <w:autoSpaceDE/>
        <w:autoSpaceDN/>
        <w:bidi w:val="0"/>
        <w:adjustRightInd/>
        <w:snapToGrid/>
        <w:spacing w:line="480" w:lineRule="auto"/>
        <w:textAlignment w:val="auto"/>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_Toc15312 </w:instrText>
      </w:r>
      <w:r>
        <w:rPr>
          <w:rFonts w:hint="eastAsia" w:ascii="宋体" w:hAnsi="宋体" w:cs="宋体"/>
          <w:highlight w:val="none"/>
        </w:rPr>
        <w:fldChar w:fldCharType="separate"/>
      </w:r>
      <w:r>
        <w:rPr>
          <w:rFonts w:hint="eastAsia" w:ascii="宋体" w:hAnsi="宋体" w:cs="宋体"/>
          <w:bCs/>
          <w:szCs w:val="32"/>
          <w:highlight w:val="none"/>
        </w:rPr>
        <w:t>第二章　投标人须知</w:t>
      </w:r>
      <w:r>
        <w:rPr>
          <w:highlight w:val="none"/>
        </w:rPr>
        <w:tab/>
      </w:r>
      <w:r>
        <w:rPr>
          <w:highlight w:val="none"/>
        </w:rPr>
        <w:fldChar w:fldCharType="begin"/>
      </w:r>
      <w:r>
        <w:rPr>
          <w:highlight w:val="none"/>
        </w:rPr>
        <w:instrText xml:space="preserve"> PAGEREF _Toc15312 \h </w:instrText>
      </w:r>
      <w:r>
        <w:rPr>
          <w:highlight w:val="none"/>
        </w:rPr>
        <w:fldChar w:fldCharType="separate"/>
      </w:r>
      <w:r>
        <w:rPr>
          <w:highlight w:val="none"/>
        </w:rPr>
        <w:t>5</w:t>
      </w:r>
      <w:r>
        <w:rPr>
          <w:highlight w:val="none"/>
        </w:rPr>
        <w:fldChar w:fldCharType="end"/>
      </w:r>
      <w:r>
        <w:rPr>
          <w:rFonts w:hint="eastAsia" w:ascii="宋体" w:hAnsi="宋体" w:cs="宋体"/>
          <w:highlight w:val="none"/>
        </w:rPr>
        <w:fldChar w:fldCharType="end"/>
      </w:r>
    </w:p>
    <w:p w14:paraId="657D7765">
      <w:pPr>
        <w:pStyle w:val="21"/>
        <w:keepNext w:val="0"/>
        <w:keepLines w:val="0"/>
        <w:pageBreakBefore w:val="0"/>
        <w:widowControl w:val="0"/>
        <w:tabs>
          <w:tab w:val="right" w:leader="dot" w:pos="9241"/>
          <w:tab w:val="clear" w:pos="9231"/>
        </w:tabs>
        <w:kinsoku/>
        <w:wordWrap/>
        <w:overflowPunct/>
        <w:topLinePunct w:val="0"/>
        <w:autoSpaceDE/>
        <w:autoSpaceDN/>
        <w:bidi w:val="0"/>
        <w:adjustRightInd/>
        <w:snapToGrid/>
        <w:spacing w:line="480" w:lineRule="auto"/>
        <w:textAlignment w:val="auto"/>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_Toc17399 </w:instrText>
      </w:r>
      <w:r>
        <w:rPr>
          <w:rFonts w:hint="eastAsia" w:ascii="宋体" w:hAnsi="宋体" w:cs="宋体"/>
          <w:highlight w:val="none"/>
        </w:rPr>
        <w:fldChar w:fldCharType="separate"/>
      </w:r>
      <w:r>
        <w:rPr>
          <w:rFonts w:hint="eastAsia" w:ascii="宋体" w:hAnsi="宋体" w:cs="宋体"/>
          <w:bCs/>
          <w:szCs w:val="28"/>
          <w:highlight w:val="none"/>
        </w:rPr>
        <w:t>投标人须知前附表</w:t>
      </w:r>
      <w:r>
        <w:rPr>
          <w:highlight w:val="none"/>
        </w:rPr>
        <w:tab/>
      </w:r>
      <w:r>
        <w:rPr>
          <w:highlight w:val="none"/>
        </w:rPr>
        <w:fldChar w:fldCharType="begin"/>
      </w:r>
      <w:r>
        <w:rPr>
          <w:highlight w:val="none"/>
        </w:rPr>
        <w:instrText xml:space="preserve"> PAGEREF _Toc17399 \h </w:instrText>
      </w:r>
      <w:r>
        <w:rPr>
          <w:highlight w:val="none"/>
        </w:rPr>
        <w:fldChar w:fldCharType="separate"/>
      </w:r>
      <w:r>
        <w:rPr>
          <w:highlight w:val="none"/>
        </w:rPr>
        <w:t>5</w:t>
      </w:r>
      <w:r>
        <w:rPr>
          <w:highlight w:val="none"/>
        </w:rPr>
        <w:fldChar w:fldCharType="end"/>
      </w:r>
      <w:r>
        <w:rPr>
          <w:rFonts w:hint="eastAsia" w:ascii="宋体" w:hAnsi="宋体" w:cs="宋体"/>
          <w:highlight w:val="none"/>
        </w:rPr>
        <w:fldChar w:fldCharType="end"/>
      </w:r>
    </w:p>
    <w:p w14:paraId="091776E3">
      <w:pPr>
        <w:pStyle w:val="21"/>
        <w:keepNext w:val="0"/>
        <w:keepLines w:val="0"/>
        <w:pageBreakBefore w:val="0"/>
        <w:widowControl w:val="0"/>
        <w:tabs>
          <w:tab w:val="right" w:leader="dot" w:pos="9241"/>
          <w:tab w:val="clear" w:pos="9231"/>
        </w:tabs>
        <w:kinsoku/>
        <w:wordWrap/>
        <w:overflowPunct/>
        <w:topLinePunct w:val="0"/>
        <w:autoSpaceDE/>
        <w:autoSpaceDN/>
        <w:bidi w:val="0"/>
        <w:adjustRightInd/>
        <w:snapToGrid/>
        <w:spacing w:line="480" w:lineRule="auto"/>
        <w:textAlignment w:val="auto"/>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_Toc23245 </w:instrText>
      </w:r>
      <w:r>
        <w:rPr>
          <w:rFonts w:hint="eastAsia" w:ascii="宋体" w:hAnsi="宋体" w:cs="宋体"/>
          <w:highlight w:val="none"/>
        </w:rPr>
        <w:fldChar w:fldCharType="separate"/>
      </w:r>
      <w:r>
        <w:rPr>
          <w:rFonts w:hint="eastAsia" w:hAnsi="宋体" w:cs="宋体"/>
          <w:kern w:val="44"/>
          <w:szCs w:val="28"/>
          <w:highlight w:val="none"/>
        </w:rPr>
        <w:t>投标人须知正文</w:t>
      </w:r>
      <w:r>
        <w:rPr>
          <w:highlight w:val="none"/>
        </w:rPr>
        <w:tab/>
      </w:r>
      <w:r>
        <w:rPr>
          <w:highlight w:val="none"/>
        </w:rPr>
        <w:fldChar w:fldCharType="begin"/>
      </w:r>
      <w:r>
        <w:rPr>
          <w:highlight w:val="none"/>
        </w:rPr>
        <w:instrText xml:space="preserve"> PAGEREF _Toc23245 \h </w:instrText>
      </w:r>
      <w:r>
        <w:rPr>
          <w:highlight w:val="none"/>
        </w:rPr>
        <w:fldChar w:fldCharType="separate"/>
      </w:r>
      <w:r>
        <w:rPr>
          <w:highlight w:val="none"/>
        </w:rPr>
        <w:t>11</w:t>
      </w:r>
      <w:r>
        <w:rPr>
          <w:highlight w:val="none"/>
        </w:rPr>
        <w:fldChar w:fldCharType="end"/>
      </w:r>
      <w:r>
        <w:rPr>
          <w:rFonts w:hint="eastAsia" w:ascii="宋体" w:hAnsi="宋体" w:cs="宋体"/>
          <w:highlight w:val="none"/>
        </w:rPr>
        <w:fldChar w:fldCharType="end"/>
      </w:r>
    </w:p>
    <w:p w14:paraId="0D332E87">
      <w:pPr>
        <w:pStyle w:val="21"/>
        <w:keepNext w:val="0"/>
        <w:keepLines w:val="0"/>
        <w:pageBreakBefore w:val="0"/>
        <w:widowControl w:val="0"/>
        <w:tabs>
          <w:tab w:val="right" w:leader="dot" w:pos="9241"/>
          <w:tab w:val="clear" w:pos="9231"/>
        </w:tabs>
        <w:kinsoku/>
        <w:wordWrap/>
        <w:overflowPunct/>
        <w:topLinePunct w:val="0"/>
        <w:autoSpaceDE/>
        <w:autoSpaceDN/>
        <w:bidi w:val="0"/>
        <w:adjustRightInd/>
        <w:snapToGrid/>
        <w:spacing w:line="480" w:lineRule="auto"/>
        <w:textAlignment w:val="auto"/>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_Toc15125 </w:instrText>
      </w:r>
      <w:r>
        <w:rPr>
          <w:rFonts w:hint="eastAsia" w:ascii="宋体" w:hAnsi="宋体" w:cs="宋体"/>
          <w:highlight w:val="none"/>
        </w:rPr>
        <w:fldChar w:fldCharType="separate"/>
      </w:r>
      <w:r>
        <w:rPr>
          <w:rFonts w:hint="eastAsia" w:ascii="宋体" w:hAnsi="宋体" w:cs="宋体"/>
          <w:bCs/>
          <w:szCs w:val="24"/>
          <w:highlight w:val="none"/>
        </w:rPr>
        <w:t>一、总则</w:t>
      </w:r>
      <w:r>
        <w:rPr>
          <w:highlight w:val="none"/>
        </w:rPr>
        <w:tab/>
      </w:r>
      <w:r>
        <w:rPr>
          <w:highlight w:val="none"/>
        </w:rPr>
        <w:fldChar w:fldCharType="begin"/>
      </w:r>
      <w:r>
        <w:rPr>
          <w:highlight w:val="none"/>
        </w:rPr>
        <w:instrText xml:space="preserve"> PAGEREF _Toc15125 \h </w:instrText>
      </w:r>
      <w:r>
        <w:rPr>
          <w:highlight w:val="none"/>
        </w:rPr>
        <w:fldChar w:fldCharType="separate"/>
      </w:r>
      <w:r>
        <w:rPr>
          <w:highlight w:val="none"/>
        </w:rPr>
        <w:t>11</w:t>
      </w:r>
      <w:r>
        <w:rPr>
          <w:highlight w:val="none"/>
        </w:rPr>
        <w:fldChar w:fldCharType="end"/>
      </w:r>
      <w:r>
        <w:rPr>
          <w:rFonts w:hint="eastAsia" w:ascii="宋体" w:hAnsi="宋体" w:cs="宋体"/>
          <w:highlight w:val="none"/>
        </w:rPr>
        <w:fldChar w:fldCharType="end"/>
      </w:r>
    </w:p>
    <w:p w14:paraId="00BF76E9">
      <w:pPr>
        <w:pStyle w:val="21"/>
        <w:keepNext w:val="0"/>
        <w:keepLines w:val="0"/>
        <w:pageBreakBefore w:val="0"/>
        <w:widowControl w:val="0"/>
        <w:tabs>
          <w:tab w:val="right" w:leader="dot" w:pos="9241"/>
          <w:tab w:val="clear" w:pos="9231"/>
        </w:tabs>
        <w:kinsoku/>
        <w:wordWrap/>
        <w:overflowPunct/>
        <w:topLinePunct w:val="0"/>
        <w:autoSpaceDE/>
        <w:autoSpaceDN/>
        <w:bidi w:val="0"/>
        <w:adjustRightInd/>
        <w:snapToGrid/>
        <w:spacing w:line="480" w:lineRule="auto"/>
        <w:textAlignment w:val="auto"/>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_Toc21458 </w:instrText>
      </w:r>
      <w:r>
        <w:rPr>
          <w:rFonts w:hint="eastAsia" w:ascii="宋体" w:hAnsi="宋体" w:cs="宋体"/>
          <w:highlight w:val="none"/>
        </w:rPr>
        <w:fldChar w:fldCharType="separate"/>
      </w:r>
      <w:r>
        <w:rPr>
          <w:rFonts w:hint="eastAsia" w:ascii="宋体" w:hAnsi="宋体" w:cs="宋体"/>
          <w:bCs/>
          <w:szCs w:val="24"/>
          <w:highlight w:val="none"/>
        </w:rPr>
        <w:t>二、招标文件</w:t>
      </w:r>
      <w:r>
        <w:rPr>
          <w:highlight w:val="none"/>
        </w:rPr>
        <w:tab/>
      </w:r>
      <w:r>
        <w:rPr>
          <w:highlight w:val="none"/>
        </w:rPr>
        <w:fldChar w:fldCharType="begin"/>
      </w:r>
      <w:r>
        <w:rPr>
          <w:highlight w:val="none"/>
        </w:rPr>
        <w:instrText xml:space="preserve"> PAGEREF _Toc21458 \h </w:instrText>
      </w:r>
      <w:r>
        <w:rPr>
          <w:highlight w:val="none"/>
        </w:rPr>
        <w:fldChar w:fldCharType="separate"/>
      </w:r>
      <w:r>
        <w:rPr>
          <w:highlight w:val="none"/>
        </w:rPr>
        <w:t>12</w:t>
      </w:r>
      <w:r>
        <w:rPr>
          <w:highlight w:val="none"/>
        </w:rPr>
        <w:fldChar w:fldCharType="end"/>
      </w:r>
      <w:r>
        <w:rPr>
          <w:rFonts w:hint="eastAsia" w:ascii="宋体" w:hAnsi="宋体" w:cs="宋体"/>
          <w:highlight w:val="none"/>
        </w:rPr>
        <w:fldChar w:fldCharType="end"/>
      </w:r>
    </w:p>
    <w:p w14:paraId="4196FD9D">
      <w:pPr>
        <w:pStyle w:val="21"/>
        <w:keepNext w:val="0"/>
        <w:keepLines w:val="0"/>
        <w:pageBreakBefore w:val="0"/>
        <w:widowControl w:val="0"/>
        <w:tabs>
          <w:tab w:val="right" w:leader="dot" w:pos="9241"/>
          <w:tab w:val="clear" w:pos="9231"/>
        </w:tabs>
        <w:kinsoku/>
        <w:wordWrap/>
        <w:overflowPunct/>
        <w:topLinePunct w:val="0"/>
        <w:autoSpaceDE/>
        <w:autoSpaceDN/>
        <w:bidi w:val="0"/>
        <w:adjustRightInd/>
        <w:snapToGrid/>
        <w:spacing w:line="480" w:lineRule="auto"/>
        <w:textAlignment w:val="auto"/>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_Toc9487 </w:instrText>
      </w:r>
      <w:r>
        <w:rPr>
          <w:rFonts w:hint="eastAsia" w:ascii="宋体" w:hAnsi="宋体" w:cs="宋体"/>
          <w:highlight w:val="none"/>
        </w:rPr>
        <w:fldChar w:fldCharType="separate"/>
      </w:r>
      <w:r>
        <w:rPr>
          <w:rFonts w:hint="eastAsia" w:ascii="宋体" w:hAnsi="宋体" w:cs="宋体"/>
          <w:bCs/>
          <w:szCs w:val="24"/>
          <w:highlight w:val="none"/>
        </w:rPr>
        <w:t>三、投标文件</w:t>
      </w:r>
      <w:r>
        <w:rPr>
          <w:highlight w:val="none"/>
        </w:rPr>
        <w:tab/>
      </w:r>
      <w:r>
        <w:rPr>
          <w:highlight w:val="none"/>
        </w:rPr>
        <w:fldChar w:fldCharType="begin"/>
      </w:r>
      <w:r>
        <w:rPr>
          <w:highlight w:val="none"/>
        </w:rPr>
        <w:instrText xml:space="preserve"> PAGEREF _Toc9487 \h </w:instrText>
      </w:r>
      <w:r>
        <w:rPr>
          <w:highlight w:val="none"/>
        </w:rPr>
        <w:fldChar w:fldCharType="separate"/>
      </w:r>
      <w:r>
        <w:rPr>
          <w:highlight w:val="none"/>
        </w:rPr>
        <w:t>13</w:t>
      </w:r>
      <w:r>
        <w:rPr>
          <w:highlight w:val="none"/>
        </w:rPr>
        <w:fldChar w:fldCharType="end"/>
      </w:r>
      <w:r>
        <w:rPr>
          <w:rFonts w:hint="eastAsia" w:ascii="宋体" w:hAnsi="宋体" w:cs="宋体"/>
          <w:highlight w:val="none"/>
        </w:rPr>
        <w:fldChar w:fldCharType="end"/>
      </w:r>
    </w:p>
    <w:p w14:paraId="16E9D2C9">
      <w:pPr>
        <w:pStyle w:val="21"/>
        <w:keepNext w:val="0"/>
        <w:keepLines w:val="0"/>
        <w:pageBreakBefore w:val="0"/>
        <w:widowControl w:val="0"/>
        <w:tabs>
          <w:tab w:val="right" w:leader="dot" w:pos="9241"/>
          <w:tab w:val="clear" w:pos="9231"/>
        </w:tabs>
        <w:kinsoku/>
        <w:wordWrap/>
        <w:overflowPunct/>
        <w:topLinePunct w:val="0"/>
        <w:autoSpaceDE/>
        <w:autoSpaceDN/>
        <w:bidi w:val="0"/>
        <w:adjustRightInd/>
        <w:snapToGrid/>
        <w:spacing w:line="480" w:lineRule="auto"/>
        <w:textAlignment w:val="auto"/>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_Toc18030 </w:instrText>
      </w:r>
      <w:r>
        <w:rPr>
          <w:rFonts w:hint="eastAsia" w:ascii="宋体" w:hAnsi="宋体" w:cs="宋体"/>
          <w:highlight w:val="none"/>
        </w:rPr>
        <w:fldChar w:fldCharType="separate"/>
      </w:r>
      <w:r>
        <w:rPr>
          <w:rFonts w:hint="eastAsia" w:ascii="宋体" w:hAnsi="宋体" w:cs="宋体"/>
          <w:bCs/>
          <w:szCs w:val="24"/>
          <w:highlight w:val="none"/>
        </w:rPr>
        <w:t>四、投标文件递交</w:t>
      </w:r>
      <w:r>
        <w:rPr>
          <w:highlight w:val="none"/>
        </w:rPr>
        <w:tab/>
      </w:r>
      <w:r>
        <w:rPr>
          <w:highlight w:val="none"/>
        </w:rPr>
        <w:fldChar w:fldCharType="begin"/>
      </w:r>
      <w:r>
        <w:rPr>
          <w:highlight w:val="none"/>
        </w:rPr>
        <w:instrText xml:space="preserve"> PAGEREF _Toc18030 \h </w:instrText>
      </w:r>
      <w:r>
        <w:rPr>
          <w:highlight w:val="none"/>
        </w:rPr>
        <w:fldChar w:fldCharType="separate"/>
      </w:r>
      <w:r>
        <w:rPr>
          <w:highlight w:val="none"/>
        </w:rPr>
        <w:t>14</w:t>
      </w:r>
      <w:r>
        <w:rPr>
          <w:highlight w:val="none"/>
        </w:rPr>
        <w:fldChar w:fldCharType="end"/>
      </w:r>
      <w:r>
        <w:rPr>
          <w:rFonts w:hint="eastAsia" w:ascii="宋体" w:hAnsi="宋体" w:cs="宋体"/>
          <w:highlight w:val="none"/>
        </w:rPr>
        <w:fldChar w:fldCharType="end"/>
      </w:r>
    </w:p>
    <w:p w14:paraId="3BF90A47">
      <w:pPr>
        <w:pStyle w:val="21"/>
        <w:keepNext w:val="0"/>
        <w:keepLines w:val="0"/>
        <w:pageBreakBefore w:val="0"/>
        <w:widowControl w:val="0"/>
        <w:tabs>
          <w:tab w:val="right" w:leader="dot" w:pos="9241"/>
          <w:tab w:val="clear" w:pos="9231"/>
        </w:tabs>
        <w:kinsoku/>
        <w:wordWrap/>
        <w:overflowPunct/>
        <w:topLinePunct w:val="0"/>
        <w:autoSpaceDE/>
        <w:autoSpaceDN/>
        <w:bidi w:val="0"/>
        <w:adjustRightInd/>
        <w:snapToGrid/>
        <w:spacing w:line="480" w:lineRule="auto"/>
        <w:textAlignment w:val="auto"/>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_Toc11452 </w:instrText>
      </w:r>
      <w:r>
        <w:rPr>
          <w:rFonts w:hint="eastAsia" w:ascii="宋体" w:hAnsi="宋体" w:cs="宋体"/>
          <w:highlight w:val="none"/>
        </w:rPr>
        <w:fldChar w:fldCharType="separate"/>
      </w:r>
      <w:r>
        <w:rPr>
          <w:rFonts w:hint="eastAsia" w:ascii="宋体" w:hAnsi="宋体" w:cs="宋体"/>
          <w:bCs/>
          <w:szCs w:val="24"/>
          <w:highlight w:val="none"/>
        </w:rPr>
        <w:t>五、开标与评标</w:t>
      </w:r>
      <w:r>
        <w:rPr>
          <w:highlight w:val="none"/>
        </w:rPr>
        <w:tab/>
      </w:r>
      <w:r>
        <w:rPr>
          <w:highlight w:val="none"/>
        </w:rPr>
        <w:fldChar w:fldCharType="begin"/>
      </w:r>
      <w:r>
        <w:rPr>
          <w:highlight w:val="none"/>
        </w:rPr>
        <w:instrText xml:space="preserve"> PAGEREF _Toc11452 \h </w:instrText>
      </w:r>
      <w:r>
        <w:rPr>
          <w:highlight w:val="none"/>
        </w:rPr>
        <w:fldChar w:fldCharType="separate"/>
      </w:r>
      <w:r>
        <w:rPr>
          <w:highlight w:val="none"/>
        </w:rPr>
        <w:t>15</w:t>
      </w:r>
      <w:r>
        <w:rPr>
          <w:highlight w:val="none"/>
        </w:rPr>
        <w:fldChar w:fldCharType="end"/>
      </w:r>
      <w:r>
        <w:rPr>
          <w:rFonts w:hint="eastAsia" w:ascii="宋体" w:hAnsi="宋体" w:cs="宋体"/>
          <w:highlight w:val="none"/>
        </w:rPr>
        <w:fldChar w:fldCharType="end"/>
      </w:r>
    </w:p>
    <w:p w14:paraId="7F2641EA">
      <w:pPr>
        <w:pStyle w:val="21"/>
        <w:keepNext w:val="0"/>
        <w:keepLines w:val="0"/>
        <w:pageBreakBefore w:val="0"/>
        <w:widowControl w:val="0"/>
        <w:tabs>
          <w:tab w:val="right" w:leader="dot" w:pos="9241"/>
          <w:tab w:val="clear" w:pos="9231"/>
        </w:tabs>
        <w:kinsoku/>
        <w:wordWrap/>
        <w:overflowPunct/>
        <w:topLinePunct w:val="0"/>
        <w:autoSpaceDE/>
        <w:autoSpaceDN/>
        <w:bidi w:val="0"/>
        <w:adjustRightInd/>
        <w:snapToGrid/>
        <w:spacing w:line="480" w:lineRule="auto"/>
        <w:textAlignment w:val="auto"/>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_Toc15742 </w:instrText>
      </w:r>
      <w:r>
        <w:rPr>
          <w:rFonts w:hint="eastAsia" w:ascii="宋体" w:hAnsi="宋体" w:cs="宋体"/>
          <w:highlight w:val="none"/>
        </w:rPr>
        <w:fldChar w:fldCharType="separate"/>
      </w:r>
      <w:r>
        <w:rPr>
          <w:rFonts w:hint="eastAsia" w:ascii="宋体" w:hAnsi="宋体" w:cs="宋体"/>
          <w:bCs/>
          <w:szCs w:val="24"/>
          <w:highlight w:val="none"/>
        </w:rPr>
        <w:t>六、中标和合同</w:t>
      </w:r>
      <w:r>
        <w:rPr>
          <w:highlight w:val="none"/>
        </w:rPr>
        <w:tab/>
      </w:r>
      <w:r>
        <w:rPr>
          <w:highlight w:val="none"/>
        </w:rPr>
        <w:fldChar w:fldCharType="begin"/>
      </w:r>
      <w:r>
        <w:rPr>
          <w:highlight w:val="none"/>
        </w:rPr>
        <w:instrText xml:space="preserve"> PAGEREF _Toc15742 \h </w:instrText>
      </w:r>
      <w:r>
        <w:rPr>
          <w:highlight w:val="none"/>
        </w:rPr>
        <w:fldChar w:fldCharType="separate"/>
      </w:r>
      <w:r>
        <w:rPr>
          <w:highlight w:val="none"/>
        </w:rPr>
        <w:t>18</w:t>
      </w:r>
      <w:r>
        <w:rPr>
          <w:highlight w:val="none"/>
        </w:rPr>
        <w:fldChar w:fldCharType="end"/>
      </w:r>
      <w:r>
        <w:rPr>
          <w:rFonts w:hint="eastAsia" w:ascii="宋体" w:hAnsi="宋体" w:cs="宋体"/>
          <w:highlight w:val="none"/>
        </w:rPr>
        <w:fldChar w:fldCharType="end"/>
      </w:r>
    </w:p>
    <w:p w14:paraId="65853EB8">
      <w:pPr>
        <w:pStyle w:val="21"/>
        <w:keepNext w:val="0"/>
        <w:keepLines w:val="0"/>
        <w:pageBreakBefore w:val="0"/>
        <w:widowControl w:val="0"/>
        <w:tabs>
          <w:tab w:val="right" w:leader="dot" w:pos="9241"/>
          <w:tab w:val="clear" w:pos="9231"/>
        </w:tabs>
        <w:kinsoku/>
        <w:wordWrap/>
        <w:overflowPunct/>
        <w:topLinePunct w:val="0"/>
        <w:autoSpaceDE/>
        <w:autoSpaceDN/>
        <w:bidi w:val="0"/>
        <w:adjustRightInd/>
        <w:snapToGrid/>
        <w:spacing w:line="480" w:lineRule="auto"/>
        <w:textAlignment w:val="auto"/>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_Toc5988 </w:instrText>
      </w:r>
      <w:r>
        <w:rPr>
          <w:rFonts w:hint="eastAsia" w:ascii="宋体" w:hAnsi="宋体" w:cs="宋体"/>
          <w:highlight w:val="none"/>
        </w:rPr>
        <w:fldChar w:fldCharType="separate"/>
      </w:r>
      <w:r>
        <w:rPr>
          <w:rFonts w:hint="eastAsia" w:ascii="宋体" w:hAnsi="宋体" w:cs="宋体"/>
          <w:bCs/>
          <w:szCs w:val="24"/>
          <w:highlight w:val="none"/>
        </w:rPr>
        <w:t>七、询问和质疑</w:t>
      </w:r>
      <w:r>
        <w:rPr>
          <w:highlight w:val="none"/>
        </w:rPr>
        <w:tab/>
      </w:r>
      <w:r>
        <w:rPr>
          <w:highlight w:val="none"/>
        </w:rPr>
        <w:fldChar w:fldCharType="begin"/>
      </w:r>
      <w:r>
        <w:rPr>
          <w:highlight w:val="none"/>
        </w:rPr>
        <w:instrText xml:space="preserve"> PAGEREF _Toc5988 \h </w:instrText>
      </w:r>
      <w:r>
        <w:rPr>
          <w:highlight w:val="none"/>
        </w:rPr>
        <w:fldChar w:fldCharType="separate"/>
      </w:r>
      <w:r>
        <w:rPr>
          <w:highlight w:val="none"/>
        </w:rPr>
        <w:t>19</w:t>
      </w:r>
      <w:r>
        <w:rPr>
          <w:highlight w:val="none"/>
        </w:rPr>
        <w:fldChar w:fldCharType="end"/>
      </w:r>
      <w:r>
        <w:rPr>
          <w:rFonts w:hint="eastAsia" w:ascii="宋体" w:hAnsi="宋体" w:cs="宋体"/>
          <w:highlight w:val="none"/>
        </w:rPr>
        <w:fldChar w:fldCharType="end"/>
      </w:r>
    </w:p>
    <w:p w14:paraId="75DFEBD0">
      <w:pPr>
        <w:pStyle w:val="21"/>
        <w:keepNext w:val="0"/>
        <w:keepLines w:val="0"/>
        <w:pageBreakBefore w:val="0"/>
        <w:widowControl w:val="0"/>
        <w:tabs>
          <w:tab w:val="right" w:leader="dot" w:pos="9241"/>
          <w:tab w:val="clear" w:pos="9231"/>
        </w:tabs>
        <w:kinsoku/>
        <w:wordWrap/>
        <w:overflowPunct/>
        <w:topLinePunct w:val="0"/>
        <w:autoSpaceDE/>
        <w:autoSpaceDN/>
        <w:bidi w:val="0"/>
        <w:adjustRightInd/>
        <w:snapToGrid/>
        <w:spacing w:line="480" w:lineRule="auto"/>
        <w:textAlignment w:val="auto"/>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_Toc8095 </w:instrText>
      </w:r>
      <w:r>
        <w:rPr>
          <w:rFonts w:hint="eastAsia" w:ascii="宋体" w:hAnsi="宋体" w:cs="宋体"/>
          <w:highlight w:val="none"/>
        </w:rPr>
        <w:fldChar w:fldCharType="separate"/>
      </w:r>
      <w:r>
        <w:rPr>
          <w:rFonts w:hint="eastAsia" w:ascii="宋体" w:hAnsi="宋体" w:cs="宋体"/>
          <w:bCs/>
          <w:szCs w:val="24"/>
          <w:highlight w:val="none"/>
        </w:rPr>
        <w:t>八、其他</w:t>
      </w:r>
      <w:r>
        <w:rPr>
          <w:highlight w:val="none"/>
        </w:rPr>
        <w:tab/>
      </w:r>
      <w:r>
        <w:rPr>
          <w:highlight w:val="none"/>
        </w:rPr>
        <w:fldChar w:fldCharType="begin"/>
      </w:r>
      <w:r>
        <w:rPr>
          <w:highlight w:val="none"/>
        </w:rPr>
        <w:instrText xml:space="preserve"> PAGEREF _Toc8095 \h </w:instrText>
      </w:r>
      <w:r>
        <w:rPr>
          <w:highlight w:val="none"/>
        </w:rPr>
        <w:fldChar w:fldCharType="separate"/>
      </w:r>
      <w:r>
        <w:rPr>
          <w:highlight w:val="none"/>
        </w:rPr>
        <w:t>19</w:t>
      </w:r>
      <w:r>
        <w:rPr>
          <w:highlight w:val="none"/>
        </w:rPr>
        <w:fldChar w:fldCharType="end"/>
      </w:r>
      <w:r>
        <w:rPr>
          <w:rFonts w:hint="eastAsia" w:ascii="宋体" w:hAnsi="宋体" w:cs="宋体"/>
          <w:highlight w:val="none"/>
        </w:rPr>
        <w:fldChar w:fldCharType="end"/>
      </w:r>
    </w:p>
    <w:p w14:paraId="293B57D8">
      <w:pPr>
        <w:pStyle w:val="20"/>
        <w:keepNext w:val="0"/>
        <w:keepLines w:val="0"/>
        <w:pageBreakBefore w:val="0"/>
        <w:widowControl w:val="0"/>
        <w:tabs>
          <w:tab w:val="right" w:leader="dot" w:pos="9241"/>
        </w:tabs>
        <w:kinsoku/>
        <w:wordWrap/>
        <w:overflowPunct/>
        <w:topLinePunct w:val="0"/>
        <w:autoSpaceDE/>
        <w:autoSpaceDN/>
        <w:bidi w:val="0"/>
        <w:adjustRightInd/>
        <w:snapToGrid/>
        <w:spacing w:line="480" w:lineRule="auto"/>
        <w:textAlignment w:val="auto"/>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_Toc21977 </w:instrText>
      </w:r>
      <w:r>
        <w:rPr>
          <w:rFonts w:hint="eastAsia" w:ascii="宋体" w:hAnsi="宋体" w:cs="宋体"/>
          <w:highlight w:val="none"/>
        </w:rPr>
        <w:fldChar w:fldCharType="separate"/>
      </w:r>
      <w:r>
        <w:rPr>
          <w:rFonts w:hint="eastAsia" w:ascii="宋体" w:hAnsi="宋体" w:cs="宋体"/>
          <w:bCs/>
          <w:szCs w:val="32"/>
          <w:highlight w:val="none"/>
        </w:rPr>
        <w:t>第三章  评标方法及标准</w:t>
      </w:r>
      <w:r>
        <w:rPr>
          <w:highlight w:val="none"/>
        </w:rPr>
        <w:tab/>
      </w:r>
      <w:r>
        <w:rPr>
          <w:highlight w:val="none"/>
        </w:rPr>
        <w:fldChar w:fldCharType="begin"/>
      </w:r>
      <w:r>
        <w:rPr>
          <w:highlight w:val="none"/>
        </w:rPr>
        <w:instrText xml:space="preserve"> PAGEREF _Toc21977 \h </w:instrText>
      </w:r>
      <w:r>
        <w:rPr>
          <w:highlight w:val="none"/>
        </w:rPr>
        <w:fldChar w:fldCharType="separate"/>
      </w:r>
      <w:r>
        <w:rPr>
          <w:highlight w:val="none"/>
        </w:rPr>
        <w:t>21</w:t>
      </w:r>
      <w:r>
        <w:rPr>
          <w:highlight w:val="none"/>
        </w:rPr>
        <w:fldChar w:fldCharType="end"/>
      </w:r>
      <w:r>
        <w:rPr>
          <w:rFonts w:hint="eastAsia" w:ascii="宋体" w:hAnsi="宋体" w:cs="宋体"/>
          <w:highlight w:val="none"/>
        </w:rPr>
        <w:fldChar w:fldCharType="end"/>
      </w:r>
    </w:p>
    <w:p w14:paraId="37CB3737">
      <w:pPr>
        <w:pStyle w:val="20"/>
        <w:keepNext w:val="0"/>
        <w:keepLines w:val="0"/>
        <w:pageBreakBefore w:val="0"/>
        <w:widowControl w:val="0"/>
        <w:tabs>
          <w:tab w:val="right" w:leader="dot" w:pos="9241"/>
        </w:tabs>
        <w:kinsoku/>
        <w:wordWrap/>
        <w:overflowPunct/>
        <w:topLinePunct w:val="0"/>
        <w:autoSpaceDE/>
        <w:autoSpaceDN/>
        <w:bidi w:val="0"/>
        <w:adjustRightInd/>
        <w:snapToGrid/>
        <w:spacing w:line="480" w:lineRule="auto"/>
        <w:textAlignment w:val="auto"/>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_Toc21595 </w:instrText>
      </w:r>
      <w:r>
        <w:rPr>
          <w:rFonts w:hint="eastAsia" w:ascii="宋体" w:hAnsi="宋体" w:cs="宋体"/>
          <w:highlight w:val="none"/>
        </w:rPr>
        <w:fldChar w:fldCharType="separate"/>
      </w:r>
      <w:r>
        <w:rPr>
          <w:rFonts w:hint="eastAsia" w:ascii="宋体" w:hAnsi="宋体" w:cs="宋体"/>
          <w:bCs/>
          <w:szCs w:val="32"/>
          <w:highlight w:val="none"/>
        </w:rPr>
        <w:t>第四章 政府采购合同文本</w:t>
      </w:r>
      <w:r>
        <w:rPr>
          <w:highlight w:val="none"/>
        </w:rPr>
        <w:tab/>
      </w:r>
      <w:r>
        <w:rPr>
          <w:highlight w:val="none"/>
        </w:rPr>
        <w:fldChar w:fldCharType="begin"/>
      </w:r>
      <w:r>
        <w:rPr>
          <w:highlight w:val="none"/>
        </w:rPr>
        <w:instrText xml:space="preserve"> PAGEREF _Toc21595 \h </w:instrText>
      </w:r>
      <w:r>
        <w:rPr>
          <w:highlight w:val="none"/>
        </w:rPr>
        <w:fldChar w:fldCharType="separate"/>
      </w:r>
      <w:r>
        <w:rPr>
          <w:highlight w:val="none"/>
        </w:rPr>
        <w:t>27</w:t>
      </w:r>
      <w:r>
        <w:rPr>
          <w:highlight w:val="none"/>
        </w:rPr>
        <w:fldChar w:fldCharType="end"/>
      </w:r>
      <w:r>
        <w:rPr>
          <w:rFonts w:hint="eastAsia" w:ascii="宋体" w:hAnsi="宋体" w:cs="宋体"/>
          <w:highlight w:val="none"/>
        </w:rPr>
        <w:fldChar w:fldCharType="end"/>
      </w:r>
    </w:p>
    <w:p w14:paraId="3FF7A3A4">
      <w:pPr>
        <w:pStyle w:val="20"/>
        <w:keepNext w:val="0"/>
        <w:keepLines w:val="0"/>
        <w:pageBreakBefore w:val="0"/>
        <w:widowControl w:val="0"/>
        <w:tabs>
          <w:tab w:val="right" w:leader="dot" w:pos="9241"/>
        </w:tabs>
        <w:kinsoku/>
        <w:wordWrap/>
        <w:overflowPunct/>
        <w:topLinePunct w:val="0"/>
        <w:autoSpaceDE/>
        <w:autoSpaceDN/>
        <w:bidi w:val="0"/>
        <w:adjustRightInd/>
        <w:snapToGrid/>
        <w:spacing w:line="480" w:lineRule="auto"/>
        <w:textAlignment w:val="auto"/>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_Toc2934 </w:instrText>
      </w:r>
      <w:r>
        <w:rPr>
          <w:rFonts w:hint="eastAsia" w:ascii="宋体" w:hAnsi="宋体" w:cs="宋体"/>
          <w:highlight w:val="none"/>
        </w:rPr>
        <w:fldChar w:fldCharType="separate"/>
      </w:r>
      <w:r>
        <w:rPr>
          <w:rFonts w:hint="eastAsia" w:ascii="宋体" w:hAnsi="宋体" w:cs="宋体"/>
          <w:bCs/>
          <w:szCs w:val="32"/>
          <w:highlight w:val="none"/>
        </w:rPr>
        <w:t>第五章　投标文件格式</w:t>
      </w:r>
      <w:r>
        <w:rPr>
          <w:highlight w:val="none"/>
        </w:rPr>
        <w:tab/>
      </w:r>
      <w:r>
        <w:rPr>
          <w:highlight w:val="none"/>
        </w:rPr>
        <w:fldChar w:fldCharType="begin"/>
      </w:r>
      <w:r>
        <w:rPr>
          <w:highlight w:val="none"/>
        </w:rPr>
        <w:instrText xml:space="preserve"> PAGEREF _Toc2934 \h </w:instrText>
      </w:r>
      <w:r>
        <w:rPr>
          <w:highlight w:val="none"/>
        </w:rPr>
        <w:fldChar w:fldCharType="separate"/>
      </w:r>
      <w:r>
        <w:rPr>
          <w:highlight w:val="none"/>
        </w:rPr>
        <w:t>40</w:t>
      </w:r>
      <w:r>
        <w:rPr>
          <w:highlight w:val="none"/>
        </w:rPr>
        <w:fldChar w:fldCharType="end"/>
      </w:r>
      <w:r>
        <w:rPr>
          <w:rFonts w:hint="eastAsia" w:ascii="宋体" w:hAnsi="宋体" w:cs="宋体"/>
          <w:highlight w:val="none"/>
        </w:rPr>
        <w:fldChar w:fldCharType="end"/>
      </w:r>
    </w:p>
    <w:p w14:paraId="3FD84DFD">
      <w:pPr>
        <w:pStyle w:val="20"/>
        <w:keepNext w:val="0"/>
        <w:keepLines w:val="0"/>
        <w:pageBreakBefore w:val="0"/>
        <w:widowControl w:val="0"/>
        <w:tabs>
          <w:tab w:val="right" w:leader="dot" w:pos="9241"/>
        </w:tabs>
        <w:kinsoku/>
        <w:wordWrap/>
        <w:overflowPunct/>
        <w:topLinePunct w:val="0"/>
        <w:autoSpaceDE/>
        <w:autoSpaceDN/>
        <w:bidi w:val="0"/>
        <w:adjustRightInd/>
        <w:snapToGrid/>
        <w:spacing w:line="480" w:lineRule="auto"/>
        <w:textAlignment w:val="auto"/>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_Toc19377 </w:instrText>
      </w:r>
      <w:r>
        <w:rPr>
          <w:rFonts w:hint="eastAsia" w:ascii="宋体" w:hAnsi="宋体" w:cs="宋体"/>
          <w:highlight w:val="none"/>
        </w:rPr>
        <w:fldChar w:fldCharType="separate"/>
      </w:r>
      <w:r>
        <w:rPr>
          <w:rFonts w:hint="eastAsia" w:ascii="宋体" w:hAnsi="宋体" w:cs="宋体"/>
          <w:bCs/>
          <w:szCs w:val="32"/>
          <w:highlight w:val="none"/>
        </w:rPr>
        <w:t>第六章  项目采购需求</w:t>
      </w:r>
      <w:r>
        <w:rPr>
          <w:highlight w:val="none"/>
        </w:rPr>
        <w:tab/>
      </w:r>
      <w:r>
        <w:rPr>
          <w:highlight w:val="none"/>
        </w:rPr>
        <w:fldChar w:fldCharType="begin"/>
      </w:r>
      <w:r>
        <w:rPr>
          <w:highlight w:val="none"/>
        </w:rPr>
        <w:instrText xml:space="preserve"> PAGEREF _Toc19377 \h </w:instrText>
      </w:r>
      <w:r>
        <w:rPr>
          <w:highlight w:val="none"/>
        </w:rPr>
        <w:fldChar w:fldCharType="separate"/>
      </w:r>
      <w:r>
        <w:rPr>
          <w:highlight w:val="none"/>
        </w:rPr>
        <w:t>67</w:t>
      </w:r>
      <w:r>
        <w:rPr>
          <w:highlight w:val="none"/>
        </w:rPr>
        <w:fldChar w:fldCharType="end"/>
      </w:r>
      <w:r>
        <w:rPr>
          <w:rFonts w:hint="eastAsia" w:ascii="宋体" w:hAnsi="宋体" w:cs="宋体"/>
          <w:highlight w:val="none"/>
        </w:rPr>
        <w:fldChar w:fldCharType="end"/>
      </w:r>
    </w:p>
    <w:p w14:paraId="1A5DFE65">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cs="宋体"/>
          <w:highlight w:val="none"/>
        </w:rPr>
      </w:pPr>
      <w:r>
        <w:rPr>
          <w:rFonts w:hint="eastAsia" w:ascii="宋体" w:hAnsi="宋体" w:cs="宋体"/>
          <w:highlight w:val="none"/>
        </w:rPr>
        <w:fldChar w:fldCharType="end"/>
      </w:r>
    </w:p>
    <w:p w14:paraId="641FE59D">
      <w:pPr>
        <w:rPr>
          <w:rFonts w:ascii="宋体" w:hAnsi="宋体" w:cs="宋体"/>
          <w:highlight w:val="none"/>
        </w:rPr>
        <w:sectPr>
          <w:footerReference r:id="rId11" w:type="first"/>
          <w:headerReference r:id="rId9" w:type="default"/>
          <w:footerReference r:id="rId10" w:type="default"/>
          <w:pgSz w:w="11907" w:h="16839"/>
          <w:pgMar w:top="1440" w:right="1334" w:bottom="1440" w:left="1332" w:header="851" w:footer="992" w:gutter="0"/>
          <w:pgBorders>
            <w:top w:val="none" w:sz="0" w:space="0"/>
            <w:left w:val="none" w:sz="0" w:space="0"/>
            <w:bottom w:val="none" w:sz="0" w:space="0"/>
            <w:right w:val="none" w:sz="0" w:space="0"/>
          </w:pgBorders>
          <w:pgNumType w:start="1"/>
          <w:cols w:space="720" w:num="1"/>
          <w:docGrid w:linePitch="312" w:charSpace="0"/>
        </w:sectPr>
      </w:pPr>
    </w:p>
    <w:p w14:paraId="44E23850">
      <w:pPr>
        <w:spacing w:after="120" w:afterLines="50"/>
        <w:ind w:firstLine="643"/>
        <w:jc w:val="center"/>
        <w:outlineLvl w:val="0"/>
        <w:rPr>
          <w:rFonts w:ascii="宋体" w:hAnsi="宋体" w:cs="宋体"/>
          <w:b/>
          <w:bCs/>
          <w:color w:val="auto"/>
          <w:sz w:val="32"/>
          <w:szCs w:val="32"/>
          <w:highlight w:val="none"/>
        </w:rPr>
      </w:pPr>
      <w:bookmarkStart w:id="0" w:name="_Toc17227"/>
      <w:bookmarkStart w:id="1" w:name="_Toc132880271"/>
      <w:r>
        <w:rPr>
          <w:rFonts w:hint="eastAsia" w:ascii="宋体" w:hAnsi="宋体" w:cs="宋体"/>
          <w:b/>
          <w:bCs/>
          <w:color w:val="auto"/>
          <w:sz w:val="32"/>
          <w:szCs w:val="32"/>
          <w:highlight w:val="none"/>
        </w:rPr>
        <w:t>第一章  投标邀请</w:t>
      </w:r>
      <w:bookmarkEnd w:id="0"/>
      <w:bookmarkEnd w:id="1"/>
    </w:p>
    <w:p w14:paraId="39C03C8F">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项目概况</w:t>
      </w:r>
    </w:p>
    <w:p w14:paraId="3946957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highlight w:val="none"/>
        </w:rPr>
      </w:pPr>
      <w:r>
        <w:rPr>
          <w:rFonts w:hint="eastAsia" w:ascii="宋体" w:hAnsi="宋体" w:cs="宋体"/>
          <w:color w:val="auto"/>
          <w:szCs w:val="21"/>
          <w:highlight w:val="none"/>
          <w:u w:val="single"/>
          <w:lang w:eastAsia="zh-CN"/>
        </w:rPr>
        <w:t>国家税务总局湖南省税务局2025年数据中心运行维护项目（第二次）</w:t>
      </w:r>
      <w:r>
        <w:rPr>
          <w:rFonts w:hint="eastAsia" w:ascii="宋体" w:hAnsi="宋体" w:cs="宋体"/>
          <w:color w:val="auto"/>
          <w:szCs w:val="21"/>
          <w:highlight w:val="none"/>
        </w:rPr>
        <w:t>招标项</w:t>
      </w:r>
      <w:r>
        <w:rPr>
          <w:rFonts w:hint="eastAsia" w:ascii="宋体" w:hAnsi="宋体" w:cs="宋体"/>
          <w:szCs w:val="21"/>
          <w:highlight w:val="none"/>
        </w:rPr>
        <w:t>目的潜在投标人应在</w:t>
      </w:r>
      <w:r>
        <w:rPr>
          <w:rFonts w:hint="eastAsia" w:ascii="宋体" w:hAnsi="宋体" w:cs="宋体"/>
          <w:color w:val="000000" w:themeColor="text1"/>
          <w:kern w:val="0"/>
          <w:szCs w:val="21"/>
          <w:highlight w:val="none"/>
          <w:u w:val="single"/>
          <w:lang w:eastAsia="zh-CN"/>
          <w14:textFill>
            <w14:solidFill>
              <w14:schemeClr w14:val="tx1"/>
            </w14:solidFill>
          </w14:textFill>
        </w:rPr>
        <w:t>天鉴国际工程管理有限公司</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olor w:val="000000"/>
          <w:kern w:val="0"/>
          <w:highlight w:val="none"/>
          <w:u w:val="single"/>
          <w:lang w:eastAsia="zh-CN"/>
        </w:rPr>
        <w:t>长沙市雨花区金海路128号天鉴大厦4楼401室</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szCs w:val="21"/>
          <w:highlight w:val="none"/>
        </w:rPr>
        <w:t>获取招标文件，并于</w:t>
      </w:r>
      <w:r>
        <w:rPr>
          <w:rFonts w:hint="eastAsia" w:ascii="宋体" w:hAnsi="宋体" w:cs="宋体"/>
          <w:b/>
          <w:bCs/>
          <w:color w:val="000000" w:themeColor="text1"/>
          <w:szCs w:val="21"/>
          <w:highlight w:val="none"/>
          <w:u w:val="single"/>
          <w14:textFill>
            <w14:solidFill>
              <w14:schemeClr w14:val="tx1"/>
            </w14:solidFill>
          </w14:textFill>
        </w:rPr>
        <w:t xml:space="preserve"> 2024 年</w:t>
      </w:r>
      <w:r>
        <w:rPr>
          <w:rFonts w:hint="eastAsia" w:ascii="宋体" w:hAnsi="宋体" w:cs="宋体"/>
          <w:b/>
          <w:bCs/>
          <w:color w:val="000000" w:themeColor="text1"/>
          <w:szCs w:val="21"/>
          <w:highlight w:val="none"/>
          <w:u w:val="single"/>
          <w:lang w:val="en-US" w:eastAsia="zh-CN"/>
          <w14:textFill>
            <w14:solidFill>
              <w14:schemeClr w14:val="tx1"/>
            </w14:solidFill>
          </w14:textFill>
        </w:rPr>
        <w:t>12</w:t>
      </w:r>
      <w:r>
        <w:rPr>
          <w:rFonts w:hint="eastAsia" w:ascii="宋体" w:hAnsi="宋体" w:cs="宋体"/>
          <w:b/>
          <w:bCs/>
          <w:color w:val="000000" w:themeColor="text1"/>
          <w:szCs w:val="21"/>
          <w:highlight w:val="none"/>
          <w:u w:val="single"/>
          <w14:textFill>
            <w14:solidFill>
              <w14:schemeClr w14:val="tx1"/>
            </w14:solidFill>
          </w14:textFill>
        </w:rPr>
        <w:t>月</w:t>
      </w:r>
      <w:r>
        <w:rPr>
          <w:rFonts w:hint="eastAsia" w:ascii="宋体" w:hAnsi="宋体" w:cs="宋体"/>
          <w:b/>
          <w:bCs/>
          <w:color w:val="000000" w:themeColor="text1"/>
          <w:szCs w:val="21"/>
          <w:highlight w:val="none"/>
          <w:u w:val="single"/>
          <w:lang w:val="en-US" w:eastAsia="zh-CN"/>
          <w14:textFill>
            <w14:solidFill>
              <w14:schemeClr w14:val="tx1"/>
            </w14:solidFill>
          </w14:textFill>
        </w:rPr>
        <w:t>25</w:t>
      </w:r>
      <w:r>
        <w:rPr>
          <w:rFonts w:hint="eastAsia" w:ascii="宋体" w:hAnsi="宋体" w:cs="宋体"/>
          <w:b/>
          <w:bCs/>
          <w:color w:val="000000" w:themeColor="text1"/>
          <w:szCs w:val="21"/>
          <w:highlight w:val="none"/>
          <w:u w:val="single"/>
          <w14:textFill>
            <w14:solidFill>
              <w14:schemeClr w14:val="tx1"/>
            </w14:solidFill>
          </w14:textFill>
        </w:rPr>
        <w:t>日</w:t>
      </w:r>
      <w:r>
        <w:rPr>
          <w:rFonts w:hint="eastAsia" w:ascii="宋体" w:hAnsi="宋体" w:cs="宋体"/>
          <w:b/>
          <w:bCs/>
          <w:color w:val="000000" w:themeColor="text1"/>
          <w:szCs w:val="21"/>
          <w:highlight w:val="none"/>
          <w:u w:val="single"/>
          <w:lang w:val="en-US" w:eastAsia="zh-CN"/>
          <w14:textFill>
            <w14:solidFill>
              <w14:schemeClr w14:val="tx1"/>
            </w14:solidFill>
          </w14:textFill>
        </w:rPr>
        <w:t>9</w:t>
      </w:r>
      <w:r>
        <w:rPr>
          <w:rFonts w:hint="eastAsia" w:ascii="宋体" w:hAnsi="宋体" w:cs="宋体"/>
          <w:b/>
          <w:bCs/>
          <w:color w:val="000000" w:themeColor="text1"/>
          <w:szCs w:val="21"/>
          <w:highlight w:val="none"/>
          <w:u w:val="single"/>
          <w14:textFill>
            <w14:solidFill>
              <w14:schemeClr w14:val="tx1"/>
            </w14:solidFill>
          </w14:textFill>
        </w:rPr>
        <w:t>点</w:t>
      </w:r>
      <w:r>
        <w:rPr>
          <w:rFonts w:hint="eastAsia" w:ascii="宋体" w:hAnsi="宋体" w:cs="宋体"/>
          <w:b/>
          <w:bCs/>
          <w:color w:val="000000" w:themeColor="text1"/>
          <w:szCs w:val="21"/>
          <w:highlight w:val="none"/>
          <w:u w:val="single"/>
          <w:lang w:val="en-US" w:eastAsia="zh-CN"/>
          <w14:textFill>
            <w14:solidFill>
              <w14:schemeClr w14:val="tx1"/>
            </w14:solidFill>
          </w14:textFill>
        </w:rPr>
        <w:t>3</w:t>
      </w:r>
      <w:r>
        <w:rPr>
          <w:rFonts w:hint="eastAsia" w:ascii="宋体" w:hAnsi="宋体" w:cs="宋体"/>
          <w:b/>
          <w:bCs/>
          <w:color w:val="000000" w:themeColor="text1"/>
          <w:szCs w:val="21"/>
          <w:highlight w:val="none"/>
          <w:u w:val="single"/>
          <w14:textFill>
            <w14:solidFill>
              <w14:schemeClr w14:val="tx1"/>
            </w14:solidFill>
          </w14:textFill>
        </w:rPr>
        <w:t>0分</w:t>
      </w:r>
      <w:r>
        <w:rPr>
          <w:rFonts w:hint="eastAsia" w:ascii="宋体" w:hAnsi="宋体" w:cs="宋体"/>
          <w:bCs/>
          <w:szCs w:val="21"/>
          <w:highlight w:val="none"/>
        </w:rPr>
        <w:t>（北京时间）前递交投标文件</w:t>
      </w:r>
      <w:r>
        <w:rPr>
          <w:rFonts w:hint="eastAsia" w:ascii="宋体" w:hAnsi="宋体" w:cs="宋体"/>
          <w:szCs w:val="21"/>
          <w:highlight w:val="none"/>
        </w:rPr>
        <w:t>。</w:t>
      </w:r>
    </w:p>
    <w:p w14:paraId="2CAA25D3">
      <w:pPr>
        <w:spacing w:line="420" w:lineRule="exact"/>
        <w:ind w:firstLine="482"/>
        <w:rPr>
          <w:rFonts w:ascii="宋体" w:hAnsi="宋体" w:cs="宋体"/>
          <w:b/>
          <w:bCs/>
          <w:color w:val="auto"/>
          <w:sz w:val="24"/>
          <w:szCs w:val="24"/>
          <w:highlight w:val="none"/>
        </w:rPr>
      </w:pPr>
      <w:r>
        <w:rPr>
          <w:rFonts w:hint="eastAsia" w:ascii="宋体" w:hAnsi="宋体" w:cs="宋体"/>
          <w:b/>
          <w:bCs/>
          <w:color w:val="auto"/>
          <w:sz w:val="24"/>
          <w:szCs w:val="24"/>
          <w:highlight w:val="none"/>
        </w:rPr>
        <w:t>一、项目基本情况</w:t>
      </w:r>
    </w:p>
    <w:p w14:paraId="49036888">
      <w:pPr>
        <w:spacing w:line="42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olor w:val="auto"/>
          <w:highlight w:val="none"/>
          <w:lang w:eastAsia="zh-CN"/>
        </w:rPr>
        <w:t>TJGJCS2024-296</w:t>
      </w:r>
    </w:p>
    <w:p w14:paraId="31A6109B">
      <w:pPr>
        <w:spacing w:line="42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olor w:val="auto"/>
          <w:kern w:val="0"/>
          <w:highlight w:val="none"/>
          <w:lang w:eastAsia="zh-CN"/>
        </w:rPr>
        <w:t>国家税务总局湖南省税务局2025年数据中心运行维护项目（第二次）</w:t>
      </w:r>
    </w:p>
    <w:p w14:paraId="253B9898">
      <w:pPr>
        <w:spacing w:line="42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预算金额</w:t>
      </w:r>
      <w:r>
        <w:rPr>
          <w:rFonts w:hint="eastAsia" w:ascii="宋体" w:hAnsi="宋体"/>
          <w:color w:val="auto"/>
          <w:kern w:val="0"/>
          <w:highlight w:val="none"/>
        </w:rPr>
        <w:t>（人民币）</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335.44</w:t>
      </w:r>
      <w:r>
        <w:rPr>
          <w:rFonts w:hint="eastAsia" w:ascii="宋体" w:hAnsi="宋体" w:cs="宋体"/>
          <w:color w:val="auto"/>
          <w:szCs w:val="21"/>
          <w:highlight w:val="none"/>
          <w:lang w:eastAsia="zh-CN"/>
        </w:rPr>
        <w:t>万元</w:t>
      </w:r>
      <w:r>
        <w:rPr>
          <w:rFonts w:hint="eastAsia" w:ascii="宋体" w:hAnsi="宋体"/>
          <w:color w:val="auto"/>
          <w:kern w:val="0"/>
          <w:highlight w:val="none"/>
          <w:lang w:val="en-US" w:eastAsia="zh-CN"/>
        </w:rPr>
        <w:t>。</w:t>
      </w:r>
    </w:p>
    <w:p w14:paraId="0620BF7F">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olor w:val="auto"/>
          <w:kern w:val="0"/>
          <w:highlight w:val="none"/>
        </w:rPr>
        <w:t>人民币</w:t>
      </w:r>
      <w:r>
        <w:rPr>
          <w:rFonts w:hint="eastAsia" w:ascii="宋体" w:hAnsi="宋体" w:cs="宋体"/>
          <w:color w:val="auto"/>
          <w:szCs w:val="21"/>
          <w:highlight w:val="none"/>
        </w:rPr>
        <w:t>）：</w:t>
      </w:r>
      <w:r>
        <w:rPr>
          <w:rFonts w:hint="eastAsia" w:ascii="宋体" w:hAnsi="宋体"/>
          <w:color w:val="auto"/>
          <w:kern w:val="0"/>
          <w:highlight w:val="none"/>
          <w:lang w:val="en-US" w:eastAsia="zh-CN"/>
        </w:rPr>
        <w:t>335.44万元。</w:t>
      </w:r>
    </w:p>
    <w:p w14:paraId="23244851">
      <w:pPr>
        <w:widowControl/>
        <w:shd w:val="clear" w:color="auto"/>
        <w:spacing w:line="420" w:lineRule="exact"/>
        <w:ind w:firstLine="420" w:firstLineChars="20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采购需求：</w:t>
      </w:r>
    </w:p>
    <w:tbl>
      <w:tblPr>
        <w:tblStyle w:val="24"/>
        <w:tblW w:w="95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319"/>
        <w:gridCol w:w="5144"/>
        <w:gridCol w:w="1327"/>
      </w:tblGrid>
      <w:tr w14:paraId="4060C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29" w:type="dxa"/>
            <w:vAlign w:val="center"/>
          </w:tcPr>
          <w:p w14:paraId="6BBA348E">
            <w:pPr>
              <w:pStyle w:val="2"/>
              <w:widowControl w:val="0"/>
              <w:spacing w:after="0" w:afterLines="0" w:line="24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序</w:t>
            </w:r>
            <w:r>
              <w:rPr>
                <w:rFonts w:hint="eastAsia" w:ascii="宋体" w:hAnsi="宋体" w:eastAsia="宋体" w:cs="宋体"/>
                <w:b/>
                <w:bCs/>
                <w:color w:val="auto"/>
                <w:sz w:val="21"/>
                <w:szCs w:val="21"/>
                <w:highlight w:val="none"/>
                <w:lang w:val="en-US" w:eastAsia="zh-CN"/>
              </w:rPr>
              <w:t>号</w:t>
            </w:r>
          </w:p>
        </w:tc>
        <w:tc>
          <w:tcPr>
            <w:tcW w:w="2319" w:type="dxa"/>
            <w:vAlign w:val="center"/>
          </w:tcPr>
          <w:p w14:paraId="0C7FD15B">
            <w:pPr>
              <w:pStyle w:val="2"/>
              <w:widowControl w:val="0"/>
              <w:spacing w:after="0" w:afterLines="0" w:line="240" w:lineRule="auto"/>
              <w:ind w:left="0" w:leftChars="0" w:firstLine="0" w:firstLineChars="0"/>
              <w:jc w:val="center"/>
              <w:rPr>
                <w:rFonts w:hint="eastAsia" w:ascii="宋体" w:hAnsi="宋体" w:eastAsia="宋体" w:cs="宋体"/>
                <w:b/>
                <w:bCs/>
                <w:color w:val="auto"/>
                <w:kern w:val="2"/>
                <w:sz w:val="21"/>
                <w:szCs w:val="21"/>
                <w:highlight w:val="none"/>
                <w:lang w:val="en-US"/>
              </w:rPr>
            </w:pPr>
            <w:r>
              <w:rPr>
                <w:rFonts w:hint="eastAsia" w:ascii="宋体" w:hAnsi="宋体" w:eastAsia="宋体" w:cs="宋体"/>
                <w:b/>
                <w:bCs/>
                <w:color w:val="auto"/>
                <w:sz w:val="21"/>
                <w:szCs w:val="21"/>
                <w:highlight w:val="none"/>
                <w:lang w:val="en-US"/>
              </w:rPr>
              <w:t>标的名称（即包名）</w:t>
            </w:r>
          </w:p>
        </w:tc>
        <w:tc>
          <w:tcPr>
            <w:tcW w:w="5144" w:type="dxa"/>
            <w:vAlign w:val="center"/>
          </w:tcPr>
          <w:p w14:paraId="4E59A68C">
            <w:pPr>
              <w:pStyle w:val="2"/>
              <w:widowControl w:val="0"/>
              <w:spacing w:after="0" w:afterLines="0" w:line="240" w:lineRule="auto"/>
              <w:ind w:left="0" w:leftChars="0" w:firstLine="0" w:firstLineChars="0"/>
              <w:jc w:val="center"/>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简要采购内容</w:t>
            </w:r>
          </w:p>
        </w:tc>
        <w:tc>
          <w:tcPr>
            <w:tcW w:w="1327" w:type="dxa"/>
            <w:vAlign w:val="center"/>
          </w:tcPr>
          <w:p w14:paraId="2CF75F32">
            <w:pPr>
              <w:pStyle w:val="2"/>
              <w:widowControl w:val="0"/>
              <w:spacing w:after="0" w:afterLines="0" w:line="240" w:lineRule="auto"/>
              <w:ind w:left="0" w:leftChars="0" w:firstLine="0" w:firstLineChars="0"/>
              <w:jc w:val="center"/>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最高限价（万元）</w:t>
            </w:r>
          </w:p>
        </w:tc>
      </w:tr>
      <w:tr w14:paraId="1E07D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29" w:type="dxa"/>
            <w:vAlign w:val="center"/>
          </w:tcPr>
          <w:p w14:paraId="57B14171">
            <w:pPr>
              <w:pStyle w:val="2"/>
              <w:widowControl w:val="0"/>
              <w:spacing w:after="0" w:afterLines="0" w:line="24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319" w:type="dxa"/>
            <w:vAlign w:val="center"/>
          </w:tcPr>
          <w:p w14:paraId="60C8B613">
            <w:pPr>
              <w:pStyle w:val="2"/>
              <w:widowControl w:val="0"/>
              <w:spacing w:after="0" w:afterLines="0" w:line="240" w:lineRule="auto"/>
              <w:ind w:left="0" w:leftChars="0" w:firstLine="0" w:firstLineChars="0"/>
              <w:jc w:val="center"/>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国家税务总局湖南省税务局2025年数据中心运行维护项目（第二次）</w:t>
            </w:r>
          </w:p>
        </w:tc>
        <w:tc>
          <w:tcPr>
            <w:tcW w:w="5144" w:type="dxa"/>
            <w:vAlign w:val="center"/>
          </w:tcPr>
          <w:p w14:paraId="5A323A89">
            <w:pPr>
              <w:pStyle w:val="2"/>
              <w:widowControl w:val="0"/>
              <w:spacing w:after="0" w:afterLines="0" w:line="240" w:lineRule="auto"/>
              <w:ind w:left="0" w:leftChars="0" w:firstLine="0" w:firstLine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lang w:val="en-US"/>
              </w:rPr>
              <w:t>国家税务总局湖南省税务局数据中心及其辅助工作区的环境类、IT类设备及系统软件</w:t>
            </w:r>
            <w:r>
              <w:rPr>
                <w:rFonts w:hint="eastAsia" w:ascii="宋体" w:hAnsi="宋体" w:eastAsia="宋体" w:cs="宋体"/>
                <w:color w:val="auto"/>
                <w:sz w:val="21"/>
                <w:szCs w:val="21"/>
                <w:highlight w:val="none"/>
                <w:lang w:val="en-US" w:eastAsia="zh-CN"/>
              </w:rPr>
              <w:t>提供12个月7×24小时人员驻场及相关软硬件设备</w:t>
            </w:r>
            <w:r>
              <w:rPr>
                <w:rFonts w:hint="eastAsia" w:ascii="宋体" w:hAnsi="宋体" w:eastAsia="宋体" w:cs="宋体"/>
                <w:color w:val="auto"/>
                <w:sz w:val="21"/>
                <w:szCs w:val="21"/>
                <w:highlight w:val="none"/>
                <w:lang w:val="en-US"/>
              </w:rPr>
              <w:t>运维服务</w:t>
            </w:r>
          </w:p>
        </w:tc>
        <w:tc>
          <w:tcPr>
            <w:tcW w:w="1327" w:type="dxa"/>
            <w:vAlign w:val="center"/>
          </w:tcPr>
          <w:p w14:paraId="1AE62809">
            <w:pPr>
              <w:pStyle w:val="32"/>
              <w:ind w:firstLine="0" w:firstLineChars="0"/>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335.44</w:t>
            </w:r>
          </w:p>
        </w:tc>
      </w:tr>
    </w:tbl>
    <w:p w14:paraId="759A84EC">
      <w:pPr>
        <w:spacing w:line="42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合同履行期限：</w:t>
      </w:r>
      <w:r>
        <w:rPr>
          <w:rFonts w:hint="eastAsia" w:ascii="宋体" w:hAnsi="宋体" w:cs="宋体"/>
          <w:color w:val="auto"/>
          <w:szCs w:val="21"/>
          <w:highlight w:val="none"/>
          <w:lang w:val="en-US" w:eastAsia="zh-CN"/>
        </w:rPr>
        <w:t>2025年1月1日</w:t>
      </w:r>
      <w:r>
        <w:rPr>
          <w:rFonts w:hint="eastAsia" w:ascii="宋体" w:hAnsi="宋体" w:cs="宋体"/>
          <w:color w:val="auto"/>
          <w:szCs w:val="21"/>
          <w:highlight w:val="none"/>
        </w:rPr>
        <w:t>至</w:t>
      </w:r>
      <w:r>
        <w:rPr>
          <w:rFonts w:hint="eastAsia" w:ascii="宋体" w:hAnsi="宋体" w:cs="宋体"/>
          <w:color w:val="auto"/>
          <w:szCs w:val="21"/>
          <w:highlight w:val="none"/>
          <w:lang w:val="en-US" w:eastAsia="zh-CN"/>
        </w:rPr>
        <w:t>2025年12月31日</w:t>
      </w:r>
      <w:r>
        <w:rPr>
          <w:rFonts w:hint="eastAsia" w:ascii="宋体" w:hAnsi="宋体" w:cs="宋体"/>
          <w:color w:val="auto"/>
          <w:szCs w:val="21"/>
          <w:highlight w:val="none"/>
        </w:rPr>
        <w:t>。</w:t>
      </w:r>
    </w:p>
    <w:p w14:paraId="1BE53335">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本项目不接受联合体投标。</w:t>
      </w:r>
    </w:p>
    <w:p w14:paraId="38618102">
      <w:pPr>
        <w:spacing w:line="420" w:lineRule="exact"/>
        <w:ind w:firstLine="482"/>
        <w:rPr>
          <w:rFonts w:ascii="宋体" w:hAnsi="宋体" w:cs="宋体"/>
          <w:b/>
          <w:bCs/>
          <w:color w:val="auto"/>
          <w:sz w:val="24"/>
          <w:szCs w:val="24"/>
          <w:highlight w:val="none"/>
        </w:rPr>
      </w:pPr>
      <w:r>
        <w:rPr>
          <w:rFonts w:hint="eastAsia" w:ascii="宋体" w:hAnsi="宋体" w:cs="宋体"/>
          <w:b/>
          <w:bCs/>
          <w:color w:val="auto"/>
          <w:sz w:val="24"/>
          <w:szCs w:val="24"/>
          <w:highlight w:val="none"/>
        </w:rPr>
        <w:t>二、申请人的资格要求</w:t>
      </w:r>
    </w:p>
    <w:p w14:paraId="203B6801">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0BDFE6E9">
      <w:pPr>
        <w:widowControl/>
        <w:shd w:val="clear" w:color="auto"/>
        <w:spacing w:line="420" w:lineRule="exact"/>
        <w:ind w:firstLine="420" w:firstLineChars="200"/>
        <w:jc w:val="left"/>
        <w:textAlignment w:val="baseline"/>
        <w:rPr>
          <w:rFonts w:ascii="宋体" w:hAnsi="宋体" w:cs="宋体"/>
          <w:szCs w:val="21"/>
          <w:highlight w:val="none"/>
        </w:rPr>
      </w:pPr>
      <w:r>
        <w:rPr>
          <w:rFonts w:hint="eastAsia" w:ascii="宋体" w:hAnsi="宋体" w:cs="宋体"/>
          <w:color w:val="auto"/>
          <w:szCs w:val="21"/>
          <w:highlight w:val="none"/>
        </w:rPr>
        <w:t>2.落实政府采购政策需满足的资格要求：</w:t>
      </w:r>
      <w:r>
        <w:rPr>
          <w:rFonts w:hint="eastAsia" w:ascii="宋体" w:hAnsi="宋体" w:eastAsia="宋体" w:cs="宋体"/>
          <w:b/>
          <w:bCs/>
          <w:color w:val="auto"/>
          <w:szCs w:val="21"/>
          <w:highlight w:val="none"/>
        </w:rPr>
        <w:t>本项目专门面向中小企业采购</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监狱企业、残疾人福利企业视同小型微型企业</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各</w:t>
      </w:r>
      <w:r>
        <w:rPr>
          <w:rFonts w:hint="eastAsia" w:ascii="宋体" w:hAnsi="宋体" w:cs="宋体"/>
          <w:b/>
          <w:bCs/>
          <w:color w:val="auto"/>
          <w:szCs w:val="21"/>
          <w:highlight w:val="none"/>
          <w:lang w:val="en-US" w:eastAsia="zh-CN"/>
        </w:rPr>
        <w:t>投标人应根据自身情况在投标文件中提供《中小企业声明函》或《监狱企业证明文件》或《残疾人福利性单位声明函》（格式详见“第五章　投标文件格式”）</w:t>
      </w:r>
      <w:r>
        <w:rPr>
          <w:rFonts w:hint="eastAsia" w:ascii="宋体" w:hAnsi="宋体" w:eastAsia="宋体" w:cs="宋体"/>
          <w:b/>
          <w:bCs/>
          <w:color w:val="auto"/>
          <w:szCs w:val="21"/>
          <w:highlight w:val="none"/>
          <w:lang w:val="en-US" w:eastAsia="zh-CN"/>
        </w:rPr>
        <w:t>，否则视为无效</w:t>
      </w:r>
      <w:r>
        <w:rPr>
          <w:rFonts w:hint="eastAsia" w:ascii="宋体" w:hAnsi="宋体" w:cs="宋体"/>
          <w:b/>
          <w:bCs/>
          <w:color w:val="auto"/>
          <w:szCs w:val="21"/>
          <w:highlight w:val="none"/>
          <w:lang w:val="en-US" w:eastAsia="zh-CN"/>
        </w:rPr>
        <w:t>投标</w:t>
      </w:r>
      <w:r>
        <w:rPr>
          <w:rFonts w:hint="eastAsia" w:ascii="宋体" w:hAnsi="宋体" w:eastAsia="宋体" w:cs="宋体"/>
          <w:b/>
          <w:bCs/>
          <w:color w:val="auto"/>
          <w:szCs w:val="21"/>
          <w:highlight w:val="none"/>
          <w:lang w:val="en-US" w:eastAsia="zh-CN"/>
        </w:rPr>
        <w:t>。本项目对应中小企业划分标准所属行业为：软件和信息技术服务业（中小企业划型标准符合工信部联企业〔2011〕300号文）。</w:t>
      </w:r>
    </w:p>
    <w:p w14:paraId="7E72AEB8">
      <w:pPr>
        <w:shd w:val="clear"/>
        <w:spacing w:line="420" w:lineRule="exact"/>
        <w:ind w:firstLine="420" w:firstLineChars="200"/>
        <w:rPr>
          <w:rFonts w:hint="eastAsia" w:hAnsi="宋体" w:cs="宋体"/>
          <w:color w:val="000000" w:themeColor="text1"/>
          <w:highlight w:val="none"/>
          <w14:textFill>
            <w14:solidFill>
              <w14:schemeClr w14:val="tx1"/>
            </w14:solidFill>
          </w14:textFill>
        </w:rPr>
      </w:pPr>
      <w:r>
        <w:rPr>
          <w:rFonts w:hint="eastAsia" w:ascii="宋体" w:hAnsi="宋体" w:cs="宋体"/>
          <w:szCs w:val="21"/>
          <w:highlight w:val="none"/>
        </w:rPr>
        <w:t>3.本项目的特定资格要求：</w:t>
      </w:r>
      <w:r>
        <w:rPr>
          <w:rFonts w:hint="eastAsia" w:hAnsi="宋体" w:cs="宋体"/>
          <w:color w:val="000000" w:themeColor="text1"/>
          <w:highlight w:val="none"/>
          <w14:textFill>
            <w14:solidFill>
              <w14:schemeClr w14:val="tx1"/>
            </w14:solidFill>
          </w14:textFill>
        </w:rPr>
        <w:t>无。</w:t>
      </w:r>
    </w:p>
    <w:p w14:paraId="4ACC230E">
      <w:pPr>
        <w:widowControl/>
        <w:shd w:val="clear" w:color="auto"/>
        <w:spacing w:line="420" w:lineRule="exact"/>
        <w:ind w:firstLine="420" w:firstLineChars="200"/>
        <w:jc w:val="left"/>
        <w:textAlignment w:val="baseline"/>
        <w:rPr>
          <w:rFonts w:ascii="宋体" w:hAnsi="宋体"/>
          <w:color w:val="000000"/>
          <w:kern w:val="0"/>
          <w:highlight w:val="none"/>
        </w:rPr>
      </w:pPr>
      <w:r>
        <w:rPr>
          <w:rFonts w:hint="eastAsia" w:ascii="宋体" w:hAnsi="宋体"/>
          <w:color w:val="000000"/>
          <w:kern w:val="0"/>
          <w:highlight w:val="none"/>
          <w:lang w:val="en-US" w:eastAsia="zh-CN"/>
        </w:rPr>
        <w:t>4.</w:t>
      </w:r>
      <w:r>
        <w:rPr>
          <w:rFonts w:hint="eastAsia" w:ascii="宋体" w:hAnsi="宋体"/>
          <w:color w:val="000000"/>
          <w:kern w:val="0"/>
          <w:highlight w:val="none"/>
        </w:rPr>
        <w:t>投标人必须未被列入信用中国网站（www.creditchina.gov.cn）、中国政府采购网（www.ccgp.gov.cn）渠道信用记录失信被执行人、重大税收违法案件当事人名单、政府采购严重违法失信行为记录名单。</w:t>
      </w:r>
    </w:p>
    <w:p w14:paraId="30B92BAA">
      <w:pPr>
        <w:spacing w:line="420" w:lineRule="exact"/>
        <w:ind w:firstLine="482"/>
        <w:rPr>
          <w:rFonts w:ascii="宋体" w:hAnsi="宋体" w:cs="宋体"/>
          <w:b/>
          <w:bCs/>
          <w:sz w:val="24"/>
          <w:szCs w:val="24"/>
          <w:highlight w:val="none"/>
        </w:rPr>
      </w:pPr>
      <w:r>
        <w:rPr>
          <w:rFonts w:hint="eastAsia" w:ascii="宋体" w:hAnsi="宋体" w:cs="宋体"/>
          <w:b/>
          <w:bCs/>
          <w:sz w:val="24"/>
          <w:szCs w:val="24"/>
          <w:highlight w:val="none"/>
        </w:rPr>
        <w:t>三、获取招标文件</w:t>
      </w:r>
    </w:p>
    <w:p w14:paraId="78CC0AF1">
      <w:pPr>
        <w:spacing w:line="420" w:lineRule="exact"/>
        <w:ind w:firstLine="420"/>
        <w:rPr>
          <w:rFonts w:ascii="宋体" w:hAnsi="宋体" w:cs="宋体"/>
          <w:szCs w:val="21"/>
          <w:highlight w:val="none"/>
        </w:rPr>
      </w:pPr>
      <w:r>
        <w:rPr>
          <w:rFonts w:hint="eastAsia" w:ascii="宋体" w:hAnsi="宋体" w:cs="宋体"/>
          <w:szCs w:val="21"/>
          <w:highlight w:val="none"/>
        </w:rPr>
        <w:t>时间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u w:val="single"/>
          <w:lang w:eastAsia="zh-CN"/>
          <w14:textFill>
            <w14:solidFill>
              <w14:schemeClr w14:val="tx1"/>
            </w14:solidFill>
          </w14:textFill>
        </w:rPr>
        <w:t>2024年</w:t>
      </w:r>
      <w:r>
        <w:rPr>
          <w:rFonts w:hint="eastAsia" w:ascii="宋体" w:hAnsi="宋体" w:cs="宋体"/>
          <w:b/>
          <w:bCs/>
          <w:color w:val="000000" w:themeColor="text1"/>
          <w:szCs w:val="21"/>
          <w:highlight w:val="none"/>
          <w:u w:val="single"/>
          <w:lang w:val="en-US" w:eastAsia="zh-CN"/>
          <w14:textFill>
            <w14:solidFill>
              <w14:schemeClr w14:val="tx1"/>
            </w14:solidFill>
          </w14:textFill>
        </w:rPr>
        <w:t>12</w:t>
      </w:r>
      <w:r>
        <w:rPr>
          <w:rFonts w:hint="eastAsia" w:ascii="宋体" w:hAnsi="宋体" w:cs="宋体"/>
          <w:b/>
          <w:bCs/>
          <w:color w:val="000000" w:themeColor="text1"/>
          <w:szCs w:val="21"/>
          <w:highlight w:val="none"/>
          <w:u w:val="single"/>
          <w:lang w:eastAsia="zh-CN"/>
          <w14:textFill>
            <w14:solidFill>
              <w14:schemeClr w14:val="tx1"/>
            </w14:solidFill>
          </w14:textFill>
        </w:rPr>
        <w:t>月</w:t>
      </w:r>
      <w:r>
        <w:rPr>
          <w:rFonts w:hint="eastAsia" w:ascii="宋体" w:hAnsi="宋体" w:cs="宋体"/>
          <w:b/>
          <w:bCs/>
          <w:color w:val="000000" w:themeColor="text1"/>
          <w:szCs w:val="21"/>
          <w:highlight w:val="none"/>
          <w:u w:val="single"/>
          <w:lang w:val="en-US" w:eastAsia="zh-CN"/>
          <w14:textFill>
            <w14:solidFill>
              <w14:schemeClr w14:val="tx1"/>
            </w14:solidFill>
          </w14:textFill>
        </w:rPr>
        <w:t>3</w:t>
      </w:r>
      <w:r>
        <w:rPr>
          <w:rFonts w:hint="eastAsia" w:ascii="宋体" w:hAnsi="宋体" w:cs="宋体"/>
          <w:b/>
          <w:bCs/>
          <w:color w:val="000000" w:themeColor="text1"/>
          <w:szCs w:val="21"/>
          <w:highlight w:val="none"/>
          <w:u w:val="single"/>
          <w:lang w:eastAsia="zh-CN"/>
          <w14:textFill>
            <w14:solidFill>
              <w14:schemeClr w14:val="tx1"/>
            </w14:solidFill>
          </w14:textFill>
        </w:rPr>
        <w:t>日至2024年</w:t>
      </w:r>
      <w:r>
        <w:rPr>
          <w:rFonts w:hint="eastAsia" w:ascii="宋体" w:hAnsi="宋体" w:cs="宋体"/>
          <w:b/>
          <w:bCs/>
          <w:color w:val="000000" w:themeColor="text1"/>
          <w:szCs w:val="21"/>
          <w:highlight w:val="none"/>
          <w:u w:val="single"/>
          <w:lang w:val="en-US" w:eastAsia="zh-CN"/>
          <w14:textFill>
            <w14:solidFill>
              <w14:schemeClr w14:val="tx1"/>
            </w14:solidFill>
          </w14:textFill>
        </w:rPr>
        <w:t>12</w:t>
      </w:r>
      <w:r>
        <w:rPr>
          <w:rFonts w:hint="eastAsia" w:ascii="宋体" w:hAnsi="宋体" w:cs="宋体"/>
          <w:b/>
          <w:bCs/>
          <w:color w:val="000000" w:themeColor="text1"/>
          <w:szCs w:val="21"/>
          <w:highlight w:val="none"/>
          <w:u w:val="single"/>
          <w:lang w:eastAsia="zh-CN"/>
          <w14:textFill>
            <w14:solidFill>
              <w14:schemeClr w14:val="tx1"/>
            </w14:solidFill>
          </w14:textFill>
        </w:rPr>
        <w:t>月</w:t>
      </w:r>
      <w:r>
        <w:rPr>
          <w:rFonts w:hint="eastAsia" w:ascii="宋体" w:hAnsi="宋体" w:cs="宋体"/>
          <w:b/>
          <w:bCs/>
          <w:color w:val="000000" w:themeColor="text1"/>
          <w:szCs w:val="21"/>
          <w:highlight w:val="none"/>
          <w:u w:val="single"/>
          <w:lang w:val="en-US" w:eastAsia="zh-CN"/>
          <w14:textFill>
            <w14:solidFill>
              <w14:schemeClr w14:val="tx1"/>
            </w14:solidFill>
          </w14:textFill>
        </w:rPr>
        <w:t>10</w:t>
      </w:r>
      <w:r>
        <w:rPr>
          <w:rFonts w:hint="eastAsia" w:ascii="宋体" w:hAnsi="宋体" w:cs="宋体"/>
          <w:b/>
          <w:bCs/>
          <w:color w:val="000000" w:themeColor="text1"/>
          <w:szCs w:val="21"/>
          <w:highlight w:val="none"/>
          <w:u w:val="single"/>
          <w:lang w:eastAsia="zh-CN"/>
          <w14:textFill>
            <w14:solidFill>
              <w14:schemeClr w14:val="tx1"/>
            </w14:solidFill>
          </w14:textFill>
        </w:rPr>
        <w:t>日</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kern w:val="0"/>
          <w:highlight w:val="none"/>
          <w14:textFill>
            <w14:solidFill>
              <w14:schemeClr w14:val="tx1"/>
            </w14:solidFill>
          </w14:textFill>
        </w:rPr>
        <w:t>每天</w:t>
      </w:r>
      <w:r>
        <w:rPr>
          <w:rFonts w:hint="eastAsia" w:ascii="宋体" w:hAnsi="宋体"/>
          <w:color w:val="000000"/>
          <w:kern w:val="0"/>
          <w:highlight w:val="none"/>
        </w:rPr>
        <w:t>上午9：00至12：00，下午14：30至17：00。（北京时间，法定节假日除外）</w:t>
      </w:r>
    </w:p>
    <w:p w14:paraId="2B7A87BE">
      <w:pPr>
        <w:spacing w:line="420" w:lineRule="exact"/>
        <w:ind w:firstLine="420"/>
        <w:rPr>
          <w:rFonts w:ascii="宋体" w:hAnsi="宋体" w:cs="宋体"/>
          <w:szCs w:val="21"/>
          <w:highlight w:val="none"/>
          <w:u w:val="single"/>
        </w:rPr>
      </w:pPr>
      <w:r>
        <w:rPr>
          <w:rFonts w:hint="eastAsia" w:ascii="宋体" w:hAnsi="宋体" w:cs="宋体"/>
          <w:szCs w:val="21"/>
          <w:highlight w:val="none"/>
        </w:rPr>
        <w:t>地点：</w:t>
      </w:r>
      <w:r>
        <w:rPr>
          <w:rFonts w:hint="eastAsia" w:ascii="宋体" w:hAnsi="宋体" w:cs="宋体"/>
          <w:color w:val="000000" w:themeColor="text1"/>
          <w:kern w:val="0"/>
          <w:szCs w:val="21"/>
          <w:highlight w:val="none"/>
          <w:lang w:eastAsia="zh-CN"/>
          <w14:textFill>
            <w14:solidFill>
              <w14:schemeClr w14:val="tx1"/>
            </w14:solidFill>
          </w14:textFill>
        </w:rPr>
        <w:t>天鉴国际工程管理有限公司</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kern w:val="0"/>
          <w:highlight w:val="none"/>
          <w:lang w:eastAsia="zh-CN"/>
        </w:rPr>
        <w:t>长沙市雨花区金海路128号天鉴大厦4楼401室</w:t>
      </w:r>
      <w:r>
        <w:rPr>
          <w:rFonts w:hint="eastAsia" w:ascii="宋体" w:hAnsi="宋体" w:cs="宋体"/>
          <w:color w:val="000000" w:themeColor="text1"/>
          <w:kern w:val="0"/>
          <w:szCs w:val="21"/>
          <w:highlight w:val="none"/>
          <w14:textFill>
            <w14:solidFill>
              <w14:schemeClr w14:val="tx1"/>
            </w14:solidFill>
          </w14:textFill>
        </w:rPr>
        <w:t>）</w:t>
      </w:r>
    </w:p>
    <w:p w14:paraId="77FBDEB1">
      <w:pPr>
        <w:spacing w:line="420" w:lineRule="exact"/>
        <w:ind w:firstLine="420"/>
        <w:rPr>
          <w:rFonts w:ascii="宋体" w:hAnsi="宋体" w:cs="宋体"/>
          <w:szCs w:val="21"/>
          <w:highlight w:val="none"/>
          <w:u w:val="single"/>
        </w:rPr>
      </w:pPr>
      <w:r>
        <w:rPr>
          <w:rFonts w:hint="eastAsia" w:ascii="宋体" w:hAnsi="宋体" w:cs="宋体"/>
          <w:szCs w:val="21"/>
          <w:highlight w:val="none"/>
        </w:rPr>
        <w:t>方式：</w:t>
      </w:r>
      <w:r>
        <w:rPr>
          <w:rFonts w:hint="eastAsia" w:ascii="宋体" w:hAnsi="宋体"/>
          <w:color w:val="000000"/>
          <w:kern w:val="0"/>
          <w:highlight w:val="none"/>
        </w:rPr>
        <w:t>投标人</w:t>
      </w:r>
      <w:r>
        <w:rPr>
          <w:rFonts w:hint="eastAsia" w:ascii="宋体" w:hAnsi="宋体"/>
          <w:color w:val="000000"/>
          <w:kern w:val="0"/>
          <w:highlight w:val="none"/>
          <w:lang w:val="en-US" w:eastAsia="zh-CN"/>
        </w:rPr>
        <w:t>持</w:t>
      </w:r>
      <w:r>
        <w:rPr>
          <w:rFonts w:hint="eastAsia" w:ascii="宋体" w:hAnsi="宋体"/>
          <w:color w:val="000000"/>
          <w:kern w:val="0"/>
          <w:highlight w:val="none"/>
        </w:rPr>
        <w:t>法定代表人持法定代表人身份证明（或授权代表持授权委托书（附法定代表人身份证明））、个人身份证原件购买招标文件。</w:t>
      </w:r>
      <w:r>
        <w:rPr>
          <w:rFonts w:hint="eastAsia" w:ascii="宋体" w:hAnsi="宋体"/>
          <w:kern w:val="0"/>
          <w:highlight w:val="none"/>
        </w:rPr>
        <w:t>以上资料均须加盖</w:t>
      </w:r>
      <w:r>
        <w:rPr>
          <w:rFonts w:hint="eastAsia" w:ascii="宋体" w:hAnsi="宋体"/>
          <w:kern w:val="0"/>
          <w:highlight w:val="none"/>
          <w:lang w:val="en-US" w:eastAsia="zh-CN"/>
        </w:rPr>
        <w:t>投标人</w:t>
      </w:r>
      <w:r>
        <w:rPr>
          <w:rFonts w:hint="eastAsia" w:ascii="宋体" w:hAnsi="宋体"/>
          <w:kern w:val="0"/>
          <w:highlight w:val="none"/>
        </w:rPr>
        <w:t>公章。</w:t>
      </w:r>
    </w:p>
    <w:p w14:paraId="695DBA1E">
      <w:pPr>
        <w:spacing w:line="420" w:lineRule="exact"/>
        <w:ind w:firstLine="420"/>
        <w:rPr>
          <w:rFonts w:ascii="宋体" w:hAnsi="宋体" w:cs="宋体"/>
          <w:szCs w:val="21"/>
          <w:highlight w:val="none"/>
        </w:rPr>
      </w:pPr>
      <w:r>
        <w:rPr>
          <w:rFonts w:hint="eastAsia" w:ascii="宋体" w:hAnsi="宋体" w:cs="宋体"/>
          <w:szCs w:val="21"/>
          <w:highlight w:val="none"/>
        </w:rPr>
        <w:t>售价：</w:t>
      </w:r>
      <w:r>
        <w:rPr>
          <w:rFonts w:hint="eastAsia" w:ascii="宋体" w:hAnsi="宋体"/>
          <w:color w:val="000000"/>
          <w:kern w:val="0"/>
          <w:highlight w:val="none"/>
        </w:rPr>
        <w:t>￥400.00元</w:t>
      </w:r>
      <w:r>
        <w:rPr>
          <w:rFonts w:hint="eastAsia" w:ascii="宋体" w:hAnsi="宋体"/>
          <w:color w:val="000000"/>
          <w:kern w:val="0"/>
          <w:highlight w:val="none"/>
          <w:lang w:eastAsia="zh-CN"/>
        </w:rPr>
        <w:t>，</w:t>
      </w:r>
      <w:r>
        <w:rPr>
          <w:rFonts w:hint="eastAsia" w:ascii="宋体" w:hAnsi="宋体" w:cs="宋体"/>
          <w:color w:val="auto"/>
          <w:szCs w:val="21"/>
          <w:highlight w:val="none"/>
        </w:rPr>
        <w:t>本公告包含的招标文件售价总和</w:t>
      </w:r>
      <w:r>
        <w:rPr>
          <w:rFonts w:hint="eastAsia" w:ascii="宋体" w:hAnsi="宋体"/>
          <w:color w:val="000000"/>
          <w:kern w:val="0"/>
          <w:highlight w:val="none"/>
        </w:rPr>
        <w:t>。</w:t>
      </w:r>
    </w:p>
    <w:p w14:paraId="36448EB9">
      <w:pPr>
        <w:spacing w:line="420" w:lineRule="exact"/>
        <w:ind w:firstLine="482"/>
        <w:rPr>
          <w:rFonts w:ascii="宋体" w:hAnsi="宋体" w:cs="宋体"/>
          <w:b/>
          <w:bCs/>
          <w:sz w:val="24"/>
          <w:szCs w:val="24"/>
          <w:highlight w:val="none"/>
        </w:rPr>
      </w:pPr>
      <w:r>
        <w:rPr>
          <w:rFonts w:hint="eastAsia" w:ascii="宋体" w:hAnsi="宋体" w:cs="宋体"/>
          <w:b/>
          <w:bCs/>
          <w:sz w:val="24"/>
          <w:szCs w:val="24"/>
          <w:highlight w:val="none"/>
        </w:rPr>
        <w:t>四、提交投标文件截止时间、开标时间和地点</w:t>
      </w:r>
    </w:p>
    <w:p w14:paraId="529342F7">
      <w:pPr>
        <w:widowControl/>
        <w:shd w:val="clear" w:color="auto"/>
        <w:spacing w:line="420" w:lineRule="exact"/>
        <w:ind w:firstLine="420" w:firstLineChars="200"/>
        <w:jc w:val="left"/>
        <w:textAlignment w:val="baseline"/>
        <w:rPr>
          <w:rFonts w:ascii="宋体" w:hAnsi="宋体"/>
          <w:color w:val="000000" w:themeColor="text1"/>
          <w:kern w:val="0"/>
          <w:highlight w:val="none"/>
          <w14:textFill>
            <w14:solidFill>
              <w14:schemeClr w14:val="tx1"/>
            </w14:solidFill>
          </w14:textFill>
        </w:rPr>
      </w:pPr>
      <w:r>
        <w:rPr>
          <w:rFonts w:hint="eastAsia" w:ascii="宋体" w:hAnsi="宋体"/>
          <w:color w:val="000000"/>
          <w:kern w:val="0"/>
          <w:highlight w:val="none"/>
        </w:rPr>
        <w:t>提交投标文件截止时间</w:t>
      </w:r>
      <w:r>
        <w:rPr>
          <w:rFonts w:hint="eastAsia" w:ascii="宋体" w:hAnsi="宋体"/>
          <w:color w:val="000000" w:themeColor="text1"/>
          <w:kern w:val="0"/>
          <w:highlight w:val="none"/>
          <w14:textFill>
            <w14:solidFill>
              <w14:schemeClr w14:val="tx1"/>
            </w14:solidFill>
          </w14:textFill>
        </w:rPr>
        <w:t>：</w:t>
      </w:r>
      <w:r>
        <w:rPr>
          <w:rFonts w:hint="eastAsia" w:ascii="宋体" w:hAnsi="宋体" w:cs="宋体"/>
          <w:b/>
          <w:bCs/>
          <w:color w:val="000000" w:themeColor="text1"/>
          <w:szCs w:val="21"/>
          <w:highlight w:val="none"/>
          <w:u w:val="single"/>
          <w:lang w:eastAsia="zh-CN"/>
          <w14:textFill>
            <w14:solidFill>
              <w14:schemeClr w14:val="tx1"/>
            </w14:solidFill>
          </w14:textFill>
        </w:rPr>
        <w:t>2024年</w:t>
      </w:r>
      <w:r>
        <w:rPr>
          <w:rFonts w:hint="eastAsia" w:ascii="宋体" w:hAnsi="宋体" w:cs="宋体"/>
          <w:b/>
          <w:bCs/>
          <w:color w:val="000000" w:themeColor="text1"/>
          <w:szCs w:val="21"/>
          <w:highlight w:val="none"/>
          <w:u w:val="single"/>
          <w:lang w:val="en-US" w:eastAsia="zh-CN"/>
          <w14:textFill>
            <w14:solidFill>
              <w14:schemeClr w14:val="tx1"/>
            </w14:solidFill>
          </w14:textFill>
        </w:rPr>
        <w:t>12</w:t>
      </w:r>
      <w:r>
        <w:rPr>
          <w:rFonts w:hint="eastAsia" w:ascii="宋体" w:hAnsi="宋体" w:cs="宋体"/>
          <w:b/>
          <w:bCs/>
          <w:color w:val="000000" w:themeColor="text1"/>
          <w:szCs w:val="21"/>
          <w:highlight w:val="none"/>
          <w:u w:val="single"/>
          <w:lang w:eastAsia="zh-CN"/>
          <w14:textFill>
            <w14:solidFill>
              <w14:schemeClr w14:val="tx1"/>
            </w14:solidFill>
          </w14:textFill>
        </w:rPr>
        <w:t>月</w:t>
      </w:r>
      <w:r>
        <w:rPr>
          <w:rFonts w:hint="eastAsia" w:ascii="宋体" w:hAnsi="宋体" w:cs="宋体"/>
          <w:b/>
          <w:bCs/>
          <w:color w:val="000000" w:themeColor="text1"/>
          <w:szCs w:val="21"/>
          <w:highlight w:val="none"/>
          <w:u w:val="single"/>
          <w:lang w:val="en-US" w:eastAsia="zh-CN"/>
          <w14:textFill>
            <w14:solidFill>
              <w14:schemeClr w14:val="tx1"/>
            </w14:solidFill>
          </w14:textFill>
        </w:rPr>
        <w:t>25</w:t>
      </w:r>
      <w:r>
        <w:rPr>
          <w:rFonts w:hint="eastAsia" w:ascii="宋体" w:hAnsi="宋体" w:cs="宋体"/>
          <w:b/>
          <w:bCs/>
          <w:color w:val="000000" w:themeColor="text1"/>
          <w:szCs w:val="21"/>
          <w:highlight w:val="none"/>
          <w:u w:val="single"/>
          <w:lang w:eastAsia="zh-CN"/>
          <w14:textFill>
            <w14:solidFill>
              <w14:schemeClr w14:val="tx1"/>
            </w14:solidFill>
          </w14:textFill>
        </w:rPr>
        <w:t>日</w:t>
      </w:r>
      <w:r>
        <w:rPr>
          <w:rFonts w:hint="eastAsia" w:ascii="宋体" w:hAnsi="宋体" w:cs="宋体"/>
          <w:b/>
          <w:bCs/>
          <w:color w:val="000000" w:themeColor="text1"/>
          <w:szCs w:val="21"/>
          <w:highlight w:val="none"/>
          <w:u w:val="single"/>
          <w:lang w:val="en-US" w:eastAsia="zh-CN"/>
          <w14:textFill>
            <w14:solidFill>
              <w14:schemeClr w14:val="tx1"/>
            </w14:solidFill>
          </w14:textFill>
        </w:rPr>
        <w:t>9</w:t>
      </w:r>
      <w:r>
        <w:rPr>
          <w:rFonts w:hint="eastAsia" w:ascii="宋体" w:hAnsi="宋体" w:eastAsia="宋体" w:cs="宋体"/>
          <w:b/>
          <w:bCs/>
          <w:color w:val="000000" w:themeColor="text1"/>
          <w:szCs w:val="21"/>
          <w:highlight w:val="none"/>
          <w:u w:val="single"/>
          <w14:textFill>
            <w14:solidFill>
              <w14:schemeClr w14:val="tx1"/>
            </w14:solidFill>
          </w14:textFill>
        </w:rPr>
        <w:t>点</w:t>
      </w:r>
      <w:r>
        <w:rPr>
          <w:rFonts w:hint="eastAsia" w:ascii="宋体" w:hAnsi="宋体" w:cs="宋体"/>
          <w:b/>
          <w:bCs/>
          <w:color w:val="000000" w:themeColor="text1"/>
          <w:szCs w:val="21"/>
          <w:highlight w:val="none"/>
          <w:u w:val="single"/>
          <w:lang w:val="en-US" w:eastAsia="zh-CN"/>
          <w14:textFill>
            <w14:solidFill>
              <w14:schemeClr w14:val="tx1"/>
            </w14:solidFill>
          </w14:textFill>
        </w:rPr>
        <w:t>3</w:t>
      </w:r>
      <w:r>
        <w:rPr>
          <w:rFonts w:hint="eastAsia" w:ascii="宋体" w:hAnsi="宋体" w:eastAsia="宋体" w:cs="宋体"/>
          <w:b/>
          <w:bCs/>
          <w:color w:val="000000" w:themeColor="text1"/>
          <w:szCs w:val="21"/>
          <w:highlight w:val="none"/>
          <w:u w:val="single"/>
          <w14:textFill>
            <w14:solidFill>
              <w14:schemeClr w14:val="tx1"/>
            </w14:solidFill>
          </w14:textFill>
        </w:rPr>
        <w:t>0分</w:t>
      </w:r>
      <w:r>
        <w:rPr>
          <w:rFonts w:hint="eastAsia" w:ascii="宋体" w:hAnsi="宋体"/>
          <w:color w:val="000000" w:themeColor="text1"/>
          <w:kern w:val="0"/>
          <w:highlight w:val="none"/>
          <w14:textFill>
            <w14:solidFill>
              <w14:schemeClr w14:val="tx1"/>
            </w14:solidFill>
          </w14:textFill>
        </w:rPr>
        <w:t>（北京时间）</w:t>
      </w:r>
    </w:p>
    <w:p w14:paraId="2715172A">
      <w:pPr>
        <w:widowControl/>
        <w:shd w:val="clear" w:color="auto"/>
        <w:spacing w:line="420" w:lineRule="exact"/>
        <w:ind w:firstLine="420" w:firstLineChars="200"/>
        <w:jc w:val="left"/>
        <w:textAlignment w:val="baseline"/>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开标时间：</w:t>
      </w:r>
      <w:r>
        <w:rPr>
          <w:rFonts w:hint="eastAsia" w:ascii="宋体" w:hAnsi="宋体" w:cs="宋体"/>
          <w:b/>
          <w:bCs/>
          <w:color w:val="000000" w:themeColor="text1"/>
          <w:szCs w:val="21"/>
          <w:highlight w:val="none"/>
          <w:u w:val="single"/>
          <w:lang w:eastAsia="zh-CN"/>
          <w14:textFill>
            <w14:solidFill>
              <w14:schemeClr w14:val="tx1"/>
            </w14:solidFill>
          </w14:textFill>
        </w:rPr>
        <w:t>2024年</w:t>
      </w:r>
      <w:r>
        <w:rPr>
          <w:rFonts w:hint="eastAsia" w:ascii="宋体" w:hAnsi="宋体" w:cs="宋体"/>
          <w:b/>
          <w:bCs/>
          <w:color w:val="000000" w:themeColor="text1"/>
          <w:szCs w:val="21"/>
          <w:highlight w:val="none"/>
          <w:u w:val="single"/>
          <w:lang w:val="en-US" w:eastAsia="zh-CN"/>
          <w14:textFill>
            <w14:solidFill>
              <w14:schemeClr w14:val="tx1"/>
            </w14:solidFill>
          </w14:textFill>
        </w:rPr>
        <w:t>12</w:t>
      </w:r>
      <w:r>
        <w:rPr>
          <w:rFonts w:hint="eastAsia" w:ascii="宋体" w:hAnsi="宋体" w:cs="宋体"/>
          <w:b/>
          <w:bCs/>
          <w:color w:val="000000" w:themeColor="text1"/>
          <w:szCs w:val="21"/>
          <w:highlight w:val="none"/>
          <w:u w:val="single"/>
          <w:lang w:eastAsia="zh-CN"/>
          <w14:textFill>
            <w14:solidFill>
              <w14:schemeClr w14:val="tx1"/>
            </w14:solidFill>
          </w14:textFill>
        </w:rPr>
        <w:t>月</w:t>
      </w:r>
      <w:r>
        <w:rPr>
          <w:rFonts w:hint="eastAsia" w:ascii="宋体" w:hAnsi="宋体" w:cs="宋体"/>
          <w:b/>
          <w:bCs/>
          <w:color w:val="000000" w:themeColor="text1"/>
          <w:szCs w:val="21"/>
          <w:highlight w:val="none"/>
          <w:u w:val="single"/>
          <w:lang w:val="en-US" w:eastAsia="zh-CN"/>
          <w14:textFill>
            <w14:solidFill>
              <w14:schemeClr w14:val="tx1"/>
            </w14:solidFill>
          </w14:textFill>
        </w:rPr>
        <w:t>25</w:t>
      </w:r>
      <w:r>
        <w:rPr>
          <w:rFonts w:hint="eastAsia" w:ascii="宋体" w:hAnsi="宋体" w:cs="宋体"/>
          <w:b/>
          <w:bCs/>
          <w:color w:val="000000" w:themeColor="text1"/>
          <w:szCs w:val="21"/>
          <w:highlight w:val="none"/>
          <w:u w:val="single"/>
          <w:lang w:eastAsia="zh-CN"/>
          <w14:textFill>
            <w14:solidFill>
              <w14:schemeClr w14:val="tx1"/>
            </w14:solidFill>
          </w14:textFill>
        </w:rPr>
        <w:t>日</w:t>
      </w:r>
      <w:r>
        <w:rPr>
          <w:rFonts w:hint="eastAsia" w:ascii="宋体" w:hAnsi="宋体" w:cs="宋体"/>
          <w:b/>
          <w:bCs/>
          <w:color w:val="000000" w:themeColor="text1"/>
          <w:szCs w:val="21"/>
          <w:highlight w:val="none"/>
          <w:u w:val="single"/>
          <w:lang w:val="en-US" w:eastAsia="zh-CN"/>
          <w14:textFill>
            <w14:solidFill>
              <w14:schemeClr w14:val="tx1"/>
            </w14:solidFill>
          </w14:textFill>
        </w:rPr>
        <w:t>9</w:t>
      </w:r>
      <w:r>
        <w:rPr>
          <w:rFonts w:hint="eastAsia" w:ascii="宋体" w:hAnsi="宋体" w:eastAsia="宋体" w:cs="宋体"/>
          <w:b/>
          <w:bCs/>
          <w:color w:val="000000" w:themeColor="text1"/>
          <w:szCs w:val="21"/>
          <w:highlight w:val="none"/>
          <w:u w:val="single"/>
          <w14:textFill>
            <w14:solidFill>
              <w14:schemeClr w14:val="tx1"/>
            </w14:solidFill>
          </w14:textFill>
        </w:rPr>
        <w:t>点</w:t>
      </w:r>
      <w:r>
        <w:rPr>
          <w:rFonts w:hint="eastAsia" w:ascii="宋体" w:hAnsi="宋体" w:cs="宋体"/>
          <w:b/>
          <w:bCs/>
          <w:color w:val="000000" w:themeColor="text1"/>
          <w:szCs w:val="21"/>
          <w:highlight w:val="none"/>
          <w:u w:val="single"/>
          <w:lang w:val="en-US" w:eastAsia="zh-CN"/>
          <w14:textFill>
            <w14:solidFill>
              <w14:schemeClr w14:val="tx1"/>
            </w14:solidFill>
          </w14:textFill>
        </w:rPr>
        <w:t>3</w:t>
      </w:r>
      <w:r>
        <w:rPr>
          <w:rFonts w:hint="eastAsia" w:ascii="宋体" w:hAnsi="宋体" w:eastAsia="宋体" w:cs="宋体"/>
          <w:b/>
          <w:bCs/>
          <w:color w:val="000000" w:themeColor="text1"/>
          <w:szCs w:val="21"/>
          <w:highlight w:val="none"/>
          <w:u w:val="single"/>
          <w14:textFill>
            <w14:solidFill>
              <w14:schemeClr w14:val="tx1"/>
            </w14:solidFill>
          </w14:textFill>
        </w:rPr>
        <w:t>0分</w:t>
      </w:r>
      <w:r>
        <w:rPr>
          <w:rFonts w:hint="eastAsia" w:ascii="宋体" w:hAnsi="宋体"/>
          <w:color w:val="000000" w:themeColor="text1"/>
          <w:kern w:val="0"/>
          <w:highlight w:val="none"/>
          <w14:textFill>
            <w14:solidFill>
              <w14:schemeClr w14:val="tx1"/>
            </w14:solidFill>
          </w14:textFill>
        </w:rPr>
        <w:t>（北京时间）</w:t>
      </w:r>
    </w:p>
    <w:p w14:paraId="0A20F09E">
      <w:pPr>
        <w:shd w:val="clear"/>
        <w:spacing w:line="420" w:lineRule="exact"/>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地点：</w:t>
      </w:r>
      <w:r>
        <w:rPr>
          <w:rFonts w:hint="eastAsia" w:ascii="宋体" w:hAnsi="宋体" w:cs="宋体"/>
          <w:b/>
          <w:bCs/>
          <w:color w:val="000000" w:themeColor="text1"/>
          <w:szCs w:val="21"/>
          <w:highlight w:val="none"/>
          <w:u w:val="single"/>
          <w:lang w:eastAsia="zh-CN"/>
          <w14:textFill>
            <w14:solidFill>
              <w14:schemeClr w14:val="tx1"/>
            </w14:solidFill>
          </w14:textFill>
        </w:rPr>
        <w:t>天鉴国际工程管理有限公司（长沙市雨花区金海路128号天鉴大厦6楼开标大厅）</w:t>
      </w:r>
    </w:p>
    <w:p w14:paraId="36E23B25">
      <w:pPr>
        <w:shd w:val="clear"/>
        <w:spacing w:line="420" w:lineRule="exact"/>
        <w:ind w:firstLine="482"/>
        <w:rPr>
          <w:rFonts w:ascii="宋体" w:hAnsi="宋体" w:cs="宋体"/>
          <w:b/>
          <w:bCs/>
          <w:sz w:val="24"/>
          <w:szCs w:val="24"/>
          <w:highlight w:val="none"/>
        </w:rPr>
      </w:pPr>
      <w:r>
        <w:rPr>
          <w:rFonts w:hint="eastAsia" w:ascii="宋体" w:hAnsi="宋体" w:cs="宋体"/>
          <w:b/>
          <w:bCs/>
          <w:sz w:val="24"/>
          <w:szCs w:val="24"/>
          <w:highlight w:val="none"/>
        </w:rPr>
        <w:t>五、公告期限</w:t>
      </w:r>
    </w:p>
    <w:p w14:paraId="7BD1070C">
      <w:pPr>
        <w:shd w:val="clear"/>
        <w:spacing w:line="420" w:lineRule="exact"/>
        <w:ind w:firstLine="420" w:firstLineChars="200"/>
        <w:rPr>
          <w:rFonts w:ascii="宋体" w:hAnsi="宋体" w:cs="宋体"/>
          <w:kern w:val="0"/>
          <w:szCs w:val="21"/>
          <w:highlight w:val="none"/>
        </w:rPr>
      </w:pPr>
      <w:r>
        <w:rPr>
          <w:rFonts w:hint="eastAsia" w:ascii="宋体" w:hAnsi="宋体" w:cs="宋体"/>
          <w:kern w:val="0"/>
          <w:szCs w:val="21"/>
          <w:highlight w:val="none"/>
        </w:rPr>
        <w:t>自本公告发布之日起5个工作日。</w:t>
      </w:r>
    </w:p>
    <w:p w14:paraId="216F7974">
      <w:pPr>
        <w:shd w:val="clear"/>
        <w:spacing w:line="420" w:lineRule="exact"/>
        <w:ind w:firstLine="482"/>
        <w:rPr>
          <w:rFonts w:ascii="宋体" w:hAnsi="宋体" w:cs="宋体"/>
          <w:b/>
          <w:bCs/>
          <w:sz w:val="24"/>
          <w:szCs w:val="24"/>
          <w:highlight w:val="none"/>
        </w:rPr>
      </w:pPr>
      <w:r>
        <w:rPr>
          <w:rFonts w:hint="eastAsia" w:ascii="宋体" w:hAnsi="宋体" w:cs="宋体"/>
          <w:b/>
          <w:bCs/>
          <w:sz w:val="24"/>
          <w:szCs w:val="24"/>
          <w:highlight w:val="none"/>
        </w:rPr>
        <w:t>六、其他补充事宜</w:t>
      </w:r>
    </w:p>
    <w:p w14:paraId="3251B3EB">
      <w:pPr>
        <w:widowControl/>
        <w:shd w:val="clear" w:color="auto"/>
        <w:spacing w:line="420" w:lineRule="exact"/>
        <w:ind w:firstLine="420" w:firstLineChars="200"/>
        <w:jc w:val="left"/>
        <w:textAlignment w:val="baseline"/>
        <w:rPr>
          <w:rFonts w:ascii="宋体" w:hAnsi="宋体" w:cs="宋体"/>
          <w:kern w:val="0"/>
          <w:szCs w:val="21"/>
          <w:highlight w:val="none"/>
        </w:rPr>
      </w:pPr>
      <w:r>
        <w:rPr>
          <w:rFonts w:hint="eastAsia" w:ascii="宋体" w:hAnsi="宋体" w:cs="宋体"/>
          <w:kern w:val="0"/>
          <w:szCs w:val="21"/>
          <w:highlight w:val="none"/>
        </w:rPr>
        <w:t>1．投标文件请于投标当日投标截止时间之前递交至投标地点，逾期递交的投标文件恕不接受，届时请投标人派代表参加开标仪式。</w:t>
      </w:r>
    </w:p>
    <w:p w14:paraId="543BFA36">
      <w:pPr>
        <w:widowControl/>
        <w:shd w:val="clear" w:color="auto"/>
        <w:spacing w:line="420" w:lineRule="exact"/>
        <w:ind w:firstLine="420" w:firstLineChars="200"/>
        <w:jc w:val="left"/>
        <w:textAlignment w:val="baseline"/>
        <w:rPr>
          <w:rFonts w:ascii="宋体" w:hAnsi="宋体" w:cs="宋体"/>
          <w:kern w:val="0"/>
          <w:szCs w:val="21"/>
          <w:highlight w:val="none"/>
        </w:rPr>
      </w:pPr>
      <w:r>
        <w:rPr>
          <w:rFonts w:hint="eastAsia" w:ascii="宋体" w:hAnsi="宋体" w:cs="宋体"/>
          <w:kern w:val="0"/>
          <w:szCs w:val="21"/>
          <w:highlight w:val="none"/>
        </w:rPr>
        <w:t>2．评标方法：综合评分法</w:t>
      </w:r>
    </w:p>
    <w:p w14:paraId="5C53DFD1">
      <w:pPr>
        <w:widowControl/>
        <w:shd w:val="clear" w:color="auto"/>
        <w:spacing w:line="420" w:lineRule="exact"/>
        <w:ind w:firstLine="420" w:firstLineChars="200"/>
        <w:jc w:val="left"/>
        <w:textAlignment w:val="baseline"/>
        <w:rPr>
          <w:rFonts w:ascii="宋体" w:hAnsi="宋体" w:cs="宋体"/>
          <w:kern w:val="0"/>
          <w:szCs w:val="21"/>
          <w:highlight w:val="none"/>
        </w:rPr>
      </w:pPr>
      <w:r>
        <w:rPr>
          <w:rFonts w:hint="eastAsia" w:ascii="宋体" w:hAnsi="宋体" w:cs="宋体"/>
          <w:kern w:val="0"/>
          <w:szCs w:val="21"/>
          <w:highlight w:val="none"/>
        </w:rPr>
        <w:t>3．采购项目需要落实的政府采购政策：</w:t>
      </w:r>
    </w:p>
    <w:p w14:paraId="5BC8355A">
      <w:pPr>
        <w:widowControl/>
        <w:shd w:val="clear" w:color="auto"/>
        <w:spacing w:line="420" w:lineRule="exact"/>
        <w:ind w:firstLine="420" w:firstLineChars="200"/>
        <w:jc w:val="left"/>
        <w:textAlignment w:val="baseline"/>
        <w:rPr>
          <w:rFonts w:ascii="宋体" w:hAnsi="宋体" w:cs="宋体"/>
          <w:kern w:val="0"/>
          <w:szCs w:val="21"/>
          <w:highlight w:val="none"/>
        </w:rPr>
      </w:pPr>
      <w:r>
        <w:rPr>
          <w:rFonts w:hint="eastAsia" w:ascii="宋体" w:hAnsi="宋体" w:cs="宋体"/>
          <w:kern w:val="0"/>
          <w:szCs w:val="21"/>
          <w:highlight w:val="none"/>
        </w:rPr>
        <w:t>（1）按照财政部、工业和信息化部《政府采购促进中小企业发展管理办法》（财库〔2020〕46号）的规定，落实促进中小企业发展政策。</w:t>
      </w:r>
    </w:p>
    <w:p w14:paraId="2D8FB737">
      <w:pPr>
        <w:widowControl/>
        <w:shd w:val="clear" w:color="auto"/>
        <w:spacing w:line="420" w:lineRule="exact"/>
        <w:ind w:firstLine="420" w:firstLineChars="200"/>
        <w:jc w:val="left"/>
        <w:textAlignment w:val="baseline"/>
        <w:rPr>
          <w:rFonts w:ascii="宋体" w:hAnsi="宋体" w:cs="宋体"/>
          <w:kern w:val="0"/>
          <w:szCs w:val="21"/>
          <w:highlight w:val="none"/>
        </w:rPr>
      </w:pPr>
      <w:r>
        <w:rPr>
          <w:rFonts w:hint="eastAsia" w:ascii="宋体" w:hAnsi="宋体" w:cs="宋体"/>
          <w:kern w:val="0"/>
          <w:szCs w:val="21"/>
          <w:highlight w:val="none"/>
        </w:rPr>
        <w:t>（2）按照《财政部、司法部关于政府采购支持监狱企业发展有关问题的通知》（财库〔2014〕68号）的规定，落实支持监狱企业发展政策。</w:t>
      </w:r>
    </w:p>
    <w:p w14:paraId="6AB1937C">
      <w:pPr>
        <w:widowControl/>
        <w:shd w:val="clear" w:color="auto"/>
        <w:spacing w:line="420" w:lineRule="exact"/>
        <w:ind w:firstLine="420" w:firstLineChars="200"/>
        <w:jc w:val="left"/>
        <w:textAlignment w:val="baseline"/>
        <w:rPr>
          <w:rFonts w:ascii="宋体" w:hAnsi="宋体" w:cs="宋体"/>
          <w:kern w:val="0"/>
          <w:szCs w:val="21"/>
          <w:highlight w:val="none"/>
        </w:rPr>
      </w:pPr>
      <w:r>
        <w:rPr>
          <w:rFonts w:hint="eastAsia" w:ascii="宋体" w:hAnsi="宋体" w:cs="宋体"/>
          <w:kern w:val="0"/>
          <w:szCs w:val="21"/>
          <w:highlight w:val="none"/>
        </w:rPr>
        <w:t>（3）按照《三部门联合发布关于促进残疾人就业政府采购政策的通知》（财库〔2017〕141号）的规定，落实支持残疾人福利性单位发展政策。</w:t>
      </w:r>
    </w:p>
    <w:p w14:paraId="26C17F97">
      <w:pPr>
        <w:widowControl/>
        <w:shd w:val="clear" w:color="auto"/>
        <w:spacing w:line="420" w:lineRule="exact"/>
        <w:ind w:firstLine="420" w:firstLineChars="200"/>
        <w:jc w:val="left"/>
        <w:textAlignment w:val="baseline"/>
        <w:rPr>
          <w:rFonts w:ascii="宋体" w:hAnsi="宋体" w:cs="宋体"/>
          <w:kern w:val="0"/>
          <w:szCs w:val="21"/>
          <w:highlight w:val="none"/>
        </w:rPr>
      </w:pPr>
      <w:r>
        <w:rPr>
          <w:rFonts w:hint="eastAsia" w:ascii="宋体" w:hAnsi="宋体" w:cs="宋体"/>
          <w:kern w:val="0"/>
          <w:szCs w:val="21"/>
          <w:highlight w:val="none"/>
        </w:rPr>
        <w:t>（4）政府采购节能产品、环境标志产品；进口产品管理等。</w:t>
      </w:r>
    </w:p>
    <w:p w14:paraId="6798893E">
      <w:pPr>
        <w:widowControl/>
        <w:shd w:val="clear" w:color="auto"/>
        <w:spacing w:line="420" w:lineRule="exact"/>
        <w:ind w:firstLine="420" w:firstLineChars="200"/>
        <w:jc w:val="left"/>
        <w:textAlignment w:val="baseline"/>
        <w:rPr>
          <w:rFonts w:ascii="宋体" w:hAnsi="宋体" w:cs="宋体"/>
          <w:kern w:val="0"/>
          <w:szCs w:val="21"/>
          <w:highlight w:val="none"/>
        </w:rPr>
      </w:pPr>
      <w:r>
        <w:rPr>
          <w:rFonts w:hint="eastAsia" w:ascii="宋体" w:hAnsi="宋体" w:cs="宋体"/>
          <w:kern w:val="0"/>
          <w:szCs w:val="21"/>
          <w:highlight w:val="none"/>
        </w:rPr>
        <w:t>4．本项目招标公告在中国政府采购网上发布。</w:t>
      </w:r>
    </w:p>
    <w:p w14:paraId="1B2EFB4E">
      <w:pPr>
        <w:widowControl/>
        <w:shd w:val="clear" w:color="auto"/>
        <w:spacing w:line="420" w:lineRule="exact"/>
        <w:ind w:firstLine="420" w:firstLineChars="200"/>
        <w:jc w:val="left"/>
        <w:textAlignment w:val="baseline"/>
        <w:rPr>
          <w:rFonts w:ascii="宋体" w:hAnsi="宋体" w:cs="宋体"/>
          <w:kern w:val="0"/>
          <w:szCs w:val="21"/>
          <w:highlight w:val="none"/>
        </w:rPr>
      </w:pPr>
      <w:r>
        <w:rPr>
          <w:rFonts w:hint="eastAsia" w:ascii="宋体" w:hAnsi="宋体" w:cs="宋体"/>
          <w:kern w:val="0"/>
          <w:szCs w:val="21"/>
          <w:highlight w:val="none"/>
        </w:rPr>
        <w:t>5．凡对本次招标提出询问及质疑，请与</w:t>
      </w:r>
      <w:r>
        <w:rPr>
          <w:rFonts w:hint="eastAsia" w:ascii="宋体" w:hAnsi="宋体" w:cs="宋体"/>
          <w:kern w:val="0"/>
          <w:szCs w:val="21"/>
          <w:highlight w:val="none"/>
          <w:lang w:eastAsia="zh-CN"/>
        </w:rPr>
        <w:t>天鉴国际工程管理有限公司</w:t>
      </w:r>
      <w:r>
        <w:rPr>
          <w:rFonts w:hint="eastAsia" w:ascii="宋体" w:hAnsi="宋体" w:cs="宋体"/>
          <w:kern w:val="0"/>
          <w:szCs w:val="21"/>
          <w:highlight w:val="none"/>
        </w:rPr>
        <w:t>联系（质疑函请采用规范格式，以书面形式一次性提交）。</w:t>
      </w:r>
    </w:p>
    <w:p w14:paraId="4B65FAF5">
      <w:pPr>
        <w:shd w:val="clear"/>
        <w:spacing w:line="420" w:lineRule="exact"/>
        <w:ind w:firstLine="482"/>
        <w:rPr>
          <w:rFonts w:ascii="宋体" w:hAnsi="宋体" w:cs="宋体"/>
          <w:b/>
          <w:bCs/>
          <w:sz w:val="24"/>
          <w:szCs w:val="24"/>
          <w:highlight w:val="none"/>
        </w:rPr>
      </w:pPr>
      <w:r>
        <w:rPr>
          <w:rFonts w:hint="eastAsia" w:ascii="宋体" w:hAnsi="宋体" w:cs="宋体"/>
          <w:b/>
          <w:bCs/>
          <w:sz w:val="24"/>
          <w:szCs w:val="24"/>
          <w:highlight w:val="none"/>
        </w:rPr>
        <w:t>七、对本次招标提出询问，请按以下方式联系。</w:t>
      </w:r>
    </w:p>
    <w:p w14:paraId="3691C0BB">
      <w:pPr>
        <w:widowControl/>
        <w:shd w:val="clear"/>
        <w:spacing w:line="42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1.采购人信息</w:t>
      </w:r>
    </w:p>
    <w:p w14:paraId="2A43349B">
      <w:pPr>
        <w:widowControl/>
        <w:shd w:val="clear" w:color="auto"/>
        <w:spacing w:line="420" w:lineRule="exact"/>
        <w:ind w:firstLine="420" w:firstLineChars="200"/>
        <w:jc w:val="left"/>
        <w:textAlignment w:val="baseline"/>
        <w:rPr>
          <w:rFonts w:ascii="宋体" w:hAnsi="宋体" w:cs="宋体"/>
          <w:kern w:val="0"/>
          <w:szCs w:val="21"/>
          <w:highlight w:val="none"/>
        </w:rPr>
      </w:pPr>
      <w:r>
        <w:rPr>
          <w:rFonts w:hint="eastAsia" w:ascii="宋体" w:hAnsi="宋体" w:cs="宋体"/>
          <w:kern w:val="0"/>
          <w:szCs w:val="21"/>
          <w:highlight w:val="none"/>
        </w:rPr>
        <w:t>名称：</w:t>
      </w:r>
      <w:r>
        <w:rPr>
          <w:rFonts w:hint="eastAsia" w:ascii="宋体" w:hAnsi="宋体" w:cs="宋体"/>
          <w:kern w:val="0"/>
          <w:szCs w:val="21"/>
          <w:highlight w:val="none"/>
          <w:lang w:eastAsia="zh-CN"/>
        </w:rPr>
        <w:t>国家税务总局湖南省税务局</w:t>
      </w:r>
    </w:p>
    <w:p w14:paraId="58DA571A">
      <w:pPr>
        <w:widowControl/>
        <w:shd w:val="clear" w:color="auto"/>
        <w:spacing w:line="420" w:lineRule="exact"/>
        <w:ind w:firstLine="420" w:firstLineChars="200"/>
        <w:jc w:val="left"/>
        <w:textAlignment w:val="baseline"/>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lang w:eastAsia="zh-CN"/>
        </w:rPr>
        <w:t>长沙市环保西路6号</w:t>
      </w:r>
    </w:p>
    <w:p w14:paraId="1E716180">
      <w:pPr>
        <w:widowControl/>
        <w:spacing w:line="420" w:lineRule="exact"/>
        <w:ind w:firstLine="420" w:firstLineChars="200"/>
        <w:jc w:val="left"/>
        <w:rPr>
          <w:rFonts w:hint="default" w:ascii="宋体" w:hAnsi="宋体" w:eastAsia="宋体" w:cs="宋体"/>
          <w:color w:val="auto"/>
          <w:szCs w:val="21"/>
          <w:highlight w:val="none"/>
          <w:u w:val="single"/>
          <w:lang w:val="en-US" w:eastAsia="zh-CN"/>
        </w:rPr>
      </w:pPr>
      <w:r>
        <w:rPr>
          <w:rFonts w:hint="eastAsia" w:ascii="宋体" w:hAnsi="宋体" w:cs="宋体"/>
          <w:color w:val="auto"/>
          <w:kern w:val="0"/>
          <w:szCs w:val="21"/>
          <w:highlight w:val="none"/>
        </w:rPr>
        <w:t>联系方式：</w:t>
      </w:r>
      <w:r>
        <w:rPr>
          <w:rFonts w:hint="eastAsia" w:ascii="宋体" w:hAnsi="宋体"/>
          <w:color w:val="auto"/>
          <w:kern w:val="0"/>
          <w:highlight w:val="none"/>
          <w:lang w:val="en-US" w:eastAsia="zh-CN"/>
        </w:rPr>
        <w:t>李先生，肖女士，0731-85579076</w:t>
      </w:r>
      <w:r>
        <w:rPr>
          <w:rFonts w:hint="eastAsia" w:ascii="宋体" w:hAnsi="宋体" w:cs="宋体"/>
          <w:color w:val="auto"/>
          <w:kern w:val="0"/>
          <w:highlight w:val="none"/>
          <w:lang w:val="en-US" w:eastAsia="zh-CN"/>
        </w:rPr>
        <w:t xml:space="preserve"> </w:t>
      </w:r>
    </w:p>
    <w:p w14:paraId="437EC9E1">
      <w:pPr>
        <w:widowControl/>
        <w:spacing w:line="42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2.采购代理机构信息</w:t>
      </w:r>
    </w:p>
    <w:p w14:paraId="4E513515">
      <w:pPr>
        <w:widowControl/>
        <w:shd w:val="clear" w:color="auto"/>
        <w:spacing w:line="420" w:lineRule="exact"/>
        <w:ind w:firstLine="420" w:firstLineChars="200"/>
        <w:jc w:val="left"/>
        <w:textAlignment w:val="baseline"/>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名称：</w:t>
      </w:r>
      <w:r>
        <w:rPr>
          <w:rFonts w:hint="eastAsia" w:ascii="宋体" w:hAnsi="宋体" w:cs="宋体"/>
          <w:color w:val="000000" w:themeColor="text1"/>
          <w:kern w:val="0"/>
          <w:szCs w:val="21"/>
          <w:highlight w:val="none"/>
          <w:lang w:eastAsia="zh-CN"/>
          <w14:textFill>
            <w14:solidFill>
              <w14:schemeClr w14:val="tx1"/>
            </w14:solidFill>
          </w14:textFill>
        </w:rPr>
        <w:t>天鉴国际工程管理有限公司</w:t>
      </w:r>
    </w:p>
    <w:p w14:paraId="42B12946">
      <w:pPr>
        <w:widowControl/>
        <w:shd w:val="clear" w:color="auto"/>
        <w:spacing w:line="420" w:lineRule="exact"/>
        <w:ind w:firstLine="420" w:firstLineChars="200"/>
        <w:jc w:val="left"/>
        <w:textAlignment w:val="baseline"/>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地址：</w:t>
      </w:r>
      <w:r>
        <w:rPr>
          <w:rFonts w:hint="eastAsia" w:ascii="宋体" w:hAnsi="宋体" w:cs="宋体"/>
          <w:color w:val="000000" w:themeColor="text1"/>
          <w:kern w:val="0"/>
          <w:szCs w:val="21"/>
          <w:highlight w:val="none"/>
          <w:lang w:eastAsia="zh-CN"/>
          <w14:textFill>
            <w14:solidFill>
              <w14:schemeClr w14:val="tx1"/>
            </w14:solidFill>
          </w14:textFill>
        </w:rPr>
        <w:t>长沙市雨花区金海路128号天鉴大厦</w:t>
      </w:r>
    </w:p>
    <w:p w14:paraId="3C91719D">
      <w:pPr>
        <w:widowControl/>
        <w:shd w:val="clear"/>
        <w:spacing w:line="420" w:lineRule="exact"/>
        <w:ind w:firstLine="420" w:firstLineChars="200"/>
        <w:jc w:val="left"/>
        <w:rPr>
          <w:rFonts w:hint="eastAsia" w:ascii="宋体" w:hAnsi="宋体" w:eastAsia="宋体" w:cs="宋体"/>
          <w:szCs w:val="21"/>
          <w:highlight w:val="none"/>
          <w:lang w:eastAsia="zh-CN"/>
        </w:rPr>
      </w:pPr>
      <w:r>
        <w:rPr>
          <w:rFonts w:hint="eastAsia" w:ascii="宋体" w:hAnsi="宋体" w:cs="宋体"/>
          <w:color w:val="000000" w:themeColor="text1"/>
          <w:kern w:val="0"/>
          <w:szCs w:val="21"/>
          <w:highlight w:val="none"/>
          <w14:textFill>
            <w14:solidFill>
              <w14:schemeClr w14:val="tx1"/>
            </w14:solidFill>
          </w14:textFill>
        </w:rPr>
        <w:t>联系方式：</w:t>
      </w:r>
      <w:r>
        <w:rPr>
          <w:rFonts w:hint="eastAsia" w:ascii="宋体" w:hAnsi="宋体" w:cs="宋体"/>
          <w:color w:val="auto"/>
          <w:szCs w:val="21"/>
          <w:highlight w:val="none"/>
          <w:lang w:eastAsia="zh-CN"/>
        </w:rPr>
        <w:t>朱楠卿、李瑜、易子杰、刘展   0731-85713091-8423、13975680067</w:t>
      </w:r>
    </w:p>
    <w:p w14:paraId="2C43F26C">
      <w:pPr>
        <w:widowControl/>
        <w:shd w:val="clear"/>
        <w:spacing w:line="420" w:lineRule="exact"/>
        <w:ind w:firstLine="422" w:firstLineChars="200"/>
        <w:jc w:val="left"/>
        <w:rPr>
          <w:rFonts w:ascii="宋体" w:hAnsi="宋体" w:cs="宋体"/>
          <w:b/>
          <w:bCs/>
          <w:szCs w:val="21"/>
          <w:highlight w:val="none"/>
          <w:u w:val="single"/>
        </w:rPr>
      </w:pPr>
      <w:r>
        <w:rPr>
          <w:rFonts w:hint="eastAsia" w:ascii="宋体" w:hAnsi="宋体" w:cs="宋体"/>
          <w:b/>
          <w:bCs/>
          <w:szCs w:val="21"/>
          <w:highlight w:val="none"/>
        </w:rPr>
        <w:t>3.项目联系方式</w:t>
      </w:r>
    </w:p>
    <w:p w14:paraId="05236D29">
      <w:pPr>
        <w:widowControl/>
        <w:shd w:val="clear" w:color="auto"/>
        <w:spacing w:line="420" w:lineRule="exact"/>
        <w:ind w:firstLine="420" w:firstLineChars="200"/>
        <w:jc w:val="left"/>
        <w:textAlignment w:val="baseline"/>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val="en-US" w:eastAsia="zh-CN"/>
        </w:rPr>
        <w:t>汪先生</w:t>
      </w:r>
    </w:p>
    <w:p w14:paraId="5459FFE6">
      <w:pPr>
        <w:widowControl/>
        <w:shd w:val="clear"/>
        <w:spacing w:line="420" w:lineRule="exact"/>
        <w:ind w:firstLine="420" w:firstLineChars="200"/>
        <w:jc w:val="left"/>
        <w:rPr>
          <w:rFonts w:hint="eastAsia" w:ascii="宋体" w:hAnsi="宋体" w:eastAsia="宋体" w:cs="宋体"/>
          <w:color w:val="auto"/>
          <w:highlight w:val="none"/>
          <w:lang w:eastAsia="zh-CN"/>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lang w:eastAsia="zh-CN"/>
        </w:rPr>
        <w:t>0731-85135567</w:t>
      </w:r>
    </w:p>
    <w:p w14:paraId="5024DEFB">
      <w:pPr>
        <w:shd w:val="clear"/>
        <w:spacing w:line="360" w:lineRule="auto"/>
        <w:rPr>
          <w:rFonts w:ascii="宋体" w:hAnsi="宋体" w:cs="宋体"/>
          <w:color w:val="000000" w:themeColor="text1"/>
          <w:highlight w:val="none"/>
          <w14:textFill>
            <w14:solidFill>
              <w14:schemeClr w14:val="tx1"/>
            </w14:solidFill>
          </w14:textFill>
        </w:rPr>
        <w:sectPr>
          <w:footerReference r:id="rId13" w:type="first"/>
          <w:footerReference r:id="rId12" w:type="default"/>
          <w:pgSz w:w="11907" w:h="16839"/>
          <w:pgMar w:top="1304" w:right="1362" w:bottom="1134" w:left="1304" w:header="851" w:footer="992" w:gutter="0"/>
          <w:pgBorders>
            <w:top w:val="none" w:sz="0" w:space="0"/>
            <w:left w:val="none" w:sz="0" w:space="0"/>
            <w:bottom w:val="none" w:sz="0" w:space="0"/>
            <w:right w:val="none" w:sz="0" w:space="0"/>
          </w:pgBorders>
          <w:cols w:space="720" w:num="1"/>
          <w:titlePg/>
          <w:docGrid w:linePitch="312" w:charSpace="0"/>
        </w:sectPr>
      </w:pPr>
    </w:p>
    <w:p w14:paraId="233B70E2">
      <w:pPr>
        <w:ind w:firstLine="643"/>
        <w:jc w:val="center"/>
        <w:outlineLvl w:val="0"/>
        <w:rPr>
          <w:rFonts w:ascii="宋体" w:hAnsi="宋体" w:cs="宋体"/>
          <w:b/>
          <w:bCs/>
          <w:sz w:val="32"/>
          <w:szCs w:val="32"/>
          <w:highlight w:val="none"/>
        </w:rPr>
      </w:pPr>
      <w:bookmarkStart w:id="2" w:name="_Toc132880272"/>
      <w:bookmarkStart w:id="3" w:name="_Toc15312"/>
      <w:r>
        <w:rPr>
          <w:rFonts w:hint="eastAsia" w:ascii="宋体" w:hAnsi="宋体" w:cs="宋体"/>
          <w:b/>
          <w:bCs/>
          <w:sz w:val="32"/>
          <w:szCs w:val="32"/>
          <w:highlight w:val="none"/>
        </w:rPr>
        <w:t>第二章　投标人须知</w:t>
      </w:r>
      <w:bookmarkEnd w:id="2"/>
      <w:bookmarkEnd w:id="3"/>
    </w:p>
    <w:p w14:paraId="7D53FE63">
      <w:pPr>
        <w:spacing w:before="120" w:beforeLines="50" w:after="120" w:afterLines="50"/>
        <w:ind w:firstLine="562"/>
        <w:jc w:val="center"/>
        <w:outlineLvl w:val="1"/>
        <w:rPr>
          <w:rFonts w:ascii="宋体" w:hAnsi="宋体" w:cs="宋体"/>
          <w:b/>
          <w:bCs/>
          <w:sz w:val="28"/>
          <w:szCs w:val="28"/>
          <w:highlight w:val="none"/>
        </w:rPr>
      </w:pPr>
      <w:bookmarkStart w:id="4" w:name="_Toc17399"/>
      <w:bookmarkStart w:id="5" w:name="_Toc132880273"/>
      <w:r>
        <w:rPr>
          <w:rFonts w:hint="eastAsia" w:ascii="宋体" w:hAnsi="宋体" w:cs="宋体"/>
          <w:b/>
          <w:bCs/>
          <w:sz w:val="28"/>
          <w:szCs w:val="28"/>
          <w:highlight w:val="none"/>
        </w:rPr>
        <w:t>投标人须知前附表</w:t>
      </w:r>
      <w:bookmarkEnd w:id="4"/>
      <w:bookmarkEnd w:id="5"/>
    </w:p>
    <w:tbl>
      <w:tblPr>
        <w:tblStyle w:val="24"/>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01"/>
        <w:gridCol w:w="1134"/>
        <w:gridCol w:w="5720"/>
      </w:tblGrid>
      <w:tr w14:paraId="6B38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77A8954">
            <w:pPr>
              <w:adjustRightInd w:val="0"/>
              <w:spacing w:line="340" w:lineRule="exact"/>
              <w:jc w:val="center"/>
              <w:rPr>
                <w:rFonts w:ascii="宋体" w:hAnsi="宋体" w:cs="宋体"/>
                <w:b/>
                <w:szCs w:val="21"/>
                <w:highlight w:val="none"/>
              </w:rPr>
            </w:pPr>
            <w:r>
              <w:rPr>
                <w:rFonts w:hint="eastAsia" w:ascii="宋体" w:hAnsi="宋体" w:cs="宋体"/>
                <w:b/>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5C31C16D">
            <w:pPr>
              <w:adjustRightInd w:val="0"/>
              <w:spacing w:line="340" w:lineRule="exact"/>
              <w:jc w:val="center"/>
              <w:rPr>
                <w:rFonts w:ascii="宋体" w:hAnsi="宋体" w:cs="宋体"/>
                <w:b/>
                <w:szCs w:val="21"/>
                <w:highlight w:val="none"/>
              </w:rPr>
            </w:pPr>
            <w:r>
              <w:rPr>
                <w:rFonts w:hint="eastAsia" w:ascii="宋体" w:hAnsi="宋体" w:cs="宋体"/>
                <w:b/>
                <w:szCs w:val="21"/>
                <w:highlight w:val="none"/>
              </w:rPr>
              <w:t>类别</w:t>
            </w:r>
          </w:p>
        </w:tc>
        <w:tc>
          <w:tcPr>
            <w:tcW w:w="6854" w:type="dxa"/>
            <w:gridSpan w:val="2"/>
            <w:tcBorders>
              <w:top w:val="single" w:color="auto" w:sz="4" w:space="0"/>
              <w:left w:val="single" w:color="auto" w:sz="4" w:space="0"/>
              <w:bottom w:val="single" w:color="auto" w:sz="4" w:space="0"/>
              <w:right w:val="single" w:color="auto" w:sz="4" w:space="0"/>
            </w:tcBorders>
            <w:vAlign w:val="center"/>
          </w:tcPr>
          <w:p w14:paraId="1C0B94CE">
            <w:pPr>
              <w:adjustRightInd w:val="0"/>
              <w:spacing w:line="340" w:lineRule="exact"/>
              <w:jc w:val="center"/>
              <w:rPr>
                <w:rFonts w:ascii="宋体" w:hAnsi="宋体" w:cs="宋体"/>
                <w:b/>
                <w:szCs w:val="21"/>
                <w:highlight w:val="none"/>
              </w:rPr>
            </w:pPr>
            <w:r>
              <w:rPr>
                <w:rFonts w:hint="eastAsia" w:ascii="宋体" w:hAnsi="宋体" w:cs="宋体"/>
                <w:b/>
                <w:szCs w:val="21"/>
                <w:highlight w:val="none"/>
              </w:rPr>
              <w:t>内容</w:t>
            </w:r>
          </w:p>
        </w:tc>
      </w:tr>
      <w:tr w14:paraId="30A7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tcBorders>
              <w:top w:val="single" w:color="auto" w:sz="4" w:space="0"/>
              <w:left w:val="single" w:color="auto" w:sz="4" w:space="0"/>
              <w:right w:val="single" w:color="auto" w:sz="4" w:space="0"/>
            </w:tcBorders>
            <w:vAlign w:val="center"/>
          </w:tcPr>
          <w:p w14:paraId="41EB2974">
            <w:pPr>
              <w:adjustRightInd w:val="0"/>
              <w:spacing w:line="340" w:lineRule="exact"/>
              <w:jc w:val="center"/>
              <w:rPr>
                <w:rFonts w:ascii="宋体" w:hAnsi="宋体" w:cs="宋体"/>
                <w:szCs w:val="21"/>
                <w:highlight w:val="none"/>
              </w:rPr>
            </w:pPr>
            <w:r>
              <w:rPr>
                <w:rFonts w:hint="eastAsia" w:ascii="宋体" w:hAnsi="宋体" w:cs="宋体"/>
                <w:szCs w:val="21"/>
                <w:highlight w:val="none"/>
              </w:rPr>
              <w:t>1</w:t>
            </w:r>
          </w:p>
        </w:tc>
        <w:tc>
          <w:tcPr>
            <w:tcW w:w="1701" w:type="dxa"/>
            <w:vMerge w:val="restart"/>
            <w:tcBorders>
              <w:top w:val="single" w:color="auto" w:sz="4" w:space="0"/>
              <w:left w:val="single" w:color="auto" w:sz="4" w:space="0"/>
              <w:right w:val="single" w:color="auto" w:sz="4" w:space="0"/>
            </w:tcBorders>
            <w:vAlign w:val="center"/>
          </w:tcPr>
          <w:p w14:paraId="58A4A890">
            <w:pPr>
              <w:adjustRightInd w:val="0"/>
              <w:spacing w:line="340" w:lineRule="exact"/>
              <w:jc w:val="center"/>
              <w:rPr>
                <w:rFonts w:ascii="宋体" w:hAnsi="宋体" w:cs="宋体"/>
                <w:b/>
                <w:szCs w:val="21"/>
                <w:highlight w:val="none"/>
              </w:rPr>
            </w:pPr>
            <w:r>
              <w:rPr>
                <w:rFonts w:hint="eastAsia" w:ascii="宋体" w:hAnsi="宋体" w:cs="宋体"/>
                <w:szCs w:val="21"/>
                <w:highlight w:val="none"/>
              </w:rPr>
              <w:t>项目名称、编号、预算及最高限价</w:t>
            </w:r>
          </w:p>
        </w:tc>
        <w:tc>
          <w:tcPr>
            <w:tcW w:w="6854" w:type="dxa"/>
            <w:gridSpan w:val="2"/>
            <w:tcBorders>
              <w:top w:val="single" w:color="auto" w:sz="4" w:space="0"/>
              <w:left w:val="single" w:color="auto" w:sz="4" w:space="0"/>
              <w:bottom w:val="single" w:color="auto" w:sz="4" w:space="0"/>
              <w:right w:val="single" w:color="auto" w:sz="4" w:space="0"/>
            </w:tcBorders>
            <w:vAlign w:val="center"/>
          </w:tcPr>
          <w:p w14:paraId="79FDD05D">
            <w:pPr>
              <w:adjustRightInd w:val="0"/>
              <w:spacing w:line="340" w:lineRule="exact"/>
              <w:jc w:val="left"/>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项目名称：</w:t>
            </w:r>
            <w:r>
              <w:rPr>
                <w:rFonts w:hint="eastAsia" w:hAnsi="宋体" w:cs="宋体"/>
                <w:color w:val="auto"/>
                <w:highlight w:val="none"/>
                <w:lang w:eastAsia="zh-CN"/>
              </w:rPr>
              <w:t>国家税务总局湖南省税务局2025年数据中心运行维护项目（第二次）</w:t>
            </w:r>
          </w:p>
        </w:tc>
      </w:tr>
      <w:tr w14:paraId="0457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right w:val="single" w:color="auto" w:sz="4" w:space="0"/>
            </w:tcBorders>
            <w:vAlign w:val="center"/>
          </w:tcPr>
          <w:p w14:paraId="71DA4EBD">
            <w:pPr>
              <w:adjustRightInd w:val="0"/>
              <w:spacing w:line="340" w:lineRule="exact"/>
              <w:jc w:val="center"/>
              <w:rPr>
                <w:rFonts w:ascii="宋体" w:hAnsi="宋体" w:cs="宋体"/>
                <w:szCs w:val="21"/>
                <w:highlight w:val="none"/>
              </w:rPr>
            </w:pPr>
          </w:p>
        </w:tc>
        <w:tc>
          <w:tcPr>
            <w:tcW w:w="1701" w:type="dxa"/>
            <w:vMerge w:val="continue"/>
            <w:tcBorders>
              <w:left w:val="single" w:color="auto" w:sz="4" w:space="0"/>
              <w:right w:val="single" w:color="auto" w:sz="4" w:space="0"/>
            </w:tcBorders>
            <w:vAlign w:val="center"/>
          </w:tcPr>
          <w:p w14:paraId="5C7B111B">
            <w:pPr>
              <w:adjustRightInd w:val="0"/>
              <w:spacing w:line="340" w:lineRule="exact"/>
              <w:jc w:val="center"/>
              <w:rPr>
                <w:rFonts w:ascii="宋体" w:hAnsi="宋体" w:cs="宋体"/>
                <w:szCs w:val="21"/>
                <w:highlight w:val="none"/>
              </w:rPr>
            </w:pPr>
          </w:p>
        </w:tc>
        <w:tc>
          <w:tcPr>
            <w:tcW w:w="6854" w:type="dxa"/>
            <w:gridSpan w:val="2"/>
            <w:tcBorders>
              <w:top w:val="single" w:color="auto" w:sz="4" w:space="0"/>
              <w:left w:val="single" w:color="auto" w:sz="4" w:space="0"/>
              <w:bottom w:val="single" w:color="auto" w:sz="4" w:space="0"/>
              <w:right w:val="single" w:color="auto" w:sz="4" w:space="0"/>
            </w:tcBorders>
            <w:vAlign w:val="center"/>
          </w:tcPr>
          <w:p w14:paraId="4FD8AA21">
            <w:pPr>
              <w:adjustRightInd w:val="0"/>
              <w:spacing w:line="34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olor w:val="auto"/>
                <w:highlight w:val="none"/>
                <w:lang w:eastAsia="zh-CN"/>
              </w:rPr>
              <w:t>TJGJCS2024-296</w:t>
            </w:r>
          </w:p>
        </w:tc>
      </w:tr>
      <w:tr w14:paraId="6B58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right w:val="single" w:color="auto" w:sz="4" w:space="0"/>
            </w:tcBorders>
            <w:vAlign w:val="center"/>
          </w:tcPr>
          <w:p w14:paraId="66972302">
            <w:pPr>
              <w:adjustRightInd w:val="0"/>
              <w:spacing w:line="340" w:lineRule="exact"/>
              <w:jc w:val="center"/>
              <w:rPr>
                <w:rFonts w:ascii="宋体" w:hAnsi="宋体" w:cs="宋体"/>
                <w:szCs w:val="21"/>
                <w:highlight w:val="none"/>
              </w:rPr>
            </w:pPr>
          </w:p>
        </w:tc>
        <w:tc>
          <w:tcPr>
            <w:tcW w:w="1701" w:type="dxa"/>
            <w:vMerge w:val="continue"/>
            <w:tcBorders>
              <w:left w:val="single" w:color="auto" w:sz="4" w:space="0"/>
              <w:right w:val="single" w:color="auto" w:sz="4" w:space="0"/>
            </w:tcBorders>
            <w:vAlign w:val="center"/>
          </w:tcPr>
          <w:p w14:paraId="6A5675F8">
            <w:pPr>
              <w:adjustRightInd w:val="0"/>
              <w:spacing w:line="340" w:lineRule="exact"/>
              <w:jc w:val="center"/>
              <w:rPr>
                <w:rFonts w:ascii="宋体" w:hAnsi="宋体" w:cs="宋体"/>
                <w:szCs w:val="21"/>
                <w:highlight w:val="none"/>
              </w:rPr>
            </w:pPr>
          </w:p>
        </w:tc>
        <w:tc>
          <w:tcPr>
            <w:tcW w:w="6854" w:type="dxa"/>
            <w:gridSpan w:val="2"/>
            <w:tcBorders>
              <w:top w:val="single" w:color="auto" w:sz="4" w:space="0"/>
              <w:left w:val="single" w:color="auto" w:sz="4" w:space="0"/>
              <w:bottom w:val="single" w:color="auto" w:sz="4" w:space="0"/>
              <w:right w:val="single" w:color="auto" w:sz="4" w:space="0"/>
            </w:tcBorders>
            <w:vAlign w:val="center"/>
          </w:tcPr>
          <w:p w14:paraId="198F0F10">
            <w:pPr>
              <w:adjustRightInd w:val="0"/>
              <w:spacing w:line="34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项目预算：</w:t>
            </w:r>
            <w:r>
              <w:rPr>
                <w:rFonts w:hint="eastAsia" w:ascii="宋体" w:hAnsi="宋体" w:cs="宋体"/>
                <w:color w:val="auto"/>
                <w:szCs w:val="21"/>
                <w:highlight w:val="none"/>
                <w:lang w:val="en-US" w:eastAsia="zh-CN"/>
              </w:rPr>
              <w:t>335.44</w:t>
            </w:r>
            <w:r>
              <w:rPr>
                <w:rFonts w:hint="eastAsia" w:ascii="宋体" w:hAnsi="宋体"/>
                <w:color w:val="auto"/>
                <w:kern w:val="0"/>
                <w:highlight w:val="none"/>
                <w:lang w:val="en-US" w:eastAsia="zh-CN"/>
              </w:rPr>
              <w:t>万元</w:t>
            </w:r>
          </w:p>
        </w:tc>
      </w:tr>
      <w:tr w14:paraId="71C8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bottom w:val="single" w:color="auto" w:sz="4" w:space="0"/>
              <w:right w:val="single" w:color="auto" w:sz="4" w:space="0"/>
            </w:tcBorders>
            <w:vAlign w:val="center"/>
          </w:tcPr>
          <w:p w14:paraId="28C57644">
            <w:pPr>
              <w:adjustRightInd w:val="0"/>
              <w:spacing w:line="340" w:lineRule="exact"/>
              <w:jc w:val="center"/>
              <w:rPr>
                <w:rFonts w:ascii="宋体" w:hAnsi="宋体" w:cs="宋体"/>
                <w:szCs w:val="21"/>
                <w:highlight w:val="none"/>
              </w:rPr>
            </w:pPr>
          </w:p>
        </w:tc>
        <w:tc>
          <w:tcPr>
            <w:tcW w:w="1701" w:type="dxa"/>
            <w:vMerge w:val="continue"/>
            <w:tcBorders>
              <w:left w:val="single" w:color="auto" w:sz="4" w:space="0"/>
              <w:bottom w:val="single" w:color="auto" w:sz="4" w:space="0"/>
              <w:right w:val="single" w:color="auto" w:sz="4" w:space="0"/>
            </w:tcBorders>
            <w:vAlign w:val="center"/>
          </w:tcPr>
          <w:p w14:paraId="0D788F62">
            <w:pPr>
              <w:adjustRightInd w:val="0"/>
              <w:spacing w:line="340" w:lineRule="exact"/>
              <w:jc w:val="center"/>
              <w:rPr>
                <w:rFonts w:ascii="宋体" w:hAnsi="宋体" w:cs="宋体"/>
                <w:szCs w:val="21"/>
                <w:highlight w:val="none"/>
              </w:rPr>
            </w:pPr>
          </w:p>
        </w:tc>
        <w:tc>
          <w:tcPr>
            <w:tcW w:w="6854" w:type="dxa"/>
            <w:gridSpan w:val="2"/>
            <w:tcBorders>
              <w:top w:val="single" w:color="auto" w:sz="4" w:space="0"/>
              <w:left w:val="single" w:color="auto" w:sz="4" w:space="0"/>
              <w:bottom w:val="single" w:color="auto" w:sz="4" w:space="0"/>
              <w:right w:val="single" w:color="auto" w:sz="4" w:space="0"/>
            </w:tcBorders>
            <w:vAlign w:val="center"/>
          </w:tcPr>
          <w:p w14:paraId="57A7C1BE">
            <w:pPr>
              <w:adjustRightInd w:val="0"/>
              <w:spacing w:line="34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最高限价：</w:t>
            </w:r>
            <w:r>
              <w:rPr>
                <w:rFonts w:hint="eastAsia" w:ascii="宋体" w:hAnsi="宋体"/>
                <w:color w:val="auto"/>
                <w:kern w:val="0"/>
                <w:highlight w:val="none"/>
                <w:lang w:val="en-US" w:eastAsia="zh-CN"/>
              </w:rPr>
              <w:t>335.44万元</w:t>
            </w:r>
          </w:p>
        </w:tc>
      </w:tr>
      <w:tr w14:paraId="5260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1230788F">
            <w:pPr>
              <w:adjustRightInd w:val="0"/>
              <w:spacing w:line="340" w:lineRule="exact"/>
              <w:jc w:val="center"/>
              <w:rPr>
                <w:rFonts w:ascii="宋体" w:hAnsi="宋体" w:cs="宋体"/>
                <w:szCs w:val="21"/>
                <w:highlight w:val="none"/>
              </w:rPr>
            </w:pPr>
            <w:r>
              <w:rPr>
                <w:rFonts w:hint="eastAsia" w:ascii="宋体" w:hAnsi="宋体" w:cs="宋体"/>
                <w:szCs w:val="21"/>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14:paraId="44CA59E0">
            <w:pPr>
              <w:adjustRightInd w:val="0"/>
              <w:spacing w:line="340" w:lineRule="exact"/>
              <w:jc w:val="center"/>
              <w:rPr>
                <w:rFonts w:ascii="宋体" w:hAnsi="宋体" w:cs="宋体"/>
                <w:szCs w:val="21"/>
                <w:highlight w:val="none"/>
              </w:rPr>
            </w:pPr>
            <w:r>
              <w:rPr>
                <w:rFonts w:hint="eastAsia" w:ascii="宋体" w:hAnsi="宋体" w:cs="宋体"/>
                <w:szCs w:val="21"/>
                <w:highlight w:val="none"/>
              </w:rPr>
              <w:t>采购需求</w:t>
            </w:r>
          </w:p>
        </w:tc>
        <w:tc>
          <w:tcPr>
            <w:tcW w:w="6854" w:type="dxa"/>
            <w:gridSpan w:val="2"/>
            <w:tcBorders>
              <w:top w:val="single" w:color="auto" w:sz="4" w:space="0"/>
              <w:left w:val="single" w:color="auto" w:sz="4" w:space="0"/>
              <w:bottom w:val="single" w:color="auto" w:sz="4" w:space="0"/>
              <w:right w:val="single" w:color="auto" w:sz="4" w:space="0"/>
            </w:tcBorders>
            <w:vAlign w:val="center"/>
          </w:tcPr>
          <w:p w14:paraId="2374C9F3">
            <w:pPr>
              <w:adjustRightIn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t>详见《招标文件（技术部分）》</w:t>
            </w:r>
          </w:p>
        </w:tc>
      </w:tr>
      <w:tr w14:paraId="442C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47377B57">
            <w:pPr>
              <w:adjustRightInd w:val="0"/>
              <w:spacing w:line="340" w:lineRule="exact"/>
              <w:jc w:val="center"/>
              <w:rPr>
                <w:rFonts w:ascii="宋体" w:hAnsi="宋体" w:cs="宋体"/>
                <w:szCs w:val="21"/>
                <w:highlight w:val="none"/>
              </w:rPr>
            </w:pPr>
            <w:r>
              <w:rPr>
                <w:rFonts w:hint="eastAsia" w:ascii="宋体" w:hAnsi="宋体" w:cs="宋体"/>
                <w:szCs w:val="21"/>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14:paraId="6E7DEAC7">
            <w:pPr>
              <w:adjustRightInd w:val="0"/>
              <w:spacing w:line="340" w:lineRule="exact"/>
              <w:jc w:val="center"/>
              <w:rPr>
                <w:rFonts w:ascii="宋体" w:hAnsi="宋体" w:cs="宋体"/>
                <w:szCs w:val="21"/>
                <w:highlight w:val="none"/>
              </w:rPr>
            </w:pPr>
            <w:r>
              <w:rPr>
                <w:rFonts w:hint="eastAsia" w:ascii="宋体" w:hAnsi="宋体" w:cs="宋体"/>
                <w:szCs w:val="21"/>
                <w:highlight w:val="none"/>
              </w:rPr>
              <w:t>项目属性和类别</w:t>
            </w:r>
          </w:p>
        </w:tc>
        <w:tc>
          <w:tcPr>
            <w:tcW w:w="6854" w:type="dxa"/>
            <w:gridSpan w:val="2"/>
            <w:tcBorders>
              <w:top w:val="single" w:color="auto" w:sz="4" w:space="0"/>
              <w:left w:val="single" w:color="auto" w:sz="4" w:space="0"/>
              <w:bottom w:val="single" w:color="auto" w:sz="4" w:space="0"/>
              <w:right w:val="single" w:color="auto" w:sz="4" w:space="0"/>
            </w:tcBorders>
            <w:vAlign w:val="center"/>
          </w:tcPr>
          <w:p w14:paraId="695857BC">
            <w:pPr>
              <w:adjustRightInd w:val="0"/>
              <w:spacing w:line="340" w:lineRule="exact"/>
              <w:jc w:val="left"/>
              <w:rPr>
                <w:rFonts w:ascii="宋体" w:hAnsi="宋体" w:cs="宋体"/>
                <w:b/>
                <w:color w:val="auto"/>
                <w:szCs w:val="21"/>
                <w:highlight w:val="none"/>
              </w:rPr>
            </w:pPr>
            <w:r>
              <w:rPr>
                <w:rFonts w:hint="eastAsia" w:ascii="宋体" w:hAnsi="宋体" w:cs="宋体"/>
                <w:b/>
                <w:color w:val="auto"/>
                <w:szCs w:val="21"/>
                <w:highlight w:val="none"/>
              </w:rPr>
              <w:t>项目属性：</w:t>
            </w:r>
            <w:r>
              <w:rPr>
                <w:rFonts w:hint="eastAsia" w:ascii="宋体" w:hAnsi="宋体" w:cs="宋体"/>
                <w:color w:val="auto"/>
                <w:szCs w:val="21"/>
                <w:highlight w:val="none"/>
              </w:rPr>
              <w:sym w:font="Wingdings 2" w:char="00A3"/>
            </w:r>
            <w:r>
              <w:rPr>
                <w:rFonts w:ascii="宋体" w:hAnsi="宋体" w:cs="宋体"/>
                <w:color w:val="auto"/>
                <w:szCs w:val="21"/>
                <w:highlight w:val="none"/>
              </w:rPr>
              <w:t xml:space="preserve"> </w:t>
            </w:r>
            <w:r>
              <w:rPr>
                <w:rFonts w:hint="eastAsia" w:ascii="宋体" w:hAnsi="宋体" w:cs="宋体"/>
                <w:color w:val="auto"/>
                <w:szCs w:val="21"/>
                <w:highlight w:val="none"/>
              </w:rPr>
              <w:t xml:space="preserve">货物           </w:t>
            </w:r>
            <w:r>
              <w:rPr>
                <w:rFonts w:hint="eastAsia" w:ascii="宋体" w:hAnsi="宋体" w:cs="宋体"/>
                <w:color w:val="auto"/>
                <w:szCs w:val="21"/>
                <w:highlight w:val="none"/>
              </w:rPr>
              <w:sym w:font="Wingdings 2" w:char="0052"/>
            </w:r>
            <w:r>
              <w:rPr>
                <w:rFonts w:ascii="宋体" w:hAnsi="宋体" w:cs="宋体"/>
                <w:color w:val="auto"/>
                <w:szCs w:val="21"/>
                <w:highlight w:val="none"/>
              </w:rPr>
              <w:t xml:space="preserve"> </w:t>
            </w:r>
            <w:r>
              <w:rPr>
                <w:rFonts w:hint="eastAsia" w:ascii="宋体" w:hAnsi="宋体" w:cs="宋体"/>
                <w:color w:val="auto"/>
                <w:szCs w:val="21"/>
                <w:highlight w:val="none"/>
              </w:rPr>
              <w:t>服务</w:t>
            </w:r>
          </w:p>
          <w:p w14:paraId="3893E493">
            <w:pPr>
              <w:adjustRightInd w:val="0"/>
              <w:spacing w:line="340" w:lineRule="exact"/>
              <w:jc w:val="left"/>
              <w:rPr>
                <w:rFonts w:ascii="宋体" w:hAnsi="宋体" w:cs="宋体"/>
                <w:color w:val="auto"/>
                <w:szCs w:val="21"/>
                <w:highlight w:val="none"/>
              </w:rPr>
            </w:pPr>
            <w:r>
              <w:rPr>
                <w:rFonts w:hint="eastAsia" w:ascii="宋体" w:hAnsi="宋体" w:cs="宋体"/>
                <w:b/>
                <w:bCs/>
                <w:color w:val="auto"/>
                <w:szCs w:val="21"/>
                <w:highlight w:val="none"/>
              </w:rPr>
              <w:t>项目类别：</w:t>
            </w:r>
            <w:r>
              <w:rPr>
                <w:rFonts w:hint="eastAsia" w:ascii="宋体" w:hAnsi="宋体" w:cs="宋体"/>
                <w:color w:val="auto"/>
                <w:szCs w:val="21"/>
                <w:highlight w:val="none"/>
              </w:rPr>
              <w:sym w:font="Wingdings 2" w:char="0052"/>
            </w:r>
            <w:r>
              <w:rPr>
                <w:rFonts w:ascii="宋体" w:hAnsi="宋体" w:cs="宋体"/>
                <w:color w:val="auto"/>
                <w:szCs w:val="21"/>
                <w:highlight w:val="none"/>
              </w:rPr>
              <w:t xml:space="preserve"> </w:t>
            </w:r>
            <w:r>
              <w:rPr>
                <w:rFonts w:hint="eastAsia" w:ascii="宋体" w:hAnsi="宋体" w:cs="宋体"/>
                <w:color w:val="auto"/>
                <w:szCs w:val="21"/>
                <w:highlight w:val="none"/>
              </w:rPr>
              <w:t xml:space="preserve">信息化项目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 xml:space="preserve"> 非信息化项目</w:t>
            </w:r>
          </w:p>
        </w:tc>
      </w:tr>
      <w:tr w14:paraId="371C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08540F7E">
            <w:pPr>
              <w:adjustRightInd w:val="0"/>
              <w:spacing w:line="340" w:lineRule="exact"/>
              <w:jc w:val="center"/>
              <w:rPr>
                <w:rFonts w:ascii="宋体" w:hAnsi="宋体" w:cs="宋体"/>
                <w:szCs w:val="21"/>
                <w:highlight w:val="none"/>
              </w:rPr>
            </w:pPr>
            <w:r>
              <w:rPr>
                <w:rFonts w:hint="eastAsia" w:ascii="宋体" w:hAnsi="宋体" w:cs="宋体"/>
                <w:szCs w:val="21"/>
                <w:highlight w:val="none"/>
              </w:rPr>
              <w:t>4</w:t>
            </w:r>
          </w:p>
        </w:tc>
        <w:tc>
          <w:tcPr>
            <w:tcW w:w="1701" w:type="dxa"/>
            <w:tcBorders>
              <w:top w:val="single" w:color="auto" w:sz="4" w:space="0"/>
              <w:left w:val="single" w:color="auto" w:sz="4" w:space="0"/>
              <w:bottom w:val="single" w:color="auto" w:sz="4" w:space="0"/>
              <w:right w:val="single" w:color="auto" w:sz="4" w:space="0"/>
            </w:tcBorders>
            <w:vAlign w:val="center"/>
          </w:tcPr>
          <w:p w14:paraId="20B28A54">
            <w:pPr>
              <w:adjustRightInd w:val="0"/>
              <w:spacing w:line="340" w:lineRule="exact"/>
              <w:jc w:val="center"/>
              <w:rPr>
                <w:rFonts w:ascii="宋体" w:hAnsi="宋体" w:cs="宋体"/>
                <w:szCs w:val="21"/>
                <w:highlight w:val="none"/>
              </w:rPr>
            </w:pPr>
            <w:r>
              <w:rPr>
                <w:rFonts w:hint="eastAsia" w:ascii="宋体" w:hAnsi="宋体" w:cs="宋体"/>
                <w:szCs w:val="21"/>
                <w:highlight w:val="none"/>
              </w:rPr>
              <w:t>采购人</w:t>
            </w:r>
          </w:p>
        </w:tc>
        <w:tc>
          <w:tcPr>
            <w:tcW w:w="6854" w:type="dxa"/>
            <w:gridSpan w:val="2"/>
            <w:tcBorders>
              <w:top w:val="single" w:color="auto" w:sz="4" w:space="0"/>
              <w:left w:val="single" w:color="auto" w:sz="4" w:space="0"/>
              <w:bottom w:val="single" w:color="auto" w:sz="4" w:space="0"/>
              <w:right w:val="single" w:color="auto" w:sz="4" w:space="0"/>
            </w:tcBorders>
            <w:vAlign w:val="center"/>
          </w:tcPr>
          <w:p w14:paraId="22C53FE3">
            <w:pPr>
              <w:adjustRightInd w:val="0"/>
              <w:spacing w:line="34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名称：</w:t>
            </w:r>
            <w:r>
              <w:rPr>
                <w:rFonts w:hint="eastAsia" w:ascii="宋体" w:hAnsi="宋体" w:cs="宋体"/>
                <w:color w:val="auto"/>
                <w:szCs w:val="21"/>
                <w:highlight w:val="none"/>
                <w:lang w:val="zh-CN" w:eastAsia="zh-CN"/>
              </w:rPr>
              <w:t>国家税务总局湖南省税务局</w:t>
            </w:r>
          </w:p>
          <w:p w14:paraId="6A4C109C">
            <w:pPr>
              <w:adjustRightInd w:val="0"/>
              <w:spacing w:line="34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地址：长沙市环保西路6号</w:t>
            </w:r>
          </w:p>
          <w:p w14:paraId="6C4D7681">
            <w:pPr>
              <w:adjustRightInd w:val="0"/>
              <w:spacing w:line="340" w:lineRule="exact"/>
              <w:jc w:val="left"/>
              <w:rPr>
                <w:rFonts w:hint="eastAsia" w:ascii="宋体" w:hAnsi="宋体" w:eastAsia="宋体" w:cs="宋体"/>
                <w:color w:val="auto"/>
                <w:szCs w:val="21"/>
                <w:highlight w:val="none"/>
                <w:lang w:val="zh-CN" w:eastAsia="zh-CN"/>
              </w:rPr>
            </w:pPr>
            <w:r>
              <w:rPr>
                <w:rFonts w:hint="eastAsia" w:ascii="宋体" w:hAnsi="宋体" w:cs="宋体"/>
                <w:color w:val="auto"/>
                <w:szCs w:val="21"/>
                <w:highlight w:val="none"/>
                <w:lang w:val="zh-CN"/>
              </w:rPr>
              <w:t>联系人：</w:t>
            </w:r>
            <w:r>
              <w:rPr>
                <w:rFonts w:hint="eastAsia" w:ascii="宋体" w:hAnsi="宋体"/>
                <w:color w:val="auto"/>
                <w:kern w:val="0"/>
                <w:highlight w:val="none"/>
                <w:lang w:val="en-US" w:eastAsia="zh-CN"/>
              </w:rPr>
              <w:t>李先生，肖女士</w:t>
            </w:r>
          </w:p>
          <w:p w14:paraId="4DF1DB1A">
            <w:pPr>
              <w:adjustRightInd w:val="0"/>
              <w:spacing w:line="340" w:lineRule="exact"/>
              <w:jc w:val="left"/>
              <w:rPr>
                <w:rFonts w:hint="default" w:eastAsia="宋体"/>
                <w:color w:val="auto"/>
                <w:highlight w:val="none"/>
                <w:lang w:val="en-US" w:eastAsia="zh-CN"/>
              </w:rPr>
            </w:pPr>
            <w:r>
              <w:rPr>
                <w:rFonts w:hint="eastAsia" w:ascii="宋体" w:hAnsi="宋体" w:cs="宋体"/>
                <w:color w:val="auto"/>
                <w:szCs w:val="21"/>
                <w:highlight w:val="none"/>
                <w:lang w:val="zh-CN"/>
              </w:rPr>
              <w:t>联</w:t>
            </w:r>
            <w:r>
              <w:rPr>
                <w:rFonts w:hint="eastAsia" w:ascii="宋体" w:hAnsi="宋体" w:eastAsia="宋体" w:cs="宋体"/>
                <w:color w:val="auto"/>
                <w:szCs w:val="21"/>
                <w:highlight w:val="none"/>
                <w:lang w:val="zh-CN"/>
              </w:rPr>
              <w:t>系电话：</w:t>
            </w:r>
            <w:r>
              <w:rPr>
                <w:rFonts w:hint="eastAsia" w:ascii="宋体" w:hAnsi="宋体"/>
                <w:color w:val="auto"/>
                <w:kern w:val="0"/>
                <w:highlight w:val="none"/>
                <w:lang w:eastAsia="zh-CN"/>
              </w:rPr>
              <w:t>0731-85579076</w:t>
            </w:r>
          </w:p>
        </w:tc>
      </w:tr>
      <w:tr w14:paraId="4687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356C8E56">
            <w:pPr>
              <w:adjustRightInd w:val="0"/>
              <w:spacing w:line="340" w:lineRule="exact"/>
              <w:jc w:val="center"/>
              <w:rPr>
                <w:rFonts w:ascii="宋体" w:hAnsi="宋体" w:cs="宋体"/>
                <w:szCs w:val="21"/>
                <w:highlight w:val="none"/>
              </w:rPr>
            </w:pPr>
            <w:r>
              <w:rPr>
                <w:rFonts w:hint="eastAsia" w:ascii="宋体" w:hAnsi="宋体" w:cs="宋体"/>
                <w:szCs w:val="21"/>
                <w:highlight w:val="none"/>
              </w:rPr>
              <w:t>5</w:t>
            </w:r>
          </w:p>
        </w:tc>
        <w:tc>
          <w:tcPr>
            <w:tcW w:w="1701" w:type="dxa"/>
            <w:tcBorders>
              <w:top w:val="single" w:color="auto" w:sz="4" w:space="0"/>
              <w:left w:val="single" w:color="auto" w:sz="4" w:space="0"/>
              <w:bottom w:val="single" w:color="auto" w:sz="4" w:space="0"/>
              <w:right w:val="single" w:color="auto" w:sz="4" w:space="0"/>
            </w:tcBorders>
            <w:vAlign w:val="center"/>
          </w:tcPr>
          <w:p w14:paraId="39229945">
            <w:pPr>
              <w:adjustRightInd w:val="0"/>
              <w:spacing w:line="340" w:lineRule="exact"/>
              <w:jc w:val="center"/>
              <w:rPr>
                <w:rFonts w:ascii="宋体" w:hAnsi="宋体" w:cs="宋体"/>
                <w:szCs w:val="21"/>
                <w:highlight w:val="none"/>
              </w:rPr>
            </w:pPr>
            <w:r>
              <w:rPr>
                <w:rFonts w:hint="eastAsia" w:ascii="宋体" w:hAnsi="宋体" w:cs="宋体"/>
                <w:szCs w:val="21"/>
                <w:highlight w:val="none"/>
              </w:rPr>
              <w:t>采购代理机构</w:t>
            </w:r>
          </w:p>
        </w:tc>
        <w:tc>
          <w:tcPr>
            <w:tcW w:w="6854" w:type="dxa"/>
            <w:gridSpan w:val="2"/>
            <w:tcBorders>
              <w:top w:val="single" w:color="auto" w:sz="4" w:space="0"/>
              <w:left w:val="single" w:color="auto" w:sz="4" w:space="0"/>
              <w:bottom w:val="single" w:color="auto" w:sz="4" w:space="0"/>
              <w:right w:val="single" w:color="auto" w:sz="4" w:space="0"/>
            </w:tcBorders>
            <w:vAlign w:val="center"/>
          </w:tcPr>
          <w:p w14:paraId="3704B3D7">
            <w:pPr>
              <w:adjustRightInd w:val="0"/>
              <w:spacing w:line="34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天鉴国际工程管理有限公司</w:t>
            </w:r>
          </w:p>
          <w:p w14:paraId="0E70C948">
            <w:pPr>
              <w:adjustRightInd w:val="0"/>
              <w:spacing w:line="34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长沙市雨花区金海路128号天鉴大厦</w:t>
            </w:r>
          </w:p>
          <w:p w14:paraId="16E00AEF">
            <w:pPr>
              <w:adjustRightInd w:val="0"/>
              <w:spacing w:line="34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朱楠卿、李瑜、易子杰、刘展</w:t>
            </w:r>
          </w:p>
          <w:p w14:paraId="35D36CFA">
            <w:pPr>
              <w:adjustRightInd w:val="0"/>
              <w:spacing w:line="34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电话：</w:t>
            </w:r>
            <w:r>
              <w:rPr>
                <w:rFonts w:hint="eastAsia" w:ascii="宋体" w:hAnsi="宋体" w:cs="宋体"/>
                <w:color w:val="auto"/>
                <w:szCs w:val="21"/>
                <w:highlight w:val="none"/>
                <w:lang w:eastAsia="zh-CN"/>
              </w:rPr>
              <w:t>0731-85713091-8423、13975680067</w:t>
            </w:r>
          </w:p>
          <w:p w14:paraId="6EFD4A14">
            <w:pPr>
              <w:adjustRightIn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t>邮箱：</w:t>
            </w:r>
            <w:r>
              <w:rPr>
                <w:rFonts w:hint="eastAsia" w:ascii="宋体" w:hAnsi="宋体" w:cs="宋体"/>
                <w:color w:val="auto"/>
                <w:szCs w:val="21"/>
                <w:highlight w:val="none"/>
                <w:lang w:eastAsia="zh-CN"/>
              </w:rPr>
              <w:t>2209481684@qq.com</w:t>
            </w:r>
          </w:p>
        </w:tc>
      </w:tr>
      <w:tr w14:paraId="444D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4E778C0B">
            <w:pPr>
              <w:adjustRightInd w:val="0"/>
              <w:spacing w:line="340" w:lineRule="exact"/>
              <w:jc w:val="center"/>
              <w:rPr>
                <w:rFonts w:ascii="宋体" w:hAnsi="宋体" w:cs="宋体"/>
                <w:szCs w:val="21"/>
                <w:highlight w:val="none"/>
              </w:rPr>
            </w:pPr>
            <w:r>
              <w:rPr>
                <w:rFonts w:hint="eastAsia" w:ascii="宋体" w:hAnsi="宋体" w:cs="宋体"/>
                <w:szCs w:val="21"/>
                <w:highlight w:val="none"/>
              </w:rPr>
              <w:t>6</w:t>
            </w:r>
          </w:p>
        </w:tc>
        <w:tc>
          <w:tcPr>
            <w:tcW w:w="1701" w:type="dxa"/>
            <w:tcBorders>
              <w:top w:val="single" w:color="auto" w:sz="4" w:space="0"/>
              <w:left w:val="single" w:color="auto" w:sz="4" w:space="0"/>
              <w:bottom w:val="single" w:color="auto" w:sz="4" w:space="0"/>
              <w:right w:val="single" w:color="auto" w:sz="4" w:space="0"/>
            </w:tcBorders>
            <w:vAlign w:val="center"/>
          </w:tcPr>
          <w:p w14:paraId="57CF903A">
            <w:pPr>
              <w:spacing w:line="340" w:lineRule="exact"/>
              <w:rPr>
                <w:rFonts w:ascii="宋体" w:hAnsi="宋体" w:cs="宋体"/>
                <w:szCs w:val="21"/>
                <w:highlight w:val="none"/>
              </w:rPr>
            </w:pPr>
            <w:r>
              <w:rPr>
                <w:rFonts w:hint="eastAsia" w:ascii="宋体" w:hAnsi="宋体" w:cs="宋体"/>
                <w:szCs w:val="21"/>
                <w:highlight w:val="none"/>
              </w:rPr>
              <w:t>投标人资格要求</w:t>
            </w:r>
          </w:p>
        </w:tc>
        <w:tc>
          <w:tcPr>
            <w:tcW w:w="6854" w:type="dxa"/>
            <w:gridSpan w:val="2"/>
            <w:tcBorders>
              <w:top w:val="single" w:color="auto" w:sz="4" w:space="0"/>
              <w:left w:val="single" w:color="auto" w:sz="4" w:space="0"/>
              <w:bottom w:val="single" w:color="auto" w:sz="4" w:space="0"/>
              <w:right w:val="single" w:color="auto" w:sz="4" w:space="0"/>
            </w:tcBorders>
            <w:vAlign w:val="center"/>
          </w:tcPr>
          <w:p w14:paraId="30D31D62">
            <w:pPr>
              <w:adjustRightInd w:val="0"/>
              <w:spacing w:line="3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1.满足《中华人民共和国政府采购法》第二十二条规定；</w:t>
            </w:r>
          </w:p>
          <w:p w14:paraId="49223026">
            <w:pPr>
              <w:adjustRightInd w:val="0"/>
              <w:spacing w:line="3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2.落实政府采购政策需满足的资格要求：本项目专门面向中小企业采购（监狱企业、残疾人福利企业视同小型微型企业），各投标人应根据自身情况在投标文件中提供《中小企业声明函》或《监狱企业证明文件》或《残疾人福利性单位声明函》（格式详见“第五章　投标文件格式”），否则视为无效</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lang w:val="zh-CN"/>
              </w:rPr>
              <w:t>。本项目对应中小企业划分标准所属行业为：软件和信息技术服务业（中小企业划型标准符合工信部联企业〔2011〕300号文）。</w:t>
            </w:r>
          </w:p>
          <w:p w14:paraId="54A966F9">
            <w:pPr>
              <w:adjustRightInd w:val="0"/>
              <w:spacing w:line="34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zh-CN"/>
              </w:rPr>
              <w:t>3.本项目的特定资格要求：</w:t>
            </w:r>
            <w:r>
              <w:rPr>
                <w:rFonts w:hint="eastAsia" w:ascii="宋体" w:hAnsi="宋体" w:cs="宋体"/>
                <w:color w:val="auto"/>
                <w:szCs w:val="21"/>
                <w:highlight w:val="none"/>
                <w:lang w:val="en-US" w:eastAsia="zh-CN"/>
              </w:rPr>
              <w:t>无。</w:t>
            </w:r>
          </w:p>
        </w:tc>
      </w:tr>
      <w:tr w14:paraId="7CC1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5A8F350D">
            <w:pPr>
              <w:adjustRightInd w:val="0"/>
              <w:spacing w:line="340" w:lineRule="exact"/>
              <w:jc w:val="center"/>
              <w:rPr>
                <w:rFonts w:ascii="宋体" w:hAnsi="宋体" w:cs="宋体"/>
                <w:szCs w:val="21"/>
                <w:highlight w:val="none"/>
              </w:rPr>
            </w:pPr>
            <w:r>
              <w:rPr>
                <w:rFonts w:hint="eastAsia" w:ascii="宋体" w:hAnsi="宋体" w:cs="宋体"/>
                <w:szCs w:val="21"/>
                <w:highlight w:val="none"/>
              </w:rPr>
              <w:t>7</w:t>
            </w:r>
          </w:p>
        </w:tc>
        <w:tc>
          <w:tcPr>
            <w:tcW w:w="1701" w:type="dxa"/>
            <w:tcBorders>
              <w:top w:val="single" w:color="auto" w:sz="4" w:space="0"/>
              <w:left w:val="single" w:color="auto" w:sz="4" w:space="0"/>
              <w:bottom w:val="single" w:color="auto" w:sz="4" w:space="0"/>
              <w:right w:val="single" w:color="auto" w:sz="4" w:space="0"/>
            </w:tcBorders>
            <w:vAlign w:val="center"/>
          </w:tcPr>
          <w:p w14:paraId="6E71B739">
            <w:pPr>
              <w:spacing w:line="340" w:lineRule="exact"/>
              <w:jc w:val="center"/>
              <w:rPr>
                <w:rFonts w:ascii="宋体" w:hAnsi="宋体" w:cs="宋体"/>
                <w:szCs w:val="21"/>
                <w:highlight w:val="none"/>
              </w:rPr>
            </w:pPr>
            <w:r>
              <w:rPr>
                <w:rFonts w:hint="eastAsia" w:ascii="宋体" w:hAnsi="宋体" w:cs="宋体"/>
                <w:szCs w:val="21"/>
                <w:highlight w:val="none"/>
              </w:rPr>
              <w:t>是否接受联合体投标</w:t>
            </w:r>
          </w:p>
        </w:tc>
        <w:tc>
          <w:tcPr>
            <w:tcW w:w="6854" w:type="dxa"/>
            <w:gridSpan w:val="2"/>
            <w:tcBorders>
              <w:top w:val="single" w:color="auto" w:sz="4" w:space="0"/>
              <w:left w:val="single" w:color="auto" w:sz="4" w:space="0"/>
              <w:bottom w:val="single" w:color="auto" w:sz="4" w:space="0"/>
              <w:right w:val="single" w:color="auto" w:sz="4" w:space="0"/>
            </w:tcBorders>
            <w:vAlign w:val="center"/>
          </w:tcPr>
          <w:p w14:paraId="22D61997">
            <w:pPr>
              <w:adjustRightInd w:val="0"/>
              <w:spacing w:line="34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sym w:font="Wingdings 2" w:char="0052"/>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不接受</w:t>
            </w:r>
          </w:p>
          <w:p w14:paraId="073A0711">
            <w:pPr>
              <w:adjustRightInd w:val="0"/>
              <w:spacing w:line="340" w:lineRule="exact"/>
              <w:jc w:val="left"/>
              <w:rPr>
                <w:rFonts w:ascii="宋体" w:hAnsi="宋体" w:cs="宋体"/>
                <w:color w:val="auto"/>
                <w:szCs w:val="21"/>
                <w:highlight w:val="none"/>
              </w:rPr>
            </w:pPr>
            <w:r>
              <w:rPr>
                <w:rFonts w:hint="eastAsia" w:ascii="宋体" w:hAnsi="宋体" w:cs="宋体"/>
                <w:color w:val="auto"/>
                <w:szCs w:val="21"/>
                <w:highlight w:val="none"/>
                <w:lang w:val="zh-CN"/>
              </w:rPr>
              <w:sym w:font="Wingdings 2" w:char="F0A3"/>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接受（接受联合体投标且投标人为联合体的，投标人应提供联合体协议；否则无须提供。）</w:t>
            </w:r>
          </w:p>
        </w:tc>
      </w:tr>
      <w:tr w14:paraId="2E5E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69714FE2">
            <w:pPr>
              <w:adjustRightIn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8</w:t>
            </w:r>
          </w:p>
        </w:tc>
        <w:tc>
          <w:tcPr>
            <w:tcW w:w="1701" w:type="dxa"/>
            <w:tcBorders>
              <w:top w:val="single" w:color="auto" w:sz="4" w:space="0"/>
              <w:left w:val="single" w:color="auto" w:sz="4" w:space="0"/>
              <w:bottom w:val="single" w:color="auto" w:sz="4" w:space="0"/>
              <w:right w:val="single" w:color="auto" w:sz="4" w:space="0"/>
            </w:tcBorders>
            <w:vAlign w:val="center"/>
          </w:tcPr>
          <w:p w14:paraId="597F014B">
            <w:pPr>
              <w:topLinePunct/>
              <w:autoSpaceDE w:val="0"/>
              <w:autoSpaceDN w:val="0"/>
              <w:adjustRightInd w:val="0"/>
              <w:spacing w:line="340" w:lineRule="exact"/>
              <w:jc w:val="center"/>
              <w:rPr>
                <w:rFonts w:ascii="宋体" w:hAnsi="宋体" w:cs="宋体"/>
                <w:szCs w:val="21"/>
                <w:highlight w:val="none"/>
              </w:rPr>
            </w:pPr>
            <w:r>
              <w:rPr>
                <w:rFonts w:hint="eastAsia" w:ascii="宋体" w:hAnsi="宋体" w:cs="宋体"/>
                <w:szCs w:val="21"/>
                <w:highlight w:val="none"/>
              </w:rPr>
              <w:t>非主体、非关键性工作分包</w:t>
            </w:r>
          </w:p>
        </w:tc>
        <w:tc>
          <w:tcPr>
            <w:tcW w:w="6854" w:type="dxa"/>
            <w:gridSpan w:val="2"/>
            <w:tcBorders>
              <w:top w:val="single" w:color="auto" w:sz="4" w:space="0"/>
              <w:left w:val="single" w:color="auto" w:sz="4" w:space="0"/>
              <w:bottom w:val="single" w:color="auto" w:sz="4" w:space="0"/>
              <w:right w:val="single" w:color="auto" w:sz="4" w:space="0"/>
            </w:tcBorders>
            <w:vAlign w:val="center"/>
          </w:tcPr>
          <w:p w14:paraId="5ECF26AE">
            <w:pPr>
              <w:adjustRightInd w:val="0"/>
              <w:spacing w:line="340" w:lineRule="exact"/>
              <w:jc w:val="left"/>
              <w:rPr>
                <w:rFonts w:ascii="宋体" w:hAnsi="宋体" w:cs="宋体"/>
                <w:szCs w:val="21"/>
                <w:highlight w:val="none"/>
              </w:rPr>
            </w:pPr>
            <w:r>
              <w:rPr>
                <w:rFonts w:hint="eastAsia" w:ascii="宋体" w:hAnsi="宋体" w:cs="宋体"/>
                <w:szCs w:val="21"/>
                <w:highlight w:val="none"/>
              </w:rPr>
              <w:t>是否允许中标人将本项目的非主体、非关键性工作进行分包：</w:t>
            </w:r>
          </w:p>
          <w:p w14:paraId="36EA6E41">
            <w:pPr>
              <w:adjustRightInd w:val="0"/>
              <w:spacing w:line="340" w:lineRule="exact"/>
              <w:jc w:val="left"/>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 不允许</w:t>
            </w:r>
          </w:p>
          <w:p w14:paraId="1BA1396F">
            <w:pPr>
              <w:adjustRightInd w:val="0"/>
              <w:spacing w:line="340" w:lineRule="exact"/>
              <w:jc w:val="left"/>
              <w:rPr>
                <w:highlight w:val="none"/>
              </w:rPr>
            </w:pPr>
            <w:r>
              <w:rPr>
                <w:rFonts w:hint="eastAsia" w:ascii="宋体" w:hAnsi="宋体" w:cs="宋体"/>
                <w:szCs w:val="21"/>
                <w:highlight w:val="none"/>
              </w:rPr>
              <w:t>□ 允许，</w:t>
            </w:r>
            <w:r>
              <w:rPr>
                <w:rFonts w:hint="eastAsia" w:ascii="宋体" w:hAnsi="宋体" w:cs="宋体"/>
                <w:i w:val="0"/>
                <w:iCs/>
                <w:szCs w:val="21"/>
                <w:highlight w:val="none"/>
                <w:u w:val="single"/>
              </w:rPr>
              <w:t>（写明可以分包履行的具体内容、金额或者比例）</w:t>
            </w:r>
          </w:p>
        </w:tc>
      </w:tr>
      <w:tr w14:paraId="2158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5F4A165">
            <w:pPr>
              <w:adjustRightIn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9</w:t>
            </w:r>
          </w:p>
        </w:tc>
        <w:tc>
          <w:tcPr>
            <w:tcW w:w="1701" w:type="dxa"/>
            <w:vAlign w:val="center"/>
          </w:tcPr>
          <w:p w14:paraId="159DABA7">
            <w:pPr>
              <w:adjustRightInd w:val="0"/>
              <w:spacing w:line="340" w:lineRule="exact"/>
              <w:jc w:val="center"/>
              <w:rPr>
                <w:rFonts w:ascii="宋体" w:hAnsi="宋体" w:cs="宋体"/>
                <w:szCs w:val="21"/>
                <w:highlight w:val="none"/>
              </w:rPr>
            </w:pPr>
            <w:r>
              <w:rPr>
                <w:rFonts w:hint="eastAsia" w:ascii="宋体" w:hAnsi="宋体" w:cs="宋体"/>
                <w:szCs w:val="21"/>
                <w:highlight w:val="none"/>
              </w:rPr>
              <w:t>核心产品</w:t>
            </w:r>
          </w:p>
        </w:tc>
        <w:tc>
          <w:tcPr>
            <w:tcW w:w="6854" w:type="dxa"/>
            <w:gridSpan w:val="2"/>
            <w:vAlign w:val="center"/>
          </w:tcPr>
          <w:p w14:paraId="413F3DB4">
            <w:pPr>
              <w:adjustRightInd w:val="0"/>
              <w:spacing w:line="340" w:lineRule="exact"/>
              <w:jc w:val="left"/>
              <w:rPr>
                <w:rFonts w:ascii="宋体" w:hAnsi="宋体" w:cs="宋体"/>
                <w:szCs w:val="21"/>
                <w:highlight w:val="none"/>
              </w:rPr>
            </w:pPr>
            <w:r>
              <w:rPr>
                <w:rFonts w:hint="eastAsia" w:ascii="宋体" w:hAnsi="宋体" w:cs="宋体"/>
                <w:szCs w:val="21"/>
                <w:highlight w:val="none"/>
              </w:rPr>
              <w:t>货物类项目填写此栏</w:t>
            </w:r>
          </w:p>
          <w:p w14:paraId="4BE366F6">
            <w:pPr>
              <w:adjustRightIn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ascii="宋体" w:hAnsi="宋体" w:cs="宋体"/>
                <w:color w:val="auto"/>
                <w:szCs w:val="21"/>
                <w:highlight w:val="none"/>
              </w:rPr>
              <w:t xml:space="preserve"> </w:t>
            </w:r>
            <w:r>
              <w:rPr>
                <w:rFonts w:hint="eastAsia" w:ascii="宋体" w:hAnsi="宋体" w:cs="宋体"/>
                <w:color w:val="auto"/>
                <w:szCs w:val="21"/>
                <w:highlight w:val="none"/>
              </w:rPr>
              <w:t>无</w:t>
            </w:r>
          </w:p>
          <w:p w14:paraId="18EA15E0">
            <w:pPr>
              <w:adjustRightIn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ascii="宋体" w:hAnsi="宋体" w:cs="宋体"/>
                <w:color w:val="auto"/>
                <w:szCs w:val="21"/>
                <w:highlight w:val="none"/>
              </w:rPr>
              <w:t xml:space="preserve"> </w:t>
            </w:r>
            <w:r>
              <w:rPr>
                <w:rFonts w:hint="eastAsia" w:ascii="宋体" w:hAnsi="宋体" w:cs="宋体"/>
                <w:color w:val="auto"/>
                <w:szCs w:val="21"/>
                <w:highlight w:val="none"/>
              </w:rPr>
              <w:t>有</w:t>
            </w:r>
          </w:p>
          <w:p w14:paraId="6855C9BA">
            <w:pPr>
              <w:adjustRightInd w:val="0"/>
              <w:spacing w:line="340" w:lineRule="exact"/>
              <w:jc w:val="lef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产品名称：</w:t>
            </w:r>
            <w:r>
              <w:rPr>
                <w:rFonts w:hint="eastAsia" w:ascii="宋体" w:hAnsi="宋体" w:cs="仿宋_GB2312"/>
                <w:color w:val="auto"/>
                <w:szCs w:val="21"/>
                <w:highlight w:val="none"/>
                <w:lang w:val="en-US" w:eastAsia="zh-CN"/>
              </w:rPr>
              <w:t>/</w:t>
            </w:r>
          </w:p>
          <w:p w14:paraId="4C9BFFE1">
            <w:pPr>
              <w:adjustRightInd w:val="0"/>
              <w:spacing w:before="120" w:beforeLines="50" w:line="340" w:lineRule="exact"/>
              <w:jc w:val="left"/>
              <w:rPr>
                <w:rFonts w:ascii="宋体" w:hAnsi="宋体" w:cs="宋体"/>
                <w:szCs w:val="21"/>
                <w:highlight w:val="none"/>
                <w:lang w:val="zh-CN"/>
              </w:rPr>
            </w:pPr>
            <w:r>
              <w:rPr>
                <w:rFonts w:hint="eastAsia" w:ascii="宋体" w:hAnsi="宋体" w:cs="宋体"/>
                <w:szCs w:val="21"/>
                <w:highlight w:val="none"/>
                <w:lang w:val="zh-CN"/>
              </w:rPr>
              <w:t>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宋体" w:hAnsi="宋体" w:cs="宋体"/>
                <w:szCs w:val="21"/>
                <w:highlight w:val="none"/>
                <w:u w:val="single"/>
                <w:lang w:val="zh-CN"/>
              </w:rPr>
              <w:t xml:space="preserve"> </w:t>
            </w:r>
            <w:r>
              <w:rPr>
                <w:rFonts w:hint="eastAsia" w:ascii="宋体" w:hAnsi="宋体" w:cs="宋体"/>
                <w:szCs w:val="21"/>
                <w:highlight w:val="none"/>
                <w:u w:val="single"/>
                <w:lang w:val="en-US" w:eastAsia="zh-CN"/>
              </w:rPr>
              <w:t>/</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的方式确定一个参加评标的投标人，招标文件未规定的采取随机抽取方式确定，其他投标无效。</w:t>
            </w:r>
          </w:p>
          <w:p w14:paraId="1E830D5B">
            <w:pPr>
              <w:adjustRightInd w:val="0"/>
              <w:spacing w:line="340" w:lineRule="exact"/>
              <w:jc w:val="left"/>
              <w:rPr>
                <w:rFonts w:ascii="宋体" w:hAnsi="宋体" w:cs="宋体"/>
                <w:szCs w:val="21"/>
                <w:highlight w:val="none"/>
                <w:lang w:val="zh-CN"/>
              </w:rPr>
            </w:pPr>
            <w:r>
              <w:rPr>
                <w:rFonts w:hint="eastAsia" w:ascii="宋体" w:hAnsi="宋体" w:cs="宋体"/>
                <w:szCs w:val="21"/>
                <w:highlight w:val="none"/>
                <w:lang w:val="zh-CN"/>
              </w:rPr>
              <w:t>采用综合评分法的采购项目，多家投标人提供的核心产品品牌相同，且通过资格审查、符合性审查的，按一家投标人计算，评审后得分最高的同品牌投标人获得中标人推荐资格，（评审得分相同的，由采购人或者采购人委托评标委员会按照</w:t>
            </w:r>
            <w:r>
              <w:rPr>
                <w:rFonts w:hint="eastAsia" w:ascii="宋体" w:hAnsi="宋体" w:cs="宋体"/>
                <w:szCs w:val="21"/>
                <w:highlight w:val="none"/>
                <w:u w:val="single"/>
                <w:lang w:val="zh-CN"/>
              </w:rPr>
              <w:t xml:space="preserve"> </w:t>
            </w:r>
            <w:r>
              <w:rPr>
                <w:rFonts w:hint="eastAsia" w:ascii="宋体" w:hAnsi="宋体" w:cs="宋体"/>
                <w:szCs w:val="21"/>
                <w:highlight w:val="none"/>
                <w:u w:val="single"/>
                <w:lang w:val="en-US" w:eastAsia="zh-CN"/>
              </w:rPr>
              <w:t>/</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的方式确定一个投标人获得中标人推荐资格，招标文件未规定的采取随机抽取方式确定），其他同品牌投标人不作为中标候选人。</w:t>
            </w:r>
          </w:p>
        </w:tc>
      </w:tr>
      <w:tr w14:paraId="4645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A93D8D7">
            <w:pPr>
              <w:adjustRightIn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0</w:t>
            </w:r>
          </w:p>
        </w:tc>
        <w:tc>
          <w:tcPr>
            <w:tcW w:w="1701" w:type="dxa"/>
            <w:vAlign w:val="center"/>
          </w:tcPr>
          <w:p w14:paraId="6EA477C4">
            <w:pPr>
              <w:adjustRightInd w:val="0"/>
              <w:spacing w:line="340" w:lineRule="exact"/>
              <w:jc w:val="center"/>
              <w:rPr>
                <w:rFonts w:ascii="宋体" w:hAnsi="宋体" w:cs="宋体"/>
                <w:szCs w:val="21"/>
                <w:highlight w:val="none"/>
              </w:rPr>
            </w:pPr>
            <w:r>
              <w:rPr>
                <w:rFonts w:hint="eastAsia" w:ascii="宋体" w:hAnsi="宋体" w:cs="宋体"/>
                <w:szCs w:val="21"/>
                <w:highlight w:val="none"/>
              </w:rPr>
              <w:t>采购进口产品</w:t>
            </w:r>
          </w:p>
        </w:tc>
        <w:tc>
          <w:tcPr>
            <w:tcW w:w="6854" w:type="dxa"/>
            <w:gridSpan w:val="2"/>
            <w:vAlign w:val="center"/>
          </w:tcPr>
          <w:p w14:paraId="0CF7978F">
            <w:pPr>
              <w:adjustRightInd w:val="0"/>
              <w:spacing w:line="340" w:lineRule="exact"/>
              <w:jc w:val="left"/>
              <w:rPr>
                <w:rFonts w:ascii="宋体" w:hAnsi="宋体" w:cs="宋体"/>
                <w:szCs w:val="21"/>
                <w:highlight w:val="none"/>
              </w:rPr>
            </w:pPr>
            <w:r>
              <w:rPr>
                <w:rFonts w:hint="eastAsia" w:ascii="宋体" w:hAnsi="宋体" w:cs="宋体"/>
                <w:szCs w:val="21"/>
                <w:highlight w:val="none"/>
              </w:rPr>
              <w:sym w:font="Wingdings 2" w:char="0052"/>
            </w:r>
            <w:r>
              <w:rPr>
                <w:rFonts w:ascii="宋体" w:hAnsi="宋体" w:cs="宋体"/>
                <w:szCs w:val="21"/>
                <w:highlight w:val="none"/>
              </w:rPr>
              <w:t xml:space="preserve"> </w:t>
            </w:r>
            <w:r>
              <w:rPr>
                <w:rFonts w:hint="eastAsia" w:ascii="宋体" w:hAnsi="宋体" w:cs="宋体"/>
                <w:szCs w:val="21"/>
                <w:highlight w:val="none"/>
              </w:rPr>
              <w:t>本采购项目拒绝进口产品参加投标</w:t>
            </w:r>
          </w:p>
          <w:p w14:paraId="0E000A16">
            <w:pPr>
              <w:adjustRightInd w:val="0"/>
              <w:spacing w:line="340" w:lineRule="exact"/>
              <w:jc w:val="left"/>
              <w:rPr>
                <w:rFonts w:ascii="宋体" w:hAnsi="宋体" w:cs="宋体"/>
                <w:szCs w:val="21"/>
                <w:highlight w:val="none"/>
              </w:rPr>
            </w:pPr>
            <w:r>
              <w:rPr>
                <w:rFonts w:hint="eastAsia" w:ascii="宋体" w:hAnsi="宋体" w:cs="宋体"/>
                <w:szCs w:val="21"/>
                <w:highlight w:val="none"/>
              </w:rPr>
              <w:t>□ 本采购项目已经财政部审核同意购买进口产品</w:t>
            </w:r>
          </w:p>
          <w:p w14:paraId="171DE2DF">
            <w:pPr>
              <w:adjustRightInd w:val="0"/>
              <w:spacing w:line="340" w:lineRule="exact"/>
              <w:jc w:val="left"/>
              <w:rPr>
                <w:rFonts w:ascii="宋体" w:hAnsi="宋体" w:cs="宋体"/>
                <w:szCs w:val="21"/>
                <w:highlight w:val="none"/>
              </w:rPr>
            </w:pPr>
            <w:r>
              <w:rPr>
                <w:rFonts w:hint="eastAsia" w:ascii="宋体" w:hAnsi="宋体" w:cs="宋体"/>
                <w:szCs w:val="21"/>
                <w:highlight w:val="none"/>
              </w:rPr>
              <w:t>□ 其他____________</w:t>
            </w:r>
          </w:p>
        </w:tc>
      </w:tr>
      <w:tr w14:paraId="0A25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D653B70">
            <w:pPr>
              <w:adjustRightIn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1</w:t>
            </w:r>
          </w:p>
        </w:tc>
        <w:tc>
          <w:tcPr>
            <w:tcW w:w="1701" w:type="dxa"/>
            <w:vAlign w:val="center"/>
          </w:tcPr>
          <w:p w14:paraId="25410DD3">
            <w:pPr>
              <w:adjustRightInd w:val="0"/>
              <w:spacing w:line="340" w:lineRule="exact"/>
              <w:jc w:val="center"/>
              <w:rPr>
                <w:rFonts w:ascii="宋体" w:hAnsi="宋体" w:cs="宋体"/>
                <w:b/>
                <w:szCs w:val="21"/>
                <w:highlight w:val="none"/>
              </w:rPr>
            </w:pPr>
            <w:r>
              <w:rPr>
                <w:rFonts w:hint="eastAsia" w:ascii="宋体" w:hAnsi="宋体" w:cs="宋体"/>
                <w:szCs w:val="21"/>
                <w:highlight w:val="none"/>
              </w:rPr>
              <w:t>信息发布媒体</w:t>
            </w:r>
          </w:p>
        </w:tc>
        <w:tc>
          <w:tcPr>
            <w:tcW w:w="6854" w:type="dxa"/>
            <w:gridSpan w:val="2"/>
            <w:vAlign w:val="center"/>
          </w:tcPr>
          <w:p w14:paraId="14C34D9E">
            <w:pPr>
              <w:adjustRightInd w:val="0"/>
              <w:spacing w:line="340" w:lineRule="exact"/>
              <w:jc w:val="left"/>
              <w:rPr>
                <w:rFonts w:hint="default" w:ascii="宋体" w:hAnsi="宋体" w:cs="宋体"/>
                <w:szCs w:val="21"/>
                <w:highlight w:val="none"/>
              </w:rPr>
            </w:pPr>
            <w:r>
              <w:rPr>
                <w:rFonts w:hint="eastAsia" w:ascii="宋体" w:hAnsi="宋体" w:cs="宋体"/>
                <w:szCs w:val="21"/>
                <w:highlight w:val="none"/>
                <w:lang w:val="en-US" w:eastAsia="zh-CN"/>
              </w:rPr>
              <w:t>1.</w:t>
            </w:r>
            <w:r>
              <w:rPr>
                <w:rFonts w:hint="default" w:ascii="宋体" w:hAnsi="宋体" w:cs="宋体"/>
                <w:szCs w:val="21"/>
                <w:highlight w:val="none"/>
              </w:rPr>
              <w:t>中国政府采购网（</w:t>
            </w:r>
            <w:r>
              <w:rPr>
                <w:rFonts w:hint="default" w:ascii="宋体" w:hAnsi="宋体" w:cs="宋体"/>
                <w:szCs w:val="21"/>
                <w:highlight w:val="none"/>
              </w:rPr>
              <w:fldChar w:fldCharType="begin"/>
            </w:r>
            <w:r>
              <w:rPr>
                <w:rFonts w:hint="default" w:ascii="宋体" w:hAnsi="宋体" w:cs="宋体"/>
                <w:szCs w:val="21"/>
                <w:highlight w:val="none"/>
              </w:rPr>
              <w:instrText xml:space="preserve"> HYPERLINK "http://www.ccgp.gov.cn" </w:instrText>
            </w:r>
            <w:r>
              <w:rPr>
                <w:rFonts w:hint="default" w:ascii="宋体" w:hAnsi="宋体" w:cs="宋体"/>
                <w:szCs w:val="21"/>
                <w:highlight w:val="none"/>
              </w:rPr>
              <w:fldChar w:fldCharType="separate"/>
            </w:r>
            <w:r>
              <w:rPr>
                <w:rFonts w:hint="default" w:ascii="宋体" w:hAnsi="宋体" w:cs="宋体"/>
                <w:szCs w:val="21"/>
                <w:highlight w:val="none"/>
              </w:rPr>
              <w:t>www.ccgp.gov.cn</w:t>
            </w:r>
            <w:r>
              <w:rPr>
                <w:rFonts w:hint="default" w:ascii="宋体" w:hAnsi="宋体" w:cs="宋体"/>
                <w:szCs w:val="21"/>
                <w:highlight w:val="none"/>
              </w:rPr>
              <w:fldChar w:fldCharType="end"/>
            </w:r>
            <w:r>
              <w:rPr>
                <w:rFonts w:hint="default" w:ascii="宋体" w:hAnsi="宋体" w:cs="宋体"/>
                <w:szCs w:val="21"/>
                <w:highlight w:val="none"/>
              </w:rPr>
              <w:t>）</w:t>
            </w:r>
          </w:p>
          <w:p w14:paraId="534D9BAB">
            <w:pPr>
              <w:adjustRightInd w:val="0"/>
              <w:spacing w:line="340" w:lineRule="exact"/>
              <w:jc w:val="left"/>
              <w:rPr>
                <w:rFonts w:ascii="宋体" w:hAnsi="宋体" w:cs="宋体"/>
                <w:szCs w:val="21"/>
                <w:highlight w:val="none"/>
              </w:rPr>
            </w:pPr>
            <w:r>
              <w:rPr>
                <w:rFonts w:hint="eastAsia" w:ascii="宋体" w:hAnsi="宋体" w:cs="宋体"/>
                <w:szCs w:val="21"/>
                <w:highlight w:val="none"/>
                <w:lang w:val="en-US" w:eastAsia="zh-CN"/>
              </w:rPr>
              <w:t>2.</w:t>
            </w:r>
            <w:r>
              <w:rPr>
                <w:rFonts w:hint="default" w:ascii="宋体" w:hAnsi="宋体" w:cs="宋体"/>
                <w:szCs w:val="21"/>
                <w:highlight w:val="none"/>
              </w:rPr>
              <w:t>国家税务总局湖南省税务局官网（http://hunan.chinatax.gov.cn/cs）</w:t>
            </w:r>
          </w:p>
        </w:tc>
      </w:tr>
      <w:tr w14:paraId="2B25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8AB1792">
            <w:pPr>
              <w:adjustRightIn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2</w:t>
            </w:r>
          </w:p>
        </w:tc>
        <w:tc>
          <w:tcPr>
            <w:tcW w:w="1701" w:type="dxa"/>
            <w:vAlign w:val="center"/>
          </w:tcPr>
          <w:p w14:paraId="7E178CCD">
            <w:pPr>
              <w:topLinePunct/>
              <w:autoSpaceDE w:val="0"/>
              <w:autoSpaceDN w:val="0"/>
              <w:adjustRightInd w:val="0"/>
              <w:spacing w:line="340" w:lineRule="exact"/>
              <w:jc w:val="center"/>
              <w:rPr>
                <w:rFonts w:ascii="宋体" w:hAnsi="宋体" w:cs="宋体"/>
                <w:szCs w:val="21"/>
                <w:highlight w:val="none"/>
              </w:rPr>
            </w:pPr>
            <w:r>
              <w:rPr>
                <w:rFonts w:hint="eastAsia" w:ascii="宋体" w:hAnsi="宋体" w:cs="宋体"/>
                <w:szCs w:val="21"/>
                <w:highlight w:val="none"/>
              </w:rPr>
              <w:t>获取招标文件</w:t>
            </w:r>
          </w:p>
          <w:p w14:paraId="54AC4538">
            <w:pPr>
              <w:adjustRightInd w:val="0"/>
              <w:spacing w:line="340" w:lineRule="exact"/>
              <w:jc w:val="center"/>
              <w:rPr>
                <w:rFonts w:ascii="宋体" w:hAnsi="宋体" w:cs="宋体"/>
                <w:szCs w:val="21"/>
                <w:highlight w:val="none"/>
              </w:rPr>
            </w:pPr>
            <w:r>
              <w:rPr>
                <w:rFonts w:hint="eastAsia" w:ascii="宋体" w:hAnsi="宋体" w:cs="宋体"/>
                <w:szCs w:val="21"/>
                <w:highlight w:val="none"/>
              </w:rPr>
              <w:t>时间、地点和</w:t>
            </w:r>
          </w:p>
          <w:p w14:paraId="2A309262">
            <w:pPr>
              <w:adjustRightInd w:val="0"/>
              <w:spacing w:line="340" w:lineRule="exact"/>
              <w:jc w:val="center"/>
              <w:rPr>
                <w:rFonts w:ascii="宋体" w:hAnsi="宋体" w:cs="宋体"/>
                <w:szCs w:val="21"/>
                <w:highlight w:val="none"/>
              </w:rPr>
            </w:pPr>
            <w:r>
              <w:rPr>
                <w:rFonts w:hint="eastAsia" w:ascii="宋体" w:hAnsi="宋体" w:cs="宋体"/>
                <w:szCs w:val="21"/>
                <w:highlight w:val="none"/>
              </w:rPr>
              <w:t>方式等</w:t>
            </w:r>
          </w:p>
        </w:tc>
        <w:tc>
          <w:tcPr>
            <w:tcW w:w="6854" w:type="dxa"/>
            <w:gridSpan w:val="2"/>
            <w:vAlign w:val="center"/>
          </w:tcPr>
          <w:p w14:paraId="772B7BEC">
            <w:pPr>
              <w:adjustRightInd w:val="0"/>
              <w:spacing w:line="340" w:lineRule="exact"/>
              <w:rPr>
                <w:rFonts w:ascii="宋体" w:hAnsi="宋体" w:cs="宋体"/>
                <w:bCs/>
                <w:szCs w:val="21"/>
                <w:highlight w:val="none"/>
              </w:rPr>
            </w:pPr>
            <w:r>
              <w:rPr>
                <w:rFonts w:hint="eastAsia" w:ascii="宋体" w:hAnsi="宋体" w:cs="宋体"/>
                <w:szCs w:val="21"/>
                <w:highlight w:val="none"/>
              </w:rPr>
              <w:t>时间</w:t>
            </w:r>
            <w:r>
              <w:rPr>
                <w:rFonts w:hint="eastAsia" w:ascii="宋体" w:hAnsi="宋体" w:cs="宋体"/>
                <w:b/>
                <w:bCs/>
                <w:szCs w:val="21"/>
                <w:highlight w:val="none"/>
              </w:rPr>
              <w:t>：</w:t>
            </w:r>
            <w:r>
              <w:rPr>
                <w:rFonts w:hint="eastAsia" w:ascii="宋体" w:hAnsi="宋体"/>
                <w:b/>
                <w:bCs/>
                <w:color w:val="auto"/>
                <w:kern w:val="0"/>
                <w:highlight w:val="none"/>
                <w:u w:val="single"/>
                <w:lang w:eastAsia="zh-CN"/>
              </w:rPr>
              <w:t>2024年</w:t>
            </w:r>
            <w:r>
              <w:rPr>
                <w:rFonts w:hint="eastAsia" w:ascii="宋体" w:hAnsi="宋体"/>
                <w:b/>
                <w:bCs/>
                <w:color w:val="auto"/>
                <w:kern w:val="0"/>
                <w:highlight w:val="none"/>
                <w:u w:val="single"/>
                <w:lang w:val="en-US" w:eastAsia="zh-CN"/>
              </w:rPr>
              <w:t>12</w:t>
            </w:r>
            <w:r>
              <w:rPr>
                <w:rFonts w:hint="eastAsia" w:ascii="宋体" w:hAnsi="宋体"/>
                <w:b/>
                <w:bCs/>
                <w:color w:val="auto"/>
                <w:kern w:val="0"/>
                <w:highlight w:val="none"/>
                <w:u w:val="single"/>
                <w:lang w:eastAsia="zh-CN"/>
              </w:rPr>
              <w:t>月</w:t>
            </w:r>
            <w:r>
              <w:rPr>
                <w:rFonts w:hint="eastAsia" w:ascii="宋体" w:hAnsi="宋体"/>
                <w:b/>
                <w:bCs/>
                <w:color w:val="auto"/>
                <w:kern w:val="0"/>
                <w:highlight w:val="none"/>
                <w:u w:val="single"/>
                <w:lang w:val="en-US" w:eastAsia="zh-CN"/>
              </w:rPr>
              <w:t>3</w:t>
            </w:r>
            <w:r>
              <w:rPr>
                <w:rFonts w:hint="eastAsia" w:ascii="宋体" w:hAnsi="宋体"/>
                <w:b/>
                <w:bCs/>
                <w:color w:val="auto"/>
                <w:kern w:val="0"/>
                <w:highlight w:val="none"/>
                <w:u w:val="single"/>
                <w:lang w:eastAsia="zh-CN"/>
              </w:rPr>
              <w:t>日至2024年</w:t>
            </w:r>
            <w:r>
              <w:rPr>
                <w:rFonts w:hint="eastAsia" w:ascii="宋体" w:hAnsi="宋体"/>
                <w:b/>
                <w:bCs/>
                <w:color w:val="auto"/>
                <w:kern w:val="0"/>
                <w:highlight w:val="none"/>
                <w:u w:val="single"/>
                <w:lang w:val="en-US" w:eastAsia="zh-CN"/>
              </w:rPr>
              <w:t>12</w:t>
            </w:r>
            <w:r>
              <w:rPr>
                <w:rFonts w:hint="eastAsia" w:ascii="宋体" w:hAnsi="宋体"/>
                <w:b/>
                <w:bCs/>
                <w:color w:val="auto"/>
                <w:kern w:val="0"/>
                <w:highlight w:val="none"/>
                <w:u w:val="single"/>
                <w:lang w:eastAsia="zh-CN"/>
              </w:rPr>
              <w:t>月</w:t>
            </w:r>
            <w:r>
              <w:rPr>
                <w:rFonts w:hint="eastAsia" w:ascii="宋体" w:hAnsi="宋体"/>
                <w:b/>
                <w:bCs/>
                <w:color w:val="auto"/>
                <w:kern w:val="0"/>
                <w:highlight w:val="none"/>
                <w:u w:val="single"/>
                <w:lang w:val="en-US" w:eastAsia="zh-CN"/>
              </w:rPr>
              <w:t>10</w:t>
            </w:r>
            <w:r>
              <w:rPr>
                <w:rFonts w:hint="eastAsia" w:ascii="宋体" w:hAnsi="宋体"/>
                <w:b/>
                <w:bCs/>
                <w:color w:val="auto"/>
                <w:kern w:val="0"/>
                <w:highlight w:val="none"/>
                <w:u w:val="single"/>
                <w:lang w:eastAsia="zh-CN"/>
              </w:rPr>
              <w:t>日</w:t>
            </w:r>
            <w:r>
              <w:rPr>
                <w:rFonts w:hint="eastAsia" w:ascii="宋体" w:hAnsi="宋体"/>
                <w:color w:val="auto"/>
                <w:kern w:val="0"/>
                <w:highlight w:val="none"/>
              </w:rPr>
              <w:t>（</w:t>
            </w:r>
            <w:r>
              <w:rPr>
                <w:rFonts w:hint="eastAsia" w:ascii="宋体" w:hAnsi="宋体"/>
                <w:color w:val="000000"/>
                <w:kern w:val="0"/>
                <w:highlight w:val="none"/>
              </w:rPr>
              <w:t>提供期限自本公告发布之日起不得少于5个工作日），每天上午9：00至1</w:t>
            </w:r>
            <w:r>
              <w:rPr>
                <w:rFonts w:hint="eastAsia" w:ascii="宋体" w:hAnsi="宋体"/>
                <w:color w:val="000000"/>
                <w:kern w:val="0"/>
                <w:highlight w:val="none"/>
                <w:lang w:val="en-US" w:eastAsia="zh-CN"/>
              </w:rPr>
              <w:t>1</w:t>
            </w:r>
            <w:r>
              <w:rPr>
                <w:rFonts w:hint="eastAsia" w:ascii="宋体" w:hAnsi="宋体"/>
                <w:color w:val="000000"/>
                <w:kern w:val="0"/>
                <w:highlight w:val="none"/>
              </w:rPr>
              <w:t>：</w:t>
            </w:r>
            <w:r>
              <w:rPr>
                <w:rFonts w:hint="eastAsia" w:ascii="宋体" w:hAnsi="宋体"/>
                <w:color w:val="000000"/>
                <w:kern w:val="0"/>
                <w:highlight w:val="none"/>
                <w:lang w:val="en-US" w:eastAsia="zh-CN"/>
              </w:rPr>
              <w:t>3</w:t>
            </w:r>
            <w:r>
              <w:rPr>
                <w:rFonts w:hint="eastAsia" w:ascii="宋体" w:hAnsi="宋体"/>
                <w:color w:val="000000"/>
                <w:kern w:val="0"/>
                <w:highlight w:val="none"/>
              </w:rPr>
              <w:t>0，下午14：30至17：00。（北京时间，法定节假日除外）</w:t>
            </w:r>
          </w:p>
          <w:p w14:paraId="3B4047D5">
            <w:pPr>
              <w:adjustRightInd w:val="0"/>
              <w:spacing w:line="340" w:lineRule="exact"/>
              <w:rPr>
                <w:rFonts w:ascii="宋体" w:hAnsi="宋体" w:cs="宋体"/>
                <w:bCs/>
                <w:szCs w:val="21"/>
                <w:highlight w:val="none"/>
              </w:rPr>
            </w:pPr>
            <w:r>
              <w:rPr>
                <w:rFonts w:hint="eastAsia" w:ascii="宋体" w:hAnsi="宋体" w:cs="宋体"/>
                <w:b/>
                <w:szCs w:val="21"/>
                <w:highlight w:val="none"/>
              </w:rPr>
              <w:t>地点：</w:t>
            </w:r>
            <w:r>
              <w:rPr>
                <w:rFonts w:hint="eastAsia" w:ascii="宋体" w:hAnsi="宋体" w:cs="宋体"/>
                <w:color w:val="000000" w:themeColor="text1"/>
                <w:kern w:val="0"/>
                <w:szCs w:val="21"/>
                <w:highlight w:val="none"/>
                <w:lang w:eastAsia="zh-CN"/>
                <w14:textFill>
                  <w14:solidFill>
                    <w14:schemeClr w14:val="tx1"/>
                  </w14:solidFill>
                </w14:textFill>
              </w:rPr>
              <w:t>天鉴国际工程管理有限公司</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kern w:val="0"/>
                <w:highlight w:val="none"/>
                <w:lang w:eastAsia="zh-CN"/>
              </w:rPr>
              <w:t>长沙市雨花区金海路128号天鉴大厦4楼401室</w:t>
            </w:r>
            <w:r>
              <w:rPr>
                <w:rFonts w:hint="eastAsia" w:ascii="宋体" w:hAnsi="宋体" w:cs="宋体"/>
                <w:color w:val="000000" w:themeColor="text1"/>
                <w:kern w:val="0"/>
                <w:szCs w:val="21"/>
                <w:highlight w:val="none"/>
                <w14:textFill>
                  <w14:solidFill>
                    <w14:schemeClr w14:val="tx1"/>
                  </w14:solidFill>
                </w14:textFill>
              </w:rPr>
              <w:t>）</w:t>
            </w:r>
          </w:p>
          <w:p w14:paraId="5348832F">
            <w:pPr>
              <w:topLinePunct/>
              <w:autoSpaceDE w:val="0"/>
              <w:autoSpaceDN w:val="0"/>
              <w:adjustRightInd w:val="0"/>
              <w:spacing w:line="340" w:lineRule="exact"/>
              <w:rPr>
                <w:rFonts w:ascii="宋体" w:hAnsi="宋体" w:cs="宋体"/>
                <w:szCs w:val="21"/>
                <w:highlight w:val="none"/>
              </w:rPr>
            </w:pPr>
            <w:r>
              <w:rPr>
                <w:rFonts w:hint="eastAsia" w:ascii="宋体" w:hAnsi="宋体" w:cs="宋体"/>
                <w:b/>
                <w:szCs w:val="21"/>
                <w:highlight w:val="none"/>
              </w:rPr>
              <w:t>方式：</w:t>
            </w:r>
            <w:r>
              <w:rPr>
                <w:rFonts w:hint="eastAsia" w:ascii="宋体" w:hAnsi="宋体"/>
                <w:color w:val="000000"/>
                <w:kern w:val="0"/>
                <w:highlight w:val="none"/>
              </w:rPr>
              <w:t>投标人</w:t>
            </w:r>
            <w:r>
              <w:rPr>
                <w:rFonts w:hint="eastAsia" w:ascii="宋体" w:hAnsi="宋体"/>
                <w:color w:val="000000"/>
                <w:kern w:val="0"/>
                <w:highlight w:val="none"/>
                <w:lang w:val="en-US" w:eastAsia="zh-CN"/>
              </w:rPr>
              <w:t>持</w:t>
            </w:r>
            <w:r>
              <w:rPr>
                <w:rFonts w:hint="eastAsia" w:ascii="宋体" w:hAnsi="宋体" w:cs="宋体"/>
                <w:szCs w:val="21"/>
                <w:highlight w:val="none"/>
              </w:rPr>
              <w:t>营业执照复印件</w:t>
            </w:r>
            <w:r>
              <w:rPr>
                <w:rFonts w:hint="eastAsia" w:ascii="宋体" w:hAnsi="宋体" w:cs="宋体"/>
                <w:szCs w:val="21"/>
                <w:highlight w:val="none"/>
                <w:lang w:eastAsia="zh-CN"/>
              </w:rPr>
              <w:t>，</w:t>
            </w:r>
            <w:r>
              <w:rPr>
                <w:rFonts w:hint="eastAsia" w:ascii="宋体" w:hAnsi="宋体"/>
                <w:color w:val="000000"/>
                <w:kern w:val="0"/>
                <w:highlight w:val="none"/>
              </w:rPr>
              <w:t>法定代表人持法定代表人身份证明（或授权代表持授权委托书（附法定代表人身份证明））、个人身份证原件购买招标文件。</w:t>
            </w:r>
            <w:r>
              <w:rPr>
                <w:rFonts w:hint="eastAsia" w:ascii="宋体" w:hAnsi="宋体"/>
                <w:kern w:val="0"/>
                <w:highlight w:val="none"/>
              </w:rPr>
              <w:t>以上资料均须加盖</w:t>
            </w:r>
            <w:r>
              <w:rPr>
                <w:rFonts w:hint="eastAsia" w:ascii="宋体" w:hAnsi="宋体"/>
                <w:kern w:val="0"/>
                <w:highlight w:val="none"/>
                <w:lang w:val="en-US" w:eastAsia="zh-CN"/>
              </w:rPr>
              <w:t>投标人</w:t>
            </w:r>
            <w:r>
              <w:rPr>
                <w:rFonts w:hint="eastAsia" w:ascii="宋体" w:hAnsi="宋体"/>
                <w:kern w:val="0"/>
                <w:highlight w:val="none"/>
              </w:rPr>
              <w:t>公章。</w:t>
            </w:r>
          </w:p>
        </w:tc>
      </w:tr>
      <w:tr w14:paraId="169F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D919079">
            <w:pPr>
              <w:adjustRightIn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3</w:t>
            </w:r>
          </w:p>
        </w:tc>
        <w:tc>
          <w:tcPr>
            <w:tcW w:w="1701" w:type="dxa"/>
            <w:vAlign w:val="center"/>
          </w:tcPr>
          <w:p w14:paraId="5E0EC847">
            <w:pPr>
              <w:topLinePunct/>
              <w:autoSpaceDE w:val="0"/>
              <w:autoSpaceDN w:val="0"/>
              <w:adjustRightInd w:val="0"/>
              <w:spacing w:line="340" w:lineRule="exact"/>
              <w:jc w:val="center"/>
              <w:rPr>
                <w:rFonts w:ascii="宋体" w:hAnsi="宋体" w:cs="宋体"/>
                <w:szCs w:val="21"/>
                <w:highlight w:val="none"/>
              </w:rPr>
            </w:pPr>
            <w:r>
              <w:rPr>
                <w:rFonts w:hint="eastAsia" w:ascii="宋体" w:hAnsi="宋体" w:cs="宋体"/>
                <w:szCs w:val="21"/>
                <w:highlight w:val="none"/>
              </w:rPr>
              <w:t>现场考察/踏勘</w:t>
            </w:r>
          </w:p>
        </w:tc>
        <w:tc>
          <w:tcPr>
            <w:tcW w:w="6854" w:type="dxa"/>
            <w:gridSpan w:val="2"/>
            <w:vAlign w:val="center"/>
          </w:tcPr>
          <w:p w14:paraId="2A22B162">
            <w:pPr>
              <w:tabs>
                <w:tab w:val="left" w:pos="0"/>
                <w:tab w:val="left" w:pos="420"/>
              </w:tabs>
              <w:adjustRightInd w:val="0"/>
              <w:jc w:val="left"/>
              <w:rPr>
                <w:rFonts w:ascii="宋体" w:hAnsi="宋体" w:cs="宋体"/>
                <w:szCs w:val="21"/>
                <w:highlight w:val="none"/>
              </w:rPr>
            </w:pPr>
            <w:r>
              <w:rPr>
                <w:rFonts w:hint="eastAsia" w:ascii="宋体" w:hAnsi="宋体" w:cs="宋体"/>
                <w:szCs w:val="21"/>
                <w:highlight w:val="none"/>
              </w:rPr>
              <w:sym w:font="Wingdings 2" w:char="0052"/>
            </w:r>
            <w:r>
              <w:rPr>
                <w:rFonts w:ascii="宋体" w:hAnsi="宋体" w:cs="宋体"/>
                <w:szCs w:val="21"/>
                <w:highlight w:val="none"/>
              </w:rPr>
              <w:t xml:space="preserve"> </w:t>
            </w:r>
            <w:r>
              <w:rPr>
                <w:rFonts w:hint="eastAsia" w:ascii="宋体" w:hAnsi="宋体" w:cs="宋体"/>
                <w:szCs w:val="21"/>
                <w:highlight w:val="none"/>
              </w:rPr>
              <w:t>不组织现场考察/踏勘：</w:t>
            </w:r>
          </w:p>
          <w:p w14:paraId="360CFEC9">
            <w:pPr>
              <w:adjustRightInd w:val="0"/>
              <w:spacing w:line="340" w:lineRule="exact"/>
              <w:rPr>
                <w:rFonts w:ascii="宋体" w:hAnsi="宋体"/>
                <w:color w:val="000000"/>
                <w:kern w:val="0"/>
                <w:highlight w:val="none"/>
              </w:rPr>
            </w:pPr>
            <w:r>
              <w:rPr>
                <w:rFonts w:hint="eastAsia" w:ascii="宋体" w:hAnsi="宋体"/>
                <w:color w:val="000000"/>
                <w:kern w:val="0"/>
                <w:highlight w:val="none"/>
              </w:rPr>
              <w:t>投标人可自行对采购项目现场和周围环境的现场进行踏勘，确保对本项目涉及的服务内容充分了解。有关踏勘费用投标人自理，踏勘期间发生的意外自负。踏勘联系人：</w:t>
            </w:r>
            <w:r>
              <w:rPr>
                <w:rFonts w:hint="eastAsia" w:ascii="宋体" w:hAnsi="宋体"/>
                <w:color w:val="auto"/>
                <w:kern w:val="0"/>
                <w:highlight w:val="none"/>
                <w:lang w:val="en-US" w:eastAsia="zh-CN"/>
              </w:rPr>
              <w:t>汪先生</w:t>
            </w:r>
            <w:r>
              <w:rPr>
                <w:rFonts w:hint="eastAsia" w:ascii="宋体" w:hAnsi="宋体"/>
                <w:color w:val="auto"/>
                <w:kern w:val="0"/>
                <w:highlight w:val="none"/>
              </w:rPr>
              <w:t>，</w:t>
            </w:r>
            <w:r>
              <w:rPr>
                <w:rFonts w:hint="eastAsia" w:ascii="宋体" w:hAnsi="宋体"/>
                <w:color w:val="auto"/>
                <w:kern w:val="0"/>
                <w:highlight w:val="none"/>
                <w:lang w:eastAsia="zh-CN"/>
              </w:rPr>
              <w:t>0731-85135567</w:t>
            </w:r>
            <w:r>
              <w:rPr>
                <w:rFonts w:hint="eastAsia" w:ascii="宋体" w:hAnsi="宋体"/>
                <w:color w:val="auto"/>
                <w:kern w:val="0"/>
                <w:highlight w:val="none"/>
              </w:rPr>
              <w:t>。</w:t>
            </w:r>
          </w:p>
          <w:p w14:paraId="2E47337C">
            <w:pPr>
              <w:adjustRightInd w:val="0"/>
              <w:spacing w:line="340" w:lineRule="exact"/>
              <w:rPr>
                <w:rFonts w:ascii="宋体" w:hAnsi="宋体" w:cs="宋体"/>
                <w:bCs/>
                <w:szCs w:val="21"/>
                <w:highlight w:val="none"/>
              </w:rPr>
            </w:pPr>
            <w:r>
              <w:rPr>
                <w:rFonts w:hint="eastAsia" w:ascii="宋体" w:hAnsi="宋体" w:cs="宋体"/>
                <w:szCs w:val="21"/>
                <w:highlight w:val="none"/>
              </w:rPr>
              <w:sym w:font="Wingdings 2" w:char="F0A3"/>
            </w:r>
            <w:r>
              <w:rPr>
                <w:rFonts w:ascii="宋体" w:hAnsi="宋体" w:cs="宋体"/>
                <w:szCs w:val="21"/>
                <w:highlight w:val="none"/>
              </w:rPr>
              <w:t xml:space="preserve"> </w:t>
            </w:r>
            <w:r>
              <w:rPr>
                <w:rFonts w:hint="eastAsia" w:ascii="宋体" w:hAnsi="宋体" w:cs="宋体"/>
                <w:bCs/>
                <w:szCs w:val="21"/>
                <w:highlight w:val="none"/>
              </w:rPr>
              <w:t>组织现场考察</w:t>
            </w:r>
            <w:r>
              <w:rPr>
                <w:rFonts w:hint="eastAsia" w:ascii="宋体" w:hAnsi="宋体" w:cs="宋体"/>
                <w:szCs w:val="21"/>
                <w:highlight w:val="none"/>
              </w:rPr>
              <w:t>/踏勘</w:t>
            </w:r>
            <w:r>
              <w:rPr>
                <w:rFonts w:hint="eastAsia" w:ascii="宋体" w:hAnsi="宋体" w:cs="宋体"/>
                <w:bCs/>
                <w:szCs w:val="21"/>
                <w:highlight w:val="none"/>
              </w:rPr>
              <w:t>：</w:t>
            </w:r>
          </w:p>
          <w:p w14:paraId="5EA0ADFC">
            <w:pPr>
              <w:adjustRightInd w:val="0"/>
              <w:spacing w:line="340" w:lineRule="exact"/>
              <w:rPr>
                <w:rFonts w:ascii="宋体" w:hAnsi="宋体" w:cs="宋体"/>
                <w:bCs/>
                <w:szCs w:val="21"/>
                <w:highlight w:val="none"/>
              </w:rPr>
            </w:pPr>
            <w:r>
              <w:rPr>
                <w:rFonts w:hint="eastAsia" w:ascii="宋体" w:hAnsi="宋体" w:cs="宋体"/>
                <w:b/>
                <w:szCs w:val="21"/>
                <w:highlight w:val="none"/>
              </w:rPr>
              <w:t>时间：</w:t>
            </w:r>
            <w:r>
              <w:rPr>
                <w:rFonts w:hint="eastAsia" w:ascii="宋体" w:hAnsi="宋体" w:cs="宋体"/>
                <w:szCs w:val="21"/>
                <w:highlight w:val="none"/>
                <w:u w:val="single"/>
              </w:rPr>
              <w:t xml:space="preserve">   </w:t>
            </w:r>
            <w:r>
              <w:rPr>
                <w:rFonts w:hint="eastAsia" w:ascii="宋体" w:hAnsi="宋体" w:cs="宋体"/>
                <w:bCs/>
                <w:szCs w:val="21"/>
                <w:highlight w:val="none"/>
              </w:rPr>
              <w:t>年</w:t>
            </w:r>
            <w:r>
              <w:rPr>
                <w:rFonts w:hint="eastAsia" w:ascii="宋体" w:hAnsi="宋体" w:cs="宋体"/>
                <w:szCs w:val="21"/>
                <w:highlight w:val="none"/>
                <w:u w:val="single"/>
              </w:rPr>
              <w:t xml:space="preserve">   </w:t>
            </w:r>
            <w:r>
              <w:rPr>
                <w:rFonts w:hint="eastAsia" w:ascii="宋体" w:hAnsi="宋体" w:cs="宋体"/>
                <w:bCs/>
                <w:szCs w:val="21"/>
                <w:highlight w:val="none"/>
              </w:rPr>
              <w:t>月</w:t>
            </w:r>
            <w:r>
              <w:rPr>
                <w:rFonts w:hint="eastAsia" w:ascii="宋体" w:hAnsi="宋体" w:cs="宋体"/>
                <w:szCs w:val="21"/>
                <w:highlight w:val="none"/>
                <w:u w:val="single"/>
              </w:rPr>
              <w:t xml:space="preserve">   </w:t>
            </w:r>
            <w:r>
              <w:rPr>
                <w:rFonts w:hint="eastAsia" w:ascii="宋体" w:hAnsi="宋体" w:cs="宋体"/>
                <w:bCs/>
                <w:szCs w:val="21"/>
                <w:highlight w:val="none"/>
              </w:rPr>
              <w:t>日</w:t>
            </w:r>
            <w:r>
              <w:rPr>
                <w:rFonts w:hint="eastAsia" w:ascii="宋体" w:hAnsi="宋体" w:cs="宋体"/>
                <w:szCs w:val="21"/>
                <w:highlight w:val="none"/>
                <w:u w:val="single"/>
              </w:rPr>
              <w:t xml:space="preserve">   </w:t>
            </w:r>
            <w:r>
              <w:rPr>
                <w:rFonts w:hint="eastAsia" w:ascii="宋体" w:hAnsi="宋体" w:cs="宋体"/>
                <w:bCs/>
                <w:szCs w:val="21"/>
                <w:highlight w:val="none"/>
              </w:rPr>
              <w:t>午</w:t>
            </w:r>
            <w:r>
              <w:rPr>
                <w:rFonts w:hint="eastAsia" w:ascii="宋体" w:hAnsi="宋体" w:cs="宋体"/>
                <w:szCs w:val="21"/>
                <w:highlight w:val="none"/>
                <w:u w:val="single"/>
              </w:rPr>
              <w:t xml:space="preserve">   </w:t>
            </w:r>
            <w:r>
              <w:rPr>
                <w:rFonts w:hint="eastAsia" w:ascii="宋体" w:hAnsi="宋体" w:cs="宋体"/>
                <w:szCs w:val="21"/>
                <w:highlight w:val="none"/>
              </w:rPr>
              <w:t>（北京时间）</w:t>
            </w:r>
          </w:p>
          <w:p w14:paraId="218E5047">
            <w:pPr>
              <w:adjustRightInd w:val="0"/>
              <w:spacing w:line="340" w:lineRule="exact"/>
              <w:rPr>
                <w:rFonts w:ascii="宋体" w:hAnsi="宋体" w:cs="宋体"/>
                <w:b/>
                <w:szCs w:val="21"/>
                <w:highlight w:val="none"/>
              </w:rPr>
            </w:pPr>
            <w:r>
              <w:rPr>
                <w:rFonts w:hint="eastAsia" w:ascii="宋体" w:hAnsi="宋体" w:cs="宋体"/>
                <w:b/>
                <w:szCs w:val="21"/>
                <w:highlight w:val="none"/>
              </w:rPr>
              <w:t>地点：</w:t>
            </w:r>
            <w:r>
              <w:rPr>
                <w:rFonts w:hint="eastAsia" w:ascii="宋体" w:hAnsi="宋体" w:cs="宋体"/>
                <w:b/>
                <w:szCs w:val="21"/>
                <w:highlight w:val="none"/>
                <w:u w:val="single"/>
              </w:rPr>
              <w:t xml:space="preserve">                 </w:t>
            </w:r>
          </w:p>
          <w:p w14:paraId="01BC65DB">
            <w:pPr>
              <w:adjustRightInd w:val="0"/>
              <w:spacing w:line="340" w:lineRule="exact"/>
              <w:rPr>
                <w:rFonts w:ascii="宋体" w:hAnsi="宋体" w:cs="宋体"/>
                <w:b/>
                <w:bCs/>
                <w:szCs w:val="21"/>
                <w:highlight w:val="none"/>
              </w:rPr>
            </w:pPr>
            <w:r>
              <w:rPr>
                <w:rFonts w:hint="eastAsia" w:ascii="宋体" w:hAnsi="宋体" w:cs="宋体"/>
                <w:b/>
                <w:szCs w:val="21"/>
                <w:highlight w:val="none"/>
              </w:rPr>
              <w:t>联系人：</w:t>
            </w:r>
            <w:r>
              <w:rPr>
                <w:rFonts w:hint="eastAsia" w:ascii="宋体" w:hAnsi="宋体" w:cs="宋体"/>
                <w:b/>
                <w:szCs w:val="21"/>
                <w:highlight w:val="none"/>
                <w:u w:val="single"/>
              </w:rPr>
              <w:t xml:space="preserve">               </w:t>
            </w:r>
          </w:p>
          <w:p w14:paraId="349FFACC">
            <w:pPr>
              <w:adjustRightInd w:val="0"/>
              <w:spacing w:line="340" w:lineRule="exact"/>
              <w:rPr>
                <w:rFonts w:ascii="宋体" w:hAnsi="宋体" w:cs="宋体"/>
                <w:bCs/>
                <w:szCs w:val="21"/>
                <w:highlight w:val="none"/>
                <w:u w:val="single"/>
              </w:rPr>
            </w:pPr>
            <w:r>
              <w:rPr>
                <w:rFonts w:hint="eastAsia" w:ascii="宋体" w:hAnsi="宋体" w:cs="宋体"/>
                <w:b/>
                <w:szCs w:val="21"/>
                <w:highlight w:val="none"/>
              </w:rPr>
              <w:t>联系电话：</w:t>
            </w:r>
            <w:r>
              <w:rPr>
                <w:rFonts w:hint="eastAsia" w:ascii="宋体" w:hAnsi="宋体" w:cs="宋体"/>
                <w:szCs w:val="21"/>
                <w:highlight w:val="none"/>
                <w:u w:val="single"/>
              </w:rPr>
              <w:t xml:space="preserve">             </w:t>
            </w:r>
          </w:p>
          <w:p w14:paraId="46829510">
            <w:pPr>
              <w:adjustRightInd w:val="0"/>
              <w:spacing w:line="340" w:lineRule="exact"/>
              <w:rPr>
                <w:rFonts w:ascii="宋体" w:hAnsi="宋体" w:cs="宋体"/>
                <w:szCs w:val="21"/>
                <w:highlight w:val="none"/>
              </w:rPr>
            </w:pPr>
            <w:r>
              <w:rPr>
                <w:rFonts w:hint="eastAsia" w:ascii="宋体" w:hAnsi="宋体" w:cs="宋体"/>
                <w:b/>
                <w:szCs w:val="21"/>
                <w:highlight w:val="none"/>
              </w:rPr>
              <w:t>要求：</w:t>
            </w:r>
            <w:r>
              <w:rPr>
                <w:rFonts w:hint="eastAsia" w:ascii="宋体" w:hAnsi="宋体" w:cs="宋体"/>
                <w:szCs w:val="21"/>
                <w:highlight w:val="none"/>
                <w:u w:val="single"/>
              </w:rPr>
              <w:t xml:space="preserve">                 </w:t>
            </w:r>
          </w:p>
        </w:tc>
      </w:tr>
      <w:tr w14:paraId="7CC0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3656671">
            <w:pPr>
              <w:adjustRightIn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4</w:t>
            </w:r>
          </w:p>
        </w:tc>
        <w:tc>
          <w:tcPr>
            <w:tcW w:w="1701" w:type="dxa"/>
            <w:vAlign w:val="center"/>
          </w:tcPr>
          <w:p w14:paraId="1EEA3080">
            <w:pPr>
              <w:topLinePunct/>
              <w:autoSpaceDE w:val="0"/>
              <w:autoSpaceDN w:val="0"/>
              <w:adjustRightInd w:val="0"/>
              <w:spacing w:line="340" w:lineRule="exact"/>
              <w:jc w:val="center"/>
              <w:rPr>
                <w:rFonts w:ascii="宋体" w:hAnsi="宋体" w:cs="宋体"/>
                <w:szCs w:val="21"/>
                <w:highlight w:val="none"/>
              </w:rPr>
            </w:pPr>
            <w:r>
              <w:rPr>
                <w:rFonts w:hint="eastAsia" w:ascii="宋体" w:hAnsi="宋体" w:cs="宋体"/>
                <w:szCs w:val="21"/>
                <w:highlight w:val="none"/>
              </w:rPr>
              <w:t>样品</w:t>
            </w:r>
          </w:p>
        </w:tc>
        <w:tc>
          <w:tcPr>
            <w:tcW w:w="6854" w:type="dxa"/>
            <w:gridSpan w:val="2"/>
            <w:vAlign w:val="center"/>
          </w:tcPr>
          <w:p w14:paraId="61D0B92D">
            <w:pPr>
              <w:adjustRightInd w:val="0"/>
              <w:spacing w:line="340" w:lineRule="exact"/>
              <w:jc w:val="left"/>
              <w:rPr>
                <w:rFonts w:ascii="宋体" w:hAnsi="宋体" w:cs="宋体"/>
                <w:szCs w:val="21"/>
                <w:highlight w:val="none"/>
              </w:rPr>
            </w:pPr>
            <w:r>
              <w:rPr>
                <w:rFonts w:hint="eastAsia" w:ascii="宋体" w:hAnsi="宋体" w:cs="宋体"/>
                <w:szCs w:val="21"/>
                <w:highlight w:val="none"/>
              </w:rPr>
              <w:sym w:font="Wingdings 2" w:char="0052"/>
            </w:r>
            <w:r>
              <w:rPr>
                <w:rFonts w:ascii="宋体" w:hAnsi="宋体" w:cs="宋体"/>
                <w:szCs w:val="21"/>
                <w:highlight w:val="none"/>
              </w:rPr>
              <w:t xml:space="preserve"> </w:t>
            </w:r>
            <w:r>
              <w:rPr>
                <w:rFonts w:hint="eastAsia" w:ascii="宋体" w:hAnsi="宋体" w:cs="宋体"/>
                <w:szCs w:val="21"/>
                <w:highlight w:val="none"/>
              </w:rPr>
              <w:t>不要求提供</w:t>
            </w:r>
          </w:p>
          <w:p w14:paraId="288ABDBA">
            <w:pPr>
              <w:adjustRightInd w:val="0"/>
              <w:spacing w:line="340" w:lineRule="exact"/>
              <w:jc w:val="left"/>
              <w:rPr>
                <w:rFonts w:ascii="宋体" w:hAnsi="宋体" w:cs="宋体"/>
                <w:bCs/>
                <w:szCs w:val="21"/>
                <w:highlight w:val="none"/>
              </w:rPr>
            </w:pPr>
            <w:r>
              <w:rPr>
                <w:rFonts w:hint="eastAsia" w:ascii="宋体" w:hAnsi="宋体" w:cs="宋体"/>
                <w:szCs w:val="21"/>
                <w:highlight w:val="none"/>
              </w:rPr>
              <w:sym w:font="Wingdings 2" w:char="F0A3"/>
            </w:r>
            <w:r>
              <w:rPr>
                <w:rFonts w:ascii="宋体" w:hAnsi="宋体" w:cs="宋体"/>
                <w:szCs w:val="21"/>
                <w:highlight w:val="none"/>
              </w:rPr>
              <w:t xml:space="preserve"> </w:t>
            </w:r>
            <w:r>
              <w:rPr>
                <w:rFonts w:hint="eastAsia" w:ascii="宋体" w:hAnsi="宋体" w:cs="宋体"/>
                <w:bCs/>
                <w:szCs w:val="21"/>
                <w:highlight w:val="none"/>
              </w:rPr>
              <w:t>要求提供：</w:t>
            </w:r>
          </w:p>
          <w:p w14:paraId="1AB93E88">
            <w:pPr>
              <w:adjustRightInd w:val="0"/>
              <w:spacing w:line="340" w:lineRule="exact"/>
              <w:jc w:val="left"/>
              <w:rPr>
                <w:rFonts w:ascii="宋体" w:hAnsi="宋体" w:cs="宋体"/>
                <w:szCs w:val="21"/>
                <w:highlight w:val="none"/>
              </w:rPr>
            </w:pPr>
            <w:r>
              <w:rPr>
                <w:rFonts w:hint="eastAsia" w:ascii="宋体" w:hAnsi="宋体" w:cs="宋体"/>
                <w:szCs w:val="21"/>
                <w:highlight w:val="none"/>
              </w:rPr>
              <w:t>1.样品制作的标准和要求：____________________</w:t>
            </w:r>
          </w:p>
          <w:p w14:paraId="4297AA90">
            <w:pPr>
              <w:adjustRightInd w:val="0"/>
              <w:spacing w:line="340" w:lineRule="exact"/>
              <w:jc w:val="left"/>
              <w:rPr>
                <w:rFonts w:ascii="宋体" w:hAnsi="宋体" w:cs="宋体"/>
                <w:szCs w:val="21"/>
                <w:highlight w:val="none"/>
              </w:rPr>
            </w:pPr>
            <w:r>
              <w:rPr>
                <w:rFonts w:hint="eastAsia" w:ascii="宋体" w:hAnsi="宋体" w:cs="宋体"/>
                <w:szCs w:val="21"/>
                <w:highlight w:val="none"/>
              </w:rPr>
              <w:t>2.样品检测报告：(□否；□是，检测机构的要求、检测内容详见第六章项目采购需求)</w:t>
            </w:r>
          </w:p>
          <w:p w14:paraId="235577D8">
            <w:pPr>
              <w:adjustRightInd w:val="0"/>
              <w:spacing w:line="340" w:lineRule="exact"/>
              <w:jc w:val="left"/>
              <w:rPr>
                <w:rFonts w:ascii="宋体" w:hAnsi="宋体" w:cs="宋体"/>
                <w:szCs w:val="21"/>
                <w:highlight w:val="none"/>
              </w:rPr>
            </w:pPr>
            <w:r>
              <w:rPr>
                <w:rFonts w:hint="eastAsia" w:ascii="宋体" w:hAnsi="宋体" w:cs="宋体"/>
                <w:szCs w:val="21"/>
                <w:highlight w:val="none"/>
              </w:rPr>
              <w:t>3.样品的评审方法及评审标准：内容详见第三章评标办法及标准</w:t>
            </w:r>
          </w:p>
        </w:tc>
      </w:tr>
      <w:tr w14:paraId="11B1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14:paraId="69FC31FD">
            <w:pPr>
              <w:adjustRightIn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5</w:t>
            </w:r>
          </w:p>
        </w:tc>
        <w:tc>
          <w:tcPr>
            <w:tcW w:w="1701" w:type="dxa"/>
            <w:vMerge w:val="restart"/>
            <w:vAlign w:val="center"/>
          </w:tcPr>
          <w:p w14:paraId="7ECD4E73">
            <w:pPr>
              <w:topLinePunct/>
              <w:autoSpaceDE w:val="0"/>
              <w:autoSpaceDN w:val="0"/>
              <w:adjustRightInd w:val="0"/>
              <w:spacing w:line="340" w:lineRule="exact"/>
              <w:jc w:val="center"/>
              <w:rPr>
                <w:rFonts w:ascii="宋体" w:hAnsi="宋体" w:cs="宋体"/>
                <w:szCs w:val="21"/>
                <w:highlight w:val="none"/>
              </w:rPr>
            </w:pPr>
            <w:r>
              <w:rPr>
                <w:rFonts w:hint="eastAsia" w:ascii="宋体" w:hAnsi="宋体" w:cs="宋体"/>
                <w:szCs w:val="21"/>
                <w:highlight w:val="none"/>
              </w:rPr>
              <w:t>投标文件组成</w:t>
            </w:r>
          </w:p>
        </w:tc>
        <w:tc>
          <w:tcPr>
            <w:tcW w:w="1134" w:type="dxa"/>
            <w:vMerge w:val="restart"/>
            <w:vAlign w:val="center"/>
          </w:tcPr>
          <w:p w14:paraId="1D2618F1">
            <w:pPr>
              <w:topLinePunct/>
              <w:autoSpaceDE w:val="0"/>
              <w:autoSpaceDN w:val="0"/>
              <w:adjustRightInd w:val="0"/>
              <w:spacing w:line="340" w:lineRule="exact"/>
              <w:jc w:val="center"/>
              <w:rPr>
                <w:rFonts w:ascii="宋体" w:hAnsi="宋体" w:cs="宋体"/>
                <w:szCs w:val="21"/>
                <w:highlight w:val="none"/>
              </w:rPr>
            </w:pPr>
            <w:r>
              <w:rPr>
                <w:rFonts w:hint="eastAsia" w:ascii="宋体" w:hAnsi="宋体" w:cs="宋体"/>
                <w:szCs w:val="21"/>
                <w:highlight w:val="none"/>
              </w:rPr>
              <w:t>商务</w:t>
            </w:r>
          </w:p>
          <w:p w14:paraId="36B989BE">
            <w:pPr>
              <w:topLinePunct/>
              <w:autoSpaceDE w:val="0"/>
              <w:autoSpaceDN w:val="0"/>
              <w:adjustRightInd w:val="0"/>
              <w:spacing w:line="340" w:lineRule="exact"/>
              <w:jc w:val="center"/>
              <w:rPr>
                <w:rFonts w:ascii="宋体" w:hAnsi="宋体" w:cs="宋体"/>
                <w:bCs/>
                <w:szCs w:val="21"/>
                <w:highlight w:val="none"/>
              </w:rPr>
            </w:pPr>
            <w:r>
              <w:rPr>
                <w:rFonts w:hint="eastAsia" w:ascii="宋体" w:hAnsi="宋体" w:cs="宋体"/>
                <w:szCs w:val="21"/>
                <w:highlight w:val="none"/>
              </w:rPr>
              <w:t>部</w:t>
            </w:r>
            <w:r>
              <w:rPr>
                <w:rFonts w:hint="eastAsia" w:ascii="宋体" w:hAnsi="宋体" w:cs="宋体"/>
                <w:bCs/>
                <w:szCs w:val="21"/>
                <w:highlight w:val="none"/>
              </w:rPr>
              <w:t>分</w:t>
            </w:r>
          </w:p>
        </w:tc>
        <w:tc>
          <w:tcPr>
            <w:tcW w:w="5720" w:type="dxa"/>
            <w:vAlign w:val="center"/>
          </w:tcPr>
          <w:p w14:paraId="5C46B7DA">
            <w:pPr>
              <w:widowControl/>
              <w:adjustRightInd w:val="0"/>
              <w:spacing w:line="340" w:lineRule="exact"/>
              <w:jc w:val="both"/>
              <w:rPr>
                <w:rFonts w:ascii="宋体" w:hAnsi="宋体" w:cs="宋体"/>
                <w:szCs w:val="21"/>
                <w:highlight w:val="none"/>
              </w:rPr>
            </w:pPr>
            <w:r>
              <w:rPr>
                <w:rFonts w:hint="eastAsia" w:ascii="宋体" w:hAnsi="宋体" w:cs="宋体"/>
                <w:b/>
                <w:szCs w:val="21"/>
                <w:highlight w:val="none"/>
              </w:rPr>
              <w:t>一、资格证明文件：</w:t>
            </w:r>
          </w:p>
          <w:p w14:paraId="47DD9977">
            <w:pPr>
              <w:adjustRightInd w:val="0"/>
              <w:spacing w:line="340" w:lineRule="exact"/>
              <w:jc w:val="both"/>
              <w:rPr>
                <w:rFonts w:ascii="宋体" w:hAnsi="宋体" w:cs="宋体"/>
                <w:szCs w:val="21"/>
                <w:highlight w:val="none"/>
              </w:rPr>
            </w:pPr>
            <w:r>
              <w:rPr>
                <w:rFonts w:hint="eastAsia" w:ascii="宋体" w:hAnsi="宋体" w:cs="宋体"/>
                <w:szCs w:val="21"/>
                <w:highlight w:val="none"/>
              </w:rPr>
              <w:t>1.★法人或者其他组织的营业执照等证明文件，自然人的身份证明复印件；</w:t>
            </w:r>
          </w:p>
          <w:p w14:paraId="7E863ED3">
            <w:pPr>
              <w:adjustRightInd w:val="0"/>
              <w:spacing w:line="340" w:lineRule="exact"/>
              <w:jc w:val="both"/>
              <w:rPr>
                <w:rFonts w:ascii="宋体" w:hAnsi="宋体" w:cs="宋体"/>
                <w:color w:val="auto"/>
                <w:szCs w:val="21"/>
                <w:highlight w:val="none"/>
              </w:rPr>
            </w:pPr>
            <w:r>
              <w:rPr>
                <w:rFonts w:hint="eastAsia" w:ascii="宋体" w:hAnsi="宋体" w:cs="宋体"/>
                <w:szCs w:val="21"/>
                <w:highlight w:val="none"/>
              </w:rPr>
              <w:t>2.★财务状况报告：提供供</w:t>
            </w:r>
            <w:r>
              <w:rPr>
                <w:rFonts w:hint="eastAsia" w:ascii="宋体" w:hAnsi="宋体" w:cs="宋体"/>
                <w:color w:val="auto"/>
                <w:szCs w:val="21"/>
                <w:highlight w:val="none"/>
              </w:rPr>
              <w:t>应商202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度经审计的财务报告复印件（包括“四表一注”，即资产负债表、利润表、现金流量表、所有者权益变动表及其附注，供应商为小微企业的可提供“三表一注”，即资产负债表、利润表、现金流量表及其财务报表附注）；没有经审计的财务报告的，可以提供基本开户银行出具的资信证明复印件；</w:t>
            </w:r>
          </w:p>
          <w:p w14:paraId="498CC95A">
            <w:pPr>
              <w:adjustRightInd w:val="0"/>
              <w:spacing w:line="340" w:lineRule="exact"/>
              <w:jc w:val="both"/>
              <w:rPr>
                <w:rFonts w:ascii="宋体" w:hAnsi="宋体" w:cs="宋体"/>
                <w:color w:val="auto"/>
                <w:szCs w:val="21"/>
                <w:highlight w:val="none"/>
              </w:rPr>
            </w:pPr>
            <w:r>
              <w:rPr>
                <w:rFonts w:hint="eastAsia" w:ascii="宋体" w:hAnsi="宋体" w:cs="宋体"/>
                <w:color w:val="auto"/>
                <w:szCs w:val="21"/>
                <w:highlight w:val="none"/>
              </w:rPr>
              <w:t>3.★依法缴纳税收：</w:t>
            </w:r>
            <w:r>
              <w:rPr>
                <w:rFonts w:hint="eastAsia" w:ascii="宋体" w:hAnsi="宋体" w:cs="宋体"/>
                <w:color w:val="auto"/>
                <w:szCs w:val="21"/>
                <w:highlight w:val="none"/>
                <w:lang w:val="en-US" w:eastAsia="zh-CN"/>
              </w:rPr>
              <w:t>提供近三个月（</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、08月、09月）</w:t>
            </w:r>
            <w:r>
              <w:rPr>
                <w:rFonts w:hint="eastAsia" w:ascii="宋体" w:hAnsi="宋体" w:cs="宋体"/>
                <w:color w:val="auto"/>
                <w:szCs w:val="21"/>
                <w:highlight w:val="none"/>
              </w:rPr>
              <w:t>任意一个月的依法缴纳税收（不包括个人所得税）的相关材料，如依法免税或不需要纳税的，则应提供相应证明材料复印件；</w:t>
            </w:r>
          </w:p>
          <w:p w14:paraId="238A606D">
            <w:pPr>
              <w:adjustRightInd w:val="0"/>
              <w:spacing w:line="340" w:lineRule="exact"/>
              <w:jc w:val="both"/>
              <w:rPr>
                <w:rFonts w:ascii="宋体" w:hAnsi="宋体" w:cs="宋体"/>
                <w:color w:val="auto"/>
                <w:szCs w:val="21"/>
                <w:highlight w:val="none"/>
              </w:rPr>
            </w:pPr>
            <w:r>
              <w:rPr>
                <w:rFonts w:hint="eastAsia" w:ascii="宋体" w:hAnsi="宋体" w:cs="宋体"/>
                <w:color w:val="auto"/>
                <w:szCs w:val="21"/>
                <w:highlight w:val="none"/>
              </w:rPr>
              <w:t>4.★社会保障资金：</w:t>
            </w:r>
            <w:r>
              <w:rPr>
                <w:rFonts w:hint="eastAsia" w:ascii="宋体" w:hAnsi="宋体" w:cs="宋体"/>
                <w:color w:val="auto"/>
                <w:szCs w:val="21"/>
                <w:highlight w:val="none"/>
                <w:lang w:val="en-US" w:eastAsia="zh-CN"/>
              </w:rPr>
              <w:t>提供近三个月（</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、08月、09月）</w:t>
            </w:r>
            <w:r>
              <w:rPr>
                <w:rFonts w:hint="eastAsia" w:ascii="宋体" w:hAnsi="宋体" w:cs="宋体"/>
                <w:color w:val="auto"/>
                <w:szCs w:val="21"/>
                <w:highlight w:val="none"/>
              </w:rPr>
              <w:t>任意一个月的依法缴纳社会保障资金的相关材料，如依法不需要缴纳社会保障资金的，则应提供相应证明材料复印件；</w:t>
            </w:r>
          </w:p>
          <w:p w14:paraId="32DDC079">
            <w:pPr>
              <w:adjustRightInd w:val="0"/>
              <w:spacing w:line="340" w:lineRule="exact"/>
              <w:jc w:val="both"/>
              <w:rPr>
                <w:rFonts w:ascii="宋体" w:hAnsi="宋体" w:cs="宋体"/>
                <w:color w:val="auto"/>
                <w:szCs w:val="21"/>
                <w:highlight w:val="none"/>
              </w:rPr>
            </w:pPr>
            <w:r>
              <w:rPr>
                <w:rFonts w:hint="eastAsia" w:ascii="宋体" w:hAnsi="宋体" w:cs="宋体"/>
                <w:color w:val="auto"/>
                <w:szCs w:val="21"/>
                <w:highlight w:val="none"/>
              </w:rPr>
              <w:t>5.★具备履行合同所必需的设备和专业技术能力的证明材料；</w:t>
            </w:r>
          </w:p>
          <w:p w14:paraId="2A2CC3DF">
            <w:pPr>
              <w:adjustRightInd w:val="0"/>
              <w:spacing w:line="340" w:lineRule="exact"/>
              <w:jc w:val="both"/>
              <w:rPr>
                <w:rFonts w:ascii="宋体" w:hAnsi="宋体" w:cs="宋体"/>
                <w:color w:val="auto"/>
                <w:szCs w:val="21"/>
                <w:highlight w:val="none"/>
              </w:rPr>
            </w:pPr>
            <w:r>
              <w:rPr>
                <w:rFonts w:hint="eastAsia" w:ascii="宋体" w:hAnsi="宋体" w:cs="宋体"/>
                <w:color w:val="auto"/>
                <w:szCs w:val="21"/>
                <w:highlight w:val="none"/>
              </w:rPr>
              <w:t>6.★参加政府采购活动前3年内在经营活动中没有重大违法记录的书面声明；</w:t>
            </w:r>
          </w:p>
          <w:p w14:paraId="5D081241">
            <w:pPr>
              <w:adjustRightInd w:val="0"/>
              <w:spacing w:line="340" w:lineRule="exact"/>
              <w:jc w:val="both"/>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.★具备法律、行政法规规定的其他条件的证明材料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231E8874">
            <w:pPr>
              <w:adjustRightInd w:val="0"/>
              <w:spacing w:line="340" w:lineRule="exact"/>
              <w:jc w:val="both"/>
              <w:rPr>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.本项目的特定资格要求：无。</w:t>
            </w:r>
          </w:p>
        </w:tc>
      </w:tr>
      <w:tr w14:paraId="5140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623E4C4D">
            <w:pPr>
              <w:adjustRightInd w:val="0"/>
              <w:spacing w:line="340" w:lineRule="exact"/>
              <w:ind w:firstLine="422"/>
              <w:jc w:val="center"/>
              <w:rPr>
                <w:rFonts w:ascii="宋体" w:hAnsi="宋体" w:cs="宋体"/>
                <w:b/>
                <w:szCs w:val="21"/>
                <w:highlight w:val="none"/>
              </w:rPr>
            </w:pPr>
          </w:p>
        </w:tc>
        <w:tc>
          <w:tcPr>
            <w:tcW w:w="1701" w:type="dxa"/>
            <w:vMerge w:val="continue"/>
            <w:vAlign w:val="center"/>
          </w:tcPr>
          <w:p w14:paraId="7AB0A481">
            <w:pPr>
              <w:topLinePunct/>
              <w:autoSpaceDE w:val="0"/>
              <w:autoSpaceDN w:val="0"/>
              <w:adjustRightInd w:val="0"/>
              <w:spacing w:line="340" w:lineRule="exact"/>
              <w:ind w:firstLine="422"/>
              <w:jc w:val="center"/>
              <w:rPr>
                <w:rFonts w:ascii="宋体" w:hAnsi="宋体" w:cs="宋体"/>
                <w:b/>
                <w:szCs w:val="21"/>
                <w:highlight w:val="none"/>
              </w:rPr>
            </w:pPr>
          </w:p>
        </w:tc>
        <w:tc>
          <w:tcPr>
            <w:tcW w:w="1134" w:type="dxa"/>
            <w:vMerge w:val="continue"/>
            <w:vAlign w:val="center"/>
          </w:tcPr>
          <w:p w14:paraId="668D1AB6">
            <w:pPr>
              <w:topLinePunct/>
              <w:autoSpaceDE w:val="0"/>
              <w:autoSpaceDN w:val="0"/>
              <w:adjustRightInd w:val="0"/>
              <w:spacing w:line="340" w:lineRule="exact"/>
              <w:ind w:firstLine="422"/>
              <w:rPr>
                <w:rFonts w:ascii="宋体" w:hAnsi="宋体" w:cs="宋体"/>
                <w:b/>
                <w:bCs/>
                <w:szCs w:val="21"/>
                <w:highlight w:val="none"/>
              </w:rPr>
            </w:pPr>
          </w:p>
        </w:tc>
        <w:tc>
          <w:tcPr>
            <w:tcW w:w="5720" w:type="dxa"/>
            <w:shd w:val="clear" w:color="auto" w:fill="auto"/>
            <w:vAlign w:val="center"/>
          </w:tcPr>
          <w:p w14:paraId="4DF02D32">
            <w:pPr>
              <w:adjustRightInd w:val="0"/>
              <w:spacing w:line="340" w:lineRule="exact"/>
              <w:jc w:val="left"/>
              <w:rPr>
                <w:rFonts w:ascii="宋体" w:hAnsi="宋体" w:cs="宋体"/>
                <w:b/>
                <w:bCs/>
                <w:szCs w:val="21"/>
                <w:highlight w:val="none"/>
              </w:rPr>
            </w:pPr>
            <w:r>
              <w:rPr>
                <w:rFonts w:hint="eastAsia" w:ascii="宋体" w:hAnsi="宋体" w:cs="宋体"/>
                <w:b/>
                <w:bCs/>
                <w:szCs w:val="21"/>
                <w:highlight w:val="none"/>
              </w:rPr>
              <w:t>二、投标报价表：</w:t>
            </w:r>
          </w:p>
          <w:p w14:paraId="30CB6CD0">
            <w:pPr>
              <w:adjustRightInd w:val="0"/>
              <w:spacing w:line="340" w:lineRule="exact"/>
              <w:jc w:val="left"/>
              <w:rPr>
                <w:rFonts w:ascii="宋体" w:hAnsi="宋体" w:cs="宋体"/>
                <w:b/>
                <w:bCs/>
                <w:szCs w:val="21"/>
                <w:highlight w:val="none"/>
              </w:rPr>
            </w:pPr>
            <w:r>
              <w:rPr>
                <w:rFonts w:hint="eastAsia" w:ascii="宋体" w:hAnsi="宋体" w:cs="宋体"/>
                <w:b/>
                <w:bCs/>
                <w:szCs w:val="21"/>
                <w:highlight w:val="none"/>
              </w:rPr>
              <w:t>1.★开标一览表（总报价表）；</w:t>
            </w:r>
          </w:p>
          <w:p w14:paraId="3FCA2F4D">
            <w:pPr>
              <w:adjustRightInd w:val="0"/>
              <w:spacing w:line="340" w:lineRule="exact"/>
              <w:jc w:val="left"/>
              <w:rPr>
                <w:rFonts w:ascii="宋体" w:hAnsi="宋体" w:cs="宋体"/>
                <w:szCs w:val="21"/>
                <w:highlight w:val="none"/>
              </w:rPr>
            </w:pPr>
            <w:r>
              <w:rPr>
                <w:rFonts w:hint="eastAsia" w:ascii="宋体" w:hAnsi="宋体" w:cs="宋体"/>
                <w:b/>
                <w:bCs/>
                <w:szCs w:val="21"/>
                <w:highlight w:val="none"/>
              </w:rPr>
              <w:t>2.★分项报价表。</w:t>
            </w:r>
          </w:p>
        </w:tc>
      </w:tr>
      <w:tr w14:paraId="4EB6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5935DF75">
            <w:pPr>
              <w:adjustRightInd w:val="0"/>
              <w:spacing w:line="340" w:lineRule="exact"/>
              <w:ind w:firstLine="422"/>
              <w:jc w:val="center"/>
              <w:rPr>
                <w:rFonts w:ascii="宋体" w:hAnsi="宋体" w:cs="宋体"/>
                <w:b/>
                <w:szCs w:val="21"/>
                <w:highlight w:val="none"/>
              </w:rPr>
            </w:pPr>
          </w:p>
        </w:tc>
        <w:tc>
          <w:tcPr>
            <w:tcW w:w="1701" w:type="dxa"/>
            <w:vMerge w:val="continue"/>
            <w:vAlign w:val="center"/>
          </w:tcPr>
          <w:p w14:paraId="244D5EEC">
            <w:pPr>
              <w:topLinePunct/>
              <w:autoSpaceDE w:val="0"/>
              <w:autoSpaceDN w:val="0"/>
              <w:adjustRightInd w:val="0"/>
              <w:spacing w:line="340" w:lineRule="exact"/>
              <w:ind w:firstLine="422"/>
              <w:jc w:val="center"/>
              <w:rPr>
                <w:rFonts w:ascii="宋体" w:hAnsi="宋体" w:cs="宋体"/>
                <w:b/>
                <w:szCs w:val="21"/>
                <w:highlight w:val="none"/>
              </w:rPr>
            </w:pPr>
          </w:p>
        </w:tc>
        <w:tc>
          <w:tcPr>
            <w:tcW w:w="1134" w:type="dxa"/>
            <w:vMerge w:val="continue"/>
            <w:vAlign w:val="center"/>
          </w:tcPr>
          <w:p w14:paraId="73F1A2D7">
            <w:pPr>
              <w:topLinePunct/>
              <w:autoSpaceDE w:val="0"/>
              <w:autoSpaceDN w:val="0"/>
              <w:adjustRightInd w:val="0"/>
              <w:spacing w:line="340" w:lineRule="exact"/>
              <w:ind w:firstLine="422"/>
              <w:rPr>
                <w:rFonts w:ascii="宋体" w:hAnsi="宋体" w:cs="宋体"/>
                <w:b/>
                <w:bCs/>
                <w:szCs w:val="21"/>
                <w:highlight w:val="none"/>
              </w:rPr>
            </w:pPr>
          </w:p>
        </w:tc>
        <w:tc>
          <w:tcPr>
            <w:tcW w:w="5720" w:type="dxa"/>
            <w:shd w:val="clear" w:color="auto" w:fill="auto"/>
            <w:vAlign w:val="center"/>
          </w:tcPr>
          <w:p w14:paraId="2148C756">
            <w:pPr>
              <w:adjustRightInd w:val="0"/>
              <w:spacing w:line="34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三、其他文件及资料：</w:t>
            </w:r>
          </w:p>
          <w:p w14:paraId="049B8CF0">
            <w:pPr>
              <w:adjustRightInd w:val="0"/>
              <w:spacing w:line="340" w:lineRule="exact"/>
              <w:jc w:val="left"/>
              <w:rPr>
                <w:rFonts w:ascii="宋体" w:hAnsi="宋体" w:cs="宋体"/>
                <w:i w:val="0"/>
                <w:iCs w:val="0"/>
                <w:color w:val="auto"/>
                <w:szCs w:val="21"/>
                <w:highlight w:val="none"/>
              </w:rPr>
            </w:pPr>
            <w:r>
              <w:rPr>
                <w:rFonts w:hint="eastAsia" w:ascii="宋体" w:hAnsi="宋体" w:cs="宋体"/>
                <w:color w:val="auto"/>
                <w:szCs w:val="21"/>
                <w:highlight w:val="none"/>
              </w:rPr>
              <w:t>1.★授权委托</w:t>
            </w:r>
            <w:r>
              <w:rPr>
                <w:rFonts w:hint="eastAsia" w:ascii="宋体" w:hAnsi="宋体" w:cs="宋体"/>
                <w:i w:val="0"/>
                <w:iCs w:val="0"/>
                <w:color w:val="auto"/>
                <w:szCs w:val="21"/>
                <w:highlight w:val="none"/>
              </w:rPr>
              <w:t>书（格式参考投标文件）；</w:t>
            </w:r>
          </w:p>
          <w:p w14:paraId="6D650E7E">
            <w:pPr>
              <w:adjustRightInd w:val="0"/>
              <w:spacing w:line="340" w:lineRule="exact"/>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2.★投标函（格式参考投标文件）；</w:t>
            </w:r>
          </w:p>
          <w:p w14:paraId="5E0DB20D">
            <w:pPr>
              <w:adjustRightIn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t>3.★商务条款偏离表；</w:t>
            </w:r>
          </w:p>
          <w:p w14:paraId="06E0A7B5">
            <w:pPr>
              <w:adjustRightIn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t>4.中小企业声明函（中小企业投标的，应按照《政府采购促进中小企业发展管理办法》（财库﹝2020﹞46 号印发）《关于印发中小企业划型标准规定的通知》（工信部联企业〔2011〕300号）如实填写并提交此函）；</w:t>
            </w:r>
          </w:p>
          <w:p w14:paraId="22A07CE8">
            <w:pPr>
              <w:adjustRightIn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t>5.监狱企业证明文件[监狱企业投标的，应提交省级以上监狱管理局、戒毒管理局（含新疆生产建设兵团）出具的证明文件]；</w:t>
            </w:r>
          </w:p>
          <w:p w14:paraId="1F550342">
            <w:pPr>
              <w:adjustRightIn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t>6.残疾人福利性单位声明函（残疾人福利性单位投标的，应提交此函）；</w:t>
            </w:r>
          </w:p>
          <w:p w14:paraId="588DFD4C">
            <w:pPr>
              <w:adjustRightInd w:val="0"/>
              <w:spacing w:line="34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7</w:t>
            </w:r>
            <w:r>
              <w:rPr>
                <w:rFonts w:hint="eastAsia" w:ascii="宋体" w:hAnsi="宋体" w:eastAsia="宋体" w:cs="宋体"/>
                <w:color w:val="auto"/>
                <w:szCs w:val="21"/>
                <w:highlight w:val="none"/>
              </w:rPr>
              <w:t>.成功案例一览表；</w:t>
            </w:r>
          </w:p>
          <w:p w14:paraId="4D28C4AC">
            <w:pPr>
              <w:adjustRightInd w:val="0"/>
              <w:spacing w:line="340" w:lineRule="exact"/>
              <w:jc w:val="left"/>
              <w:rPr>
                <w:rFonts w:ascii="宋体" w:hAnsi="宋体" w:cs="宋体"/>
                <w:bCs/>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.投标人认为需要提供的其它说明和资料。</w:t>
            </w:r>
          </w:p>
        </w:tc>
      </w:tr>
      <w:tr w14:paraId="68A0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6F9991CD">
            <w:pPr>
              <w:adjustRightInd w:val="0"/>
              <w:spacing w:line="340" w:lineRule="exact"/>
              <w:jc w:val="center"/>
              <w:rPr>
                <w:rFonts w:ascii="宋体" w:hAnsi="宋体" w:cs="宋体"/>
                <w:szCs w:val="21"/>
                <w:highlight w:val="none"/>
              </w:rPr>
            </w:pPr>
          </w:p>
        </w:tc>
        <w:tc>
          <w:tcPr>
            <w:tcW w:w="1701" w:type="dxa"/>
            <w:vMerge w:val="continue"/>
            <w:vAlign w:val="center"/>
          </w:tcPr>
          <w:p w14:paraId="7110E566">
            <w:pPr>
              <w:topLinePunct/>
              <w:autoSpaceDE w:val="0"/>
              <w:autoSpaceDN w:val="0"/>
              <w:adjustRightInd w:val="0"/>
              <w:spacing w:line="340" w:lineRule="exact"/>
              <w:jc w:val="center"/>
              <w:rPr>
                <w:rFonts w:ascii="宋体" w:hAnsi="宋体" w:cs="宋体"/>
                <w:szCs w:val="21"/>
                <w:highlight w:val="none"/>
              </w:rPr>
            </w:pPr>
          </w:p>
        </w:tc>
        <w:tc>
          <w:tcPr>
            <w:tcW w:w="1134" w:type="dxa"/>
            <w:vAlign w:val="center"/>
          </w:tcPr>
          <w:p w14:paraId="12922E3A">
            <w:pPr>
              <w:topLinePunct/>
              <w:autoSpaceDE w:val="0"/>
              <w:autoSpaceDN w:val="0"/>
              <w:adjustRightInd w:val="0"/>
              <w:spacing w:line="340" w:lineRule="exact"/>
              <w:jc w:val="center"/>
              <w:rPr>
                <w:rFonts w:ascii="宋体" w:hAnsi="宋体" w:cs="宋体"/>
                <w:szCs w:val="21"/>
                <w:highlight w:val="none"/>
              </w:rPr>
            </w:pPr>
            <w:r>
              <w:rPr>
                <w:rFonts w:hint="eastAsia" w:ascii="宋体" w:hAnsi="宋体" w:cs="宋体"/>
                <w:szCs w:val="21"/>
                <w:highlight w:val="none"/>
              </w:rPr>
              <w:t>技术</w:t>
            </w:r>
          </w:p>
          <w:p w14:paraId="4471DDB4">
            <w:pPr>
              <w:topLinePunct/>
              <w:autoSpaceDE w:val="0"/>
              <w:autoSpaceDN w:val="0"/>
              <w:adjustRightInd w:val="0"/>
              <w:spacing w:line="340" w:lineRule="exact"/>
              <w:jc w:val="center"/>
              <w:rPr>
                <w:rFonts w:ascii="宋体" w:hAnsi="宋体" w:cs="宋体"/>
                <w:bCs/>
                <w:szCs w:val="21"/>
                <w:highlight w:val="none"/>
              </w:rPr>
            </w:pPr>
            <w:r>
              <w:rPr>
                <w:rFonts w:hint="eastAsia" w:ascii="宋体" w:hAnsi="宋体" w:cs="宋体"/>
                <w:szCs w:val="21"/>
                <w:highlight w:val="none"/>
              </w:rPr>
              <w:t>部分</w:t>
            </w:r>
          </w:p>
        </w:tc>
        <w:tc>
          <w:tcPr>
            <w:tcW w:w="5720" w:type="dxa"/>
            <w:vAlign w:val="center"/>
          </w:tcPr>
          <w:p w14:paraId="6BA7B4EB">
            <w:pPr>
              <w:adjustRightIn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t>1.★技术条款偏离表；</w:t>
            </w:r>
          </w:p>
          <w:p w14:paraId="2E208F21">
            <w:pPr>
              <w:adjustRightInd w:val="0"/>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方案；</w:t>
            </w:r>
          </w:p>
          <w:p w14:paraId="14FAA7E0">
            <w:pPr>
              <w:adjustRightInd w:val="0"/>
              <w:spacing w:line="34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3.技术力量一览表</w:t>
            </w:r>
          </w:p>
          <w:p w14:paraId="3A6DF4A1">
            <w:pPr>
              <w:adjustRightInd w:val="0"/>
              <w:spacing w:line="34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4.技术人员简历表</w:t>
            </w:r>
          </w:p>
          <w:p w14:paraId="1835C88E">
            <w:pPr>
              <w:adjustRightInd w:val="0"/>
              <w:spacing w:line="34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承诺；</w:t>
            </w:r>
          </w:p>
          <w:p w14:paraId="28FF5656">
            <w:pPr>
              <w:adjustRightInd w:val="0"/>
              <w:spacing w:line="34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.投标人认为需要提供的其它说明和资料。</w:t>
            </w:r>
          </w:p>
        </w:tc>
      </w:tr>
      <w:tr w14:paraId="2AD5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329C5DE0">
            <w:pPr>
              <w:adjustRightInd w:val="0"/>
              <w:spacing w:line="340" w:lineRule="exact"/>
              <w:ind w:firstLine="422"/>
              <w:jc w:val="center"/>
              <w:rPr>
                <w:rFonts w:ascii="宋体" w:hAnsi="宋体" w:cs="宋体"/>
                <w:b/>
                <w:szCs w:val="21"/>
                <w:highlight w:val="none"/>
              </w:rPr>
            </w:pPr>
          </w:p>
        </w:tc>
        <w:tc>
          <w:tcPr>
            <w:tcW w:w="1701" w:type="dxa"/>
            <w:vMerge w:val="continue"/>
            <w:vAlign w:val="center"/>
          </w:tcPr>
          <w:p w14:paraId="6737F22E">
            <w:pPr>
              <w:topLinePunct/>
              <w:autoSpaceDE w:val="0"/>
              <w:autoSpaceDN w:val="0"/>
              <w:adjustRightInd w:val="0"/>
              <w:spacing w:line="340" w:lineRule="exact"/>
              <w:ind w:firstLine="422"/>
              <w:jc w:val="center"/>
              <w:rPr>
                <w:rFonts w:ascii="宋体" w:hAnsi="宋体" w:cs="宋体"/>
                <w:b/>
                <w:szCs w:val="21"/>
                <w:highlight w:val="none"/>
              </w:rPr>
            </w:pPr>
          </w:p>
        </w:tc>
        <w:tc>
          <w:tcPr>
            <w:tcW w:w="6854" w:type="dxa"/>
            <w:gridSpan w:val="2"/>
            <w:vAlign w:val="center"/>
          </w:tcPr>
          <w:p w14:paraId="4C6D43E9">
            <w:pPr>
              <w:adjustRightInd w:val="0"/>
              <w:spacing w:line="340" w:lineRule="exact"/>
              <w:jc w:val="left"/>
              <w:rPr>
                <w:rFonts w:ascii="宋体" w:hAnsi="宋体" w:cs="宋体"/>
                <w:b/>
                <w:szCs w:val="21"/>
                <w:highlight w:val="none"/>
              </w:rPr>
            </w:pPr>
            <w:r>
              <w:rPr>
                <w:rFonts w:hint="eastAsia" w:ascii="宋体" w:hAnsi="宋体" w:cs="宋体"/>
                <w:b/>
                <w:szCs w:val="21"/>
                <w:highlight w:val="none"/>
              </w:rPr>
              <w:t>1.以上带★的文件及资料未提供或提供的无效，则投标无效。</w:t>
            </w:r>
          </w:p>
        </w:tc>
      </w:tr>
      <w:tr w14:paraId="3E5E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606940F">
            <w:pPr>
              <w:adjustRightIn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6</w:t>
            </w:r>
          </w:p>
        </w:tc>
        <w:tc>
          <w:tcPr>
            <w:tcW w:w="1701" w:type="dxa"/>
            <w:vAlign w:val="center"/>
          </w:tcPr>
          <w:p w14:paraId="2DCABFB3">
            <w:pPr>
              <w:topLinePunct/>
              <w:autoSpaceDE w:val="0"/>
              <w:autoSpaceDN w:val="0"/>
              <w:adjustRightInd w:val="0"/>
              <w:spacing w:line="340" w:lineRule="exact"/>
              <w:jc w:val="center"/>
              <w:rPr>
                <w:rFonts w:ascii="宋体" w:hAnsi="宋体" w:cs="宋体"/>
                <w:szCs w:val="21"/>
                <w:highlight w:val="none"/>
              </w:rPr>
            </w:pPr>
            <w:r>
              <w:rPr>
                <w:rFonts w:hint="eastAsia" w:ascii="宋体" w:hAnsi="宋体" w:cs="宋体"/>
                <w:szCs w:val="21"/>
                <w:highlight w:val="none"/>
              </w:rPr>
              <w:t>投标有效期</w:t>
            </w:r>
          </w:p>
        </w:tc>
        <w:tc>
          <w:tcPr>
            <w:tcW w:w="6854" w:type="dxa"/>
            <w:gridSpan w:val="2"/>
            <w:vAlign w:val="center"/>
          </w:tcPr>
          <w:p w14:paraId="10A1A44A">
            <w:pPr>
              <w:topLinePunct/>
              <w:autoSpaceDE w:val="0"/>
              <w:autoSpaceDN w:val="0"/>
              <w:adjustRightInd w:val="0"/>
              <w:spacing w:line="340" w:lineRule="exact"/>
              <w:rPr>
                <w:rFonts w:ascii="宋体" w:hAnsi="宋体" w:cs="宋体"/>
                <w:szCs w:val="21"/>
                <w:highlight w:val="none"/>
              </w:rPr>
            </w:pPr>
            <w:r>
              <w:rPr>
                <w:rFonts w:hint="eastAsia" w:ascii="宋体" w:hAnsi="宋体" w:cs="宋体"/>
                <w:szCs w:val="21"/>
                <w:highlight w:val="none"/>
              </w:rPr>
              <w:t>从提交投标文件的截止之日起计算</w:t>
            </w:r>
            <w:r>
              <w:rPr>
                <w:rFonts w:hint="eastAsia" w:ascii="宋体" w:hAnsi="宋体" w:cs="宋体"/>
                <w:szCs w:val="21"/>
                <w:highlight w:val="none"/>
                <w:u w:val="single"/>
              </w:rPr>
              <w:t xml:space="preserve"> 90 </w:t>
            </w:r>
            <w:r>
              <w:rPr>
                <w:rFonts w:hint="eastAsia" w:ascii="宋体" w:hAnsi="宋体" w:cs="宋体"/>
                <w:szCs w:val="21"/>
                <w:highlight w:val="none"/>
              </w:rPr>
              <w:t>日历日。</w:t>
            </w:r>
          </w:p>
        </w:tc>
      </w:tr>
      <w:tr w14:paraId="48E4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C1141F8">
            <w:pPr>
              <w:adjustRightIn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7</w:t>
            </w:r>
          </w:p>
        </w:tc>
        <w:tc>
          <w:tcPr>
            <w:tcW w:w="1701" w:type="dxa"/>
            <w:vAlign w:val="center"/>
          </w:tcPr>
          <w:p w14:paraId="1D3BED57">
            <w:pPr>
              <w:topLinePunct/>
              <w:autoSpaceDE w:val="0"/>
              <w:autoSpaceDN w:val="0"/>
              <w:adjustRightInd w:val="0"/>
              <w:spacing w:line="340" w:lineRule="exact"/>
              <w:jc w:val="center"/>
              <w:rPr>
                <w:rFonts w:ascii="宋体" w:hAnsi="宋体" w:cs="宋体"/>
                <w:szCs w:val="21"/>
                <w:highlight w:val="none"/>
              </w:rPr>
            </w:pPr>
            <w:r>
              <w:rPr>
                <w:rFonts w:hint="eastAsia" w:ascii="宋体" w:hAnsi="宋体" w:cs="宋体"/>
                <w:szCs w:val="21"/>
                <w:highlight w:val="none"/>
              </w:rPr>
              <w:t>提交投标文件方式、截止时间、开标时间、地点</w:t>
            </w:r>
          </w:p>
        </w:tc>
        <w:tc>
          <w:tcPr>
            <w:tcW w:w="6854" w:type="dxa"/>
            <w:gridSpan w:val="2"/>
            <w:vAlign w:val="center"/>
          </w:tcPr>
          <w:p w14:paraId="38D63357">
            <w:pPr>
              <w:topLinePunct/>
              <w:autoSpaceDE w:val="0"/>
              <w:autoSpaceDN w:val="0"/>
              <w:adjustRightInd w:val="0"/>
              <w:spacing w:line="340" w:lineRule="exact"/>
              <w:rPr>
                <w:rFonts w:ascii="宋体" w:hAnsi="宋体" w:cs="宋体"/>
                <w:szCs w:val="21"/>
                <w:highlight w:val="none"/>
              </w:rPr>
            </w:pPr>
            <w:r>
              <w:rPr>
                <w:rFonts w:hint="eastAsia" w:ascii="宋体" w:hAnsi="宋体" w:cs="宋体"/>
                <w:b/>
                <w:szCs w:val="21"/>
                <w:highlight w:val="none"/>
              </w:rPr>
              <w:t>提交方式：</w:t>
            </w:r>
            <w:r>
              <w:rPr>
                <w:rFonts w:hint="eastAsia" w:ascii="宋体" w:hAnsi="宋体" w:cs="宋体"/>
                <w:szCs w:val="21"/>
                <w:highlight w:val="none"/>
                <w:u w:val="single"/>
              </w:rPr>
              <w:t>纸质文件提交</w:t>
            </w:r>
          </w:p>
          <w:p w14:paraId="599EE0F5">
            <w:pPr>
              <w:topLinePunct/>
              <w:autoSpaceDE w:val="0"/>
              <w:autoSpaceDN w:val="0"/>
              <w:adjustRightInd w:val="0"/>
              <w:spacing w:line="340" w:lineRule="exact"/>
              <w:rPr>
                <w:rFonts w:ascii="宋体" w:hAnsi="宋体" w:cs="宋体"/>
                <w:color w:val="auto"/>
                <w:szCs w:val="21"/>
                <w:highlight w:val="none"/>
              </w:rPr>
            </w:pPr>
            <w:r>
              <w:rPr>
                <w:rFonts w:hint="eastAsia" w:ascii="宋体" w:hAnsi="宋体" w:cs="宋体"/>
                <w:b/>
                <w:szCs w:val="21"/>
                <w:highlight w:val="none"/>
              </w:rPr>
              <w:t>投标截止时间和开标时间：</w:t>
            </w:r>
            <w:r>
              <w:rPr>
                <w:rFonts w:hint="eastAsia" w:ascii="宋体" w:hAnsi="宋体" w:cs="Times New Roman"/>
                <w:b/>
                <w:bCs/>
                <w:color w:val="auto"/>
                <w:kern w:val="0"/>
                <w:highlight w:val="none"/>
                <w:u w:val="single"/>
                <w:lang w:eastAsia="zh-CN"/>
              </w:rPr>
              <w:t>2024年</w:t>
            </w:r>
            <w:r>
              <w:rPr>
                <w:rFonts w:hint="eastAsia" w:ascii="宋体" w:hAnsi="宋体" w:cs="Times New Roman"/>
                <w:b/>
                <w:bCs/>
                <w:color w:val="auto"/>
                <w:kern w:val="0"/>
                <w:highlight w:val="none"/>
                <w:u w:val="single"/>
                <w:lang w:val="en-US" w:eastAsia="zh-CN"/>
              </w:rPr>
              <w:t>12</w:t>
            </w:r>
            <w:r>
              <w:rPr>
                <w:rFonts w:hint="eastAsia" w:ascii="宋体" w:hAnsi="宋体" w:cs="Times New Roman"/>
                <w:b/>
                <w:bCs/>
                <w:color w:val="auto"/>
                <w:kern w:val="0"/>
                <w:highlight w:val="none"/>
                <w:u w:val="single"/>
                <w:lang w:eastAsia="zh-CN"/>
              </w:rPr>
              <w:t>月</w:t>
            </w:r>
            <w:r>
              <w:rPr>
                <w:rFonts w:hint="eastAsia" w:ascii="宋体" w:hAnsi="宋体" w:cs="Times New Roman"/>
                <w:b/>
                <w:bCs/>
                <w:color w:val="auto"/>
                <w:kern w:val="0"/>
                <w:highlight w:val="none"/>
                <w:u w:val="single"/>
                <w:lang w:val="en-US" w:eastAsia="zh-CN"/>
              </w:rPr>
              <w:t>25</w:t>
            </w:r>
            <w:r>
              <w:rPr>
                <w:rFonts w:hint="eastAsia" w:ascii="宋体" w:hAnsi="宋体" w:cs="Times New Roman"/>
                <w:b/>
                <w:bCs/>
                <w:color w:val="auto"/>
                <w:kern w:val="0"/>
                <w:highlight w:val="none"/>
                <w:u w:val="single"/>
                <w:lang w:eastAsia="zh-CN"/>
              </w:rPr>
              <w:t>日</w:t>
            </w:r>
            <w:r>
              <w:rPr>
                <w:rFonts w:hint="eastAsia" w:ascii="宋体" w:hAnsi="宋体" w:eastAsia="宋体" w:cs="Times New Roman"/>
                <w:b/>
                <w:bCs/>
                <w:color w:val="auto"/>
                <w:kern w:val="0"/>
                <w:highlight w:val="none"/>
                <w:u w:val="single"/>
              </w:rPr>
              <w:t>上午</w:t>
            </w:r>
            <w:r>
              <w:rPr>
                <w:rFonts w:hint="eastAsia" w:ascii="宋体" w:hAnsi="宋体" w:cs="Times New Roman"/>
                <w:b/>
                <w:bCs/>
                <w:color w:val="auto"/>
                <w:kern w:val="0"/>
                <w:highlight w:val="none"/>
                <w:u w:val="single"/>
                <w:lang w:val="en-US" w:eastAsia="zh-CN"/>
              </w:rPr>
              <w:t>9</w:t>
            </w:r>
            <w:r>
              <w:rPr>
                <w:rFonts w:hint="eastAsia" w:ascii="宋体" w:hAnsi="宋体" w:eastAsia="宋体" w:cs="Times New Roman"/>
                <w:b/>
                <w:bCs/>
                <w:color w:val="auto"/>
                <w:kern w:val="0"/>
                <w:highlight w:val="none"/>
                <w:u w:val="single"/>
              </w:rPr>
              <w:t>点</w:t>
            </w:r>
            <w:r>
              <w:rPr>
                <w:rFonts w:hint="eastAsia" w:ascii="宋体" w:hAnsi="宋体" w:cs="Times New Roman"/>
                <w:b/>
                <w:bCs/>
                <w:color w:val="auto"/>
                <w:kern w:val="0"/>
                <w:highlight w:val="none"/>
                <w:u w:val="single"/>
                <w:lang w:val="en-US" w:eastAsia="zh-CN"/>
              </w:rPr>
              <w:t>3</w:t>
            </w:r>
            <w:r>
              <w:rPr>
                <w:rFonts w:hint="eastAsia" w:ascii="宋体" w:hAnsi="宋体" w:eastAsia="宋体" w:cs="Times New Roman"/>
                <w:b/>
                <w:bCs/>
                <w:color w:val="auto"/>
                <w:kern w:val="0"/>
                <w:highlight w:val="none"/>
                <w:u w:val="single"/>
              </w:rPr>
              <w:t>0分</w:t>
            </w:r>
            <w:r>
              <w:rPr>
                <w:rFonts w:hint="eastAsia" w:ascii="宋体" w:hAnsi="宋体" w:cs="宋体"/>
                <w:color w:val="auto"/>
                <w:szCs w:val="21"/>
                <w:highlight w:val="none"/>
              </w:rPr>
              <w:t>（北京时间）</w:t>
            </w:r>
          </w:p>
          <w:p w14:paraId="45F9624C">
            <w:pPr>
              <w:topLinePunct/>
              <w:autoSpaceDE w:val="0"/>
              <w:autoSpaceDN w:val="0"/>
              <w:adjustRightInd w:val="0"/>
              <w:spacing w:line="340" w:lineRule="exact"/>
              <w:rPr>
                <w:rFonts w:ascii="宋体" w:hAnsi="宋体" w:cs="宋体"/>
                <w:color w:val="auto"/>
                <w:szCs w:val="21"/>
                <w:highlight w:val="none"/>
              </w:rPr>
            </w:pPr>
            <w:r>
              <w:rPr>
                <w:rFonts w:hint="eastAsia" w:ascii="宋体" w:hAnsi="宋体" w:cs="宋体"/>
                <w:b/>
                <w:color w:val="auto"/>
                <w:szCs w:val="21"/>
                <w:highlight w:val="none"/>
              </w:rPr>
              <w:t>开标方式：</w:t>
            </w:r>
            <w:r>
              <w:rPr>
                <w:rFonts w:hint="eastAsia" w:ascii="宋体" w:hAnsi="宋体" w:cs="宋体"/>
                <w:color w:val="auto"/>
                <w:szCs w:val="21"/>
                <w:highlight w:val="none"/>
                <w:u w:val="single"/>
              </w:rPr>
              <w:t>线下开标</w:t>
            </w:r>
          </w:p>
          <w:p w14:paraId="7DDEEA90">
            <w:pPr>
              <w:topLinePunct/>
              <w:autoSpaceDE w:val="0"/>
              <w:autoSpaceDN w:val="0"/>
              <w:adjustRightInd w:val="0"/>
              <w:spacing w:line="340" w:lineRule="exact"/>
              <w:rPr>
                <w:rFonts w:ascii="宋体" w:hAnsi="宋体" w:cs="宋体"/>
                <w:b/>
                <w:color w:val="auto"/>
                <w:szCs w:val="21"/>
                <w:highlight w:val="none"/>
              </w:rPr>
            </w:pPr>
            <w:r>
              <w:rPr>
                <w:rFonts w:hint="eastAsia" w:ascii="宋体" w:hAnsi="宋体" w:cs="宋体"/>
                <w:b/>
                <w:color w:val="auto"/>
                <w:szCs w:val="21"/>
                <w:highlight w:val="none"/>
              </w:rPr>
              <w:t>提交投标文件地点：</w:t>
            </w:r>
            <w:r>
              <w:rPr>
                <w:rFonts w:hint="eastAsia" w:ascii="宋体" w:hAnsi="宋体" w:cs="Times New Roman"/>
                <w:b/>
                <w:bCs/>
                <w:color w:val="auto"/>
                <w:kern w:val="0"/>
                <w:highlight w:val="none"/>
                <w:u w:val="single"/>
                <w:lang w:eastAsia="zh-CN"/>
              </w:rPr>
              <w:t>天鉴国际工程管理有限公司（长沙市雨花区金海路128号天鉴大厦6楼开标大厅）</w:t>
            </w:r>
          </w:p>
          <w:p w14:paraId="08969193">
            <w:pPr>
              <w:topLinePunct/>
              <w:autoSpaceDE w:val="0"/>
              <w:autoSpaceDN w:val="0"/>
              <w:adjustRightInd w:val="0"/>
              <w:spacing w:line="340" w:lineRule="exact"/>
              <w:rPr>
                <w:rFonts w:ascii="宋体" w:hAnsi="宋体" w:cs="宋体"/>
                <w:b/>
                <w:color w:val="auto"/>
                <w:szCs w:val="21"/>
                <w:highlight w:val="none"/>
              </w:rPr>
            </w:pPr>
            <w:r>
              <w:rPr>
                <w:rFonts w:hint="eastAsia" w:ascii="宋体" w:hAnsi="宋体" w:cs="宋体"/>
                <w:b/>
                <w:color w:val="auto"/>
                <w:szCs w:val="21"/>
                <w:highlight w:val="none"/>
              </w:rPr>
              <w:t>开标地点：</w:t>
            </w:r>
            <w:r>
              <w:rPr>
                <w:rFonts w:hint="eastAsia" w:ascii="宋体" w:hAnsi="宋体" w:cs="Times New Roman"/>
                <w:b/>
                <w:bCs/>
                <w:color w:val="auto"/>
                <w:kern w:val="0"/>
                <w:highlight w:val="none"/>
                <w:u w:val="single"/>
                <w:lang w:eastAsia="zh-CN"/>
              </w:rPr>
              <w:t>天鉴国际工程管理有限公司（长沙市雨花区金海路128号天鉴大厦6楼开标大厅）</w:t>
            </w:r>
          </w:p>
          <w:p w14:paraId="620CBFB2">
            <w:pPr>
              <w:topLinePunct/>
              <w:autoSpaceDE w:val="0"/>
              <w:autoSpaceDN w:val="0"/>
              <w:adjustRightInd w:val="0"/>
              <w:spacing w:line="340" w:lineRule="exact"/>
              <w:rPr>
                <w:rFonts w:hint="default" w:ascii="宋体" w:hAnsi="宋体" w:eastAsia="宋体" w:cs="宋体"/>
                <w:b/>
                <w:szCs w:val="21"/>
                <w:highlight w:val="none"/>
                <w:lang w:val="en-US" w:eastAsia="zh-CN"/>
              </w:rPr>
            </w:pPr>
            <w:r>
              <w:rPr>
                <w:rFonts w:hint="eastAsia" w:ascii="宋体" w:hAnsi="宋体" w:cs="宋体"/>
                <w:b/>
                <w:color w:val="auto"/>
                <w:szCs w:val="21"/>
                <w:highlight w:val="none"/>
              </w:rPr>
              <w:t>联系电话：</w:t>
            </w:r>
            <w:r>
              <w:rPr>
                <w:rFonts w:hint="eastAsia" w:ascii="宋体" w:hAnsi="宋体" w:cs="宋体"/>
                <w:b/>
                <w:bCs/>
                <w:color w:val="auto"/>
                <w:highlight w:val="none"/>
                <w:lang w:val="en-US" w:eastAsia="zh-CN"/>
              </w:rPr>
              <w:t>13975680067 朱楠卿</w:t>
            </w:r>
          </w:p>
        </w:tc>
      </w:tr>
      <w:tr w14:paraId="5B5A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5E9D032">
            <w:pPr>
              <w:adjustRightIn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8</w:t>
            </w:r>
          </w:p>
        </w:tc>
        <w:tc>
          <w:tcPr>
            <w:tcW w:w="1701" w:type="dxa"/>
            <w:vAlign w:val="center"/>
          </w:tcPr>
          <w:p w14:paraId="7819FAFA">
            <w:pPr>
              <w:tabs>
                <w:tab w:val="left" w:pos="1875"/>
              </w:tabs>
              <w:adjustRightInd w:val="0"/>
              <w:spacing w:line="340" w:lineRule="exact"/>
              <w:jc w:val="center"/>
              <w:rPr>
                <w:rFonts w:ascii="宋体" w:hAnsi="宋体" w:cs="宋体"/>
                <w:b/>
                <w:szCs w:val="21"/>
                <w:highlight w:val="none"/>
              </w:rPr>
            </w:pPr>
            <w:r>
              <w:rPr>
                <w:rFonts w:hint="eastAsia" w:ascii="宋体" w:hAnsi="宋体" w:cs="宋体"/>
                <w:szCs w:val="21"/>
                <w:highlight w:val="none"/>
              </w:rPr>
              <w:t>投标保证金</w:t>
            </w:r>
          </w:p>
        </w:tc>
        <w:tc>
          <w:tcPr>
            <w:tcW w:w="6854" w:type="dxa"/>
            <w:gridSpan w:val="2"/>
            <w:vAlign w:val="center"/>
          </w:tcPr>
          <w:p w14:paraId="0C00D136">
            <w:pPr>
              <w:topLinePunct/>
              <w:autoSpaceDE w:val="0"/>
              <w:autoSpaceDN w:val="0"/>
              <w:adjustRightInd w:val="0"/>
              <w:spacing w:line="340" w:lineRule="exact"/>
              <w:rPr>
                <w:rFonts w:ascii="宋体" w:hAnsi="宋体" w:cs="宋体"/>
                <w:snapToGrid w:val="0"/>
                <w:szCs w:val="21"/>
                <w:highlight w:val="none"/>
                <w:lang w:val="zh-CN"/>
              </w:rPr>
            </w:pPr>
            <w:r>
              <w:rPr>
                <w:rFonts w:hint="eastAsia" w:ascii="宋体" w:hAnsi="宋体" w:cs="宋体"/>
                <w:szCs w:val="21"/>
                <w:highlight w:val="none"/>
              </w:rPr>
              <w:sym w:font="Wingdings 2" w:char="0052"/>
            </w:r>
            <w:r>
              <w:rPr>
                <w:rFonts w:ascii="宋体" w:hAnsi="宋体" w:cs="宋体"/>
                <w:szCs w:val="21"/>
                <w:highlight w:val="none"/>
              </w:rPr>
              <w:t xml:space="preserve"> </w:t>
            </w:r>
            <w:r>
              <w:rPr>
                <w:rFonts w:hint="eastAsia" w:ascii="宋体" w:hAnsi="宋体" w:cs="宋体"/>
                <w:szCs w:val="21"/>
                <w:highlight w:val="none"/>
              </w:rPr>
              <w:t>不要求提供</w:t>
            </w:r>
          </w:p>
          <w:p w14:paraId="0206D353">
            <w:pPr>
              <w:topLinePunct/>
              <w:autoSpaceDE w:val="0"/>
              <w:autoSpaceDN w:val="0"/>
              <w:adjustRightInd w:val="0"/>
              <w:spacing w:line="340" w:lineRule="exact"/>
              <w:rPr>
                <w:rFonts w:ascii="宋体" w:hAnsi="宋体" w:cs="宋体"/>
                <w:szCs w:val="21"/>
                <w:highlight w:val="none"/>
              </w:rPr>
            </w:pPr>
            <w:r>
              <w:rPr>
                <w:rFonts w:hint="eastAsia" w:ascii="宋体" w:hAnsi="宋体" w:cs="宋体"/>
                <w:szCs w:val="21"/>
                <w:highlight w:val="none"/>
              </w:rPr>
              <w:sym w:font="Wingdings 2" w:char="F0A3"/>
            </w:r>
            <w:r>
              <w:rPr>
                <w:rFonts w:ascii="宋体" w:hAnsi="宋体" w:cs="宋体"/>
                <w:szCs w:val="21"/>
                <w:highlight w:val="none"/>
              </w:rPr>
              <w:t xml:space="preserve"> </w:t>
            </w:r>
            <w:r>
              <w:rPr>
                <w:rFonts w:hint="eastAsia" w:ascii="宋体" w:hAnsi="宋体" w:cs="宋体"/>
                <w:szCs w:val="21"/>
                <w:highlight w:val="none"/>
              </w:rPr>
              <w:t>要求提供：</w:t>
            </w:r>
          </w:p>
          <w:p w14:paraId="6255F500">
            <w:pPr>
              <w:topLinePunct/>
              <w:autoSpaceDE w:val="0"/>
              <w:autoSpaceDN w:val="0"/>
              <w:adjustRightInd w:val="0"/>
              <w:spacing w:line="340" w:lineRule="exact"/>
              <w:rPr>
                <w:rFonts w:ascii="宋体" w:hAnsi="宋体" w:cs="宋体"/>
                <w:szCs w:val="21"/>
                <w:highlight w:val="none"/>
              </w:rPr>
            </w:pPr>
            <w:r>
              <w:rPr>
                <w:rFonts w:hint="eastAsia" w:ascii="宋体" w:hAnsi="宋体" w:cs="宋体"/>
                <w:szCs w:val="21"/>
                <w:highlight w:val="none"/>
              </w:rPr>
              <w:t>（1）金额：</w:t>
            </w:r>
          </w:p>
          <w:p w14:paraId="795F2D3C">
            <w:pPr>
              <w:topLinePunct/>
              <w:autoSpaceDE w:val="0"/>
              <w:autoSpaceDN w:val="0"/>
              <w:adjustRightInd w:val="0"/>
              <w:spacing w:line="340" w:lineRule="exact"/>
              <w:rPr>
                <w:rFonts w:ascii="宋体" w:hAnsi="宋体" w:cs="宋体"/>
                <w:szCs w:val="21"/>
                <w:highlight w:val="none"/>
              </w:rPr>
            </w:pPr>
            <w:r>
              <w:rPr>
                <w:rFonts w:hint="eastAsia" w:ascii="宋体" w:hAnsi="宋体" w:cs="宋体"/>
                <w:szCs w:val="21"/>
                <w:highlight w:val="none"/>
              </w:rPr>
              <w:t>人民币</w:t>
            </w:r>
            <w:r>
              <w:rPr>
                <w:rFonts w:hint="eastAsia" w:ascii="宋体" w:hAnsi="宋体" w:cs="宋体"/>
                <w:szCs w:val="21"/>
                <w:highlight w:val="none"/>
                <w:u w:val="single"/>
              </w:rPr>
              <w:t xml:space="preserve">  </w:t>
            </w:r>
            <w:r>
              <w:rPr>
                <w:rFonts w:hint="eastAsia" w:ascii="宋体" w:hAnsi="宋体" w:cs="宋体"/>
                <w:i/>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E73B825">
            <w:pPr>
              <w:topLinePunct/>
              <w:autoSpaceDE w:val="0"/>
              <w:autoSpaceDN w:val="0"/>
              <w:adjustRightInd w:val="0"/>
              <w:spacing w:line="340" w:lineRule="exact"/>
              <w:rPr>
                <w:rFonts w:ascii="宋体" w:hAnsi="宋体" w:cs="宋体"/>
                <w:szCs w:val="21"/>
                <w:highlight w:val="none"/>
              </w:rPr>
            </w:pPr>
            <w:r>
              <w:rPr>
                <w:rFonts w:hint="eastAsia" w:ascii="宋体" w:hAnsi="宋体" w:cs="宋体"/>
                <w:szCs w:val="21"/>
                <w:highlight w:val="none"/>
              </w:rPr>
              <w:t>（2）提交方式：</w:t>
            </w:r>
            <w:r>
              <w:rPr>
                <w:rFonts w:hint="eastAsia" w:ascii="宋体" w:hAnsi="宋体" w:cs="宋体"/>
                <w:szCs w:val="21"/>
                <w:highlight w:val="none"/>
                <w:u w:val="single"/>
              </w:rPr>
              <w:t xml:space="preserve">                </w:t>
            </w:r>
          </w:p>
          <w:p w14:paraId="0CC9288A">
            <w:pPr>
              <w:topLinePunct/>
              <w:autoSpaceDE w:val="0"/>
              <w:autoSpaceDN w:val="0"/>
              <w:adjustRightInd w:val="0"/>
              <w:spacing w:line="340" w:lineRule="exact"/>
              <w:rPr>
                <w:rFonts w:ascii="宋体" w:hAnsi="宋体" w:cs="宋体"/>
                <w:szCs w:val="21"/>
                <w:highlight w:val="none"/>
                <w:u w:val="single"/>
              </w:rPr>
            </w:pPr>
            <w:r>
              <w:rPr>
                <w:rFonts w:hint="eastAsia" w:ascii="宋体" w:hAnsi="宋体" w:cs="宋体"/>
                <w:szCs w:val="21"/>
                <w:highlight w:val="none"/>
              </w:rPr>
              <w:t>收款账户：</w:t>
            </w:r>
            <w:r>
              <w:rPr>
                <w:rFonts w:hint="eastAsia" w:ascii="宋体" w:hAnsi="宋体" w:cs="宋体"/>
                <w:szCs w:val="21"/>
                <w:highlight w:val="none"/>
                <w:u w:val="single"/>
              </w:rPr>
              <w:t xml:space="preserve">                    </w:t>
            </w:r>
          </w:p>
          <w:p w14:paraId="1A9A051D">
            <w:pPr>
              <w:topLinePunct/>
              <w:autoSpaceDE w:val="0"/>
              <w:autoSpaceDN w:val="0"/>
              <w:adjustRightInd w:val="0"/>
              <w:spacing w:line="340" w:lineRule="exact"/>
              <w:rPr>
                <w:rFonts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p>
          <w:p w14:paraId="53583E6C">
            <w:pPr>
              <w:spacing w:line="340" w:lineRule="exact"/>
              <w:rPr>
                <w:rFonts w:ascii="宋体" w:hAnsi="宋体" w:cs="宋体"/>
                <w:b/>
                <w:szCs w:val="21"/>
                <w:highlight w:val="none"/>
              </w:rPr>
            </w:pPr>
            <w:r>
              <w:rPr>
                <w:rFonts w:hint="eastAsia" w:ascii="宋体" w:hAnsi="宋体" w:cs="宋体"/>
                <w:szCs w:val="21"/>
                <w:highlight w:val="none"/>
              </w:rPr>
              <w:t>银行账户：</w:t>
            </w:r>
            <w:r>
              <w:rPr>
                <w:rFonts w:hint="eastAsia" w:ascii="宋体" w:hAnsi="宋体" w:cs="宋体"/>
                <w:szCs w:val="21"/>
                <w:highlight w:val="none"/>
                <w:u w:val="single"/>
              </w:rPr>
              <w:t xml:space="preserve">                    </w:t>
            </w:r>
          </w:p>
        </w:tc>
      </w:tr>
      <w:tr w14:paraId="1C38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14:paraId="22BBAAFE">
            <w:pPr>
              <w:adjustRightInd w:val="0"/>
              <w:spacing w:line="34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19</w:t>
            </w:r>
          </w:p>
        </w:tc>
        <w:tc>
          <w:tcPr>
            <w:tcW w:w="1701" w:type="dxa"/>
            <w:vMerge w:val="restart"/>
            <w:vAlign w:val="center"/>
          </w:tcPr>
          <w:p w14:paraId="0E183357">
            <w:pPr>
              <w:tabs>
                <w:tab w:val="left" w:pos="1875"/>
              </w:tabs>
              <w:adjustRightInd w:val="0"/>
              <w:spacing w:line="340" w:lineRule="exact"/>
              <w:jc w:val="center"/>
              <w:rPr>
                <w:rFonts w:ascii="宋体" w:hAnsi="宋体" w:cs="宋体"/>
                <w:szCs w:val="21"/>
                <w:highlight w:val="none"/>
              </w:rPr>
            </w:pPr>
            <w:r>
              <w:rPr>
                <w:rFonts w:hint="eastAsia" w:ascii="宋体" w:hAnsi="宋体" w:cs="宋体"/>
                <w:szCs w:val="21"/>
                <w:highlight w:val="none"/>
              </w:rPr>
              <w:t>不予退还投标保证金的情形</w:t>
            </w:r>
          </w:p>
        </w:tc>
        <w:tc>
          <w:tcPr>
            <w:tcW w:w="6854" w:type="dxa"/>
            <w:gridSpan w:val="2"/>
            <w:vAlign w:val="center"/>
          </w:tcPr>
          <w:p w14:paraId="53D10C36">
            <w:pPr>
              <w:topLinePunct/>
              <w:autoSpaceDE w:val="0"/>
              <w:autoSpaceDN w:val="0"/>
              <w:adjustRightInd w:val="0"/>
              <w:spacing w:line="340" w:lineRule="exact"/>
              <w:rPr>
                <w:rFonts w:ascii="宋体" w:hAnsi="宋体" w:cs="宋体"/>
                <w:szCs w:val="21"/>
                <w:highlight w:val="none"/>
              </w:rPr>
            </w:pPr>
            <w:r>
              <w:rPr>
                <w:rFonts w:hint="eastAsia" w:ascii="宋体" w:hAnsi="宋体" w:cs="宋体"/>
                <w:szCs w:val="21"/>
                <w:highlight w:val="none"/>
              </w:rPr>
              <w:t>有下列情形之一的，投标保证金将不予退还：</w:t>
            </w:r>
          </w:p>
          <w:p w14:paraId="5194984D">
            <w:pPr>
              <w:topLinePunct/>
              <w:autoSpaceDE w:val="0"/>
              <w:autoSpaceDN w:val="0"/>
              <w:adjustRightInd w:val="0"/>
              <w:spacing w:line="340" w:lineRule="exact"/>
              <w:rPr>
                <w:rFonts w:ascii="宋体" w:hAnsi="宋体" w:cs="宋体"/>
                <w:szCs w:val="21"/>
                <w:highlight w:val="none"/>
              </w:rPr>
            </w:pPr>
            <w:r>
              <w:rPr>
                <w:rFonts w:hint="eastAsia" w:ascii="宋体" w:hAnsi="宋体" w:cs="宋体"/>
                <w:szCs w:val="21"/>
                <w:highlight w:val="none"/>
              </w:rPr>
              <w:t>（1）投标人串通投标或有视为串通投标情形之一的；</w:t>
            </w:r>
          </w:p>
          <w:p w14:paraId="69FB78B4">
            <w:pPr>
              <w:topLinePunct/>
              <w:autoSpaceDE w:val="0"/>
              <w:autoSpaceDN w:val="0"/>
              <w:adjustRightInd w:val="0"/>
              <w:spacing w:line="340" w:lineRule="exact"/>
              <w:rPr>
                <w:rFonts w:ascii="宋体" w:hAnsi="宋体" w:cs="宋体"/>
                <w:szCs w:val="21"/>
                <w:highlight w:val="none"/>
              </w:rPr>
            </w:pPr>
            <w:r>
              <w:rPr>
                <w:rFonts w:hint="eastAsia" w:ascii="宋体" w:hAnsi="宋体" w:cs="宋体"/>
                <w:szCs w:val="21"/>
                <w:highlight w:val="none"/>
              </w:rPr>
              <w:t>（2）投标人提供虚假材料；</w:t>
            </w:r>
          </w:p>
          <w:p w14:paraId="02C92380">
            <w:pPr>
              <w:topLinePunct/>
              <w:autoSpaceDE w:val="0"/>
              <w:autoSpaceDN w:val="0"/>
              <w:adjustRightInd w:val="0"/>
              <w:spacing w:line="340" w:lineRule="exact"/>
              <w:rPr>
                <w:rFonts w:ascii="宋体" w:hAnsi="宋体" w:cs="宋体"/>
                <w:szCs w:val="21"/>
                <w:highlight w:val="none"/>
              </w:rPr>
            </w:pPr>
            <w:r>
              <w:rPr>
                <w:rFonts w:hint="eastAsia" w:ascii="宋体" w:hAnsi="宋体" w:cs="宋体"/>
                <w:szCs w:val="21"/>
                <w:highlight w:val="none"/>
              </w:rPr>
              <w:t>（3）投标人采取不正当手段诋毁、排挤其他投标人；</w:t>
            </w:r>
          </w:p>
          <w:p w14:paraId="72F6E985">
            <w:pPr>
              <w:topLinePunct/>
              <w:autoSpaceDE w:val="0"/>
              <w:autoSpaceDN w:val="0"/>
              <w:adjustRightInd w:val="0"/>
              <w:spacing w:line="340" w:lineRule="exact"/>
              <w:rPr>
                <w:rFonts w:ascii="宋体" w:hAnsi="宋体" w:cs="宋体"/>
                <w:szCs w:val="21"/>
                <w:highlight w:val="none"/>
              </w:rPr>
            </w:pPr>
            <w:r>
              <w:rPr>
                <w:rFonts w:hint="eastAsia" w:ascii="宋体" w:hAnsi="宋体" w:cs="宋体"/>
                <w:szCs w:val="21"/>
                <w:highlight w:val="none"/>
              </w:rPr>
              <w:t>（4）投标截止时间后，投标人在投标有效期内撤销投标文件；</w:t>
            </w:r>
          </w:p>
          <w:p w14:paraId="16B0A2EB">
            <w:pPr>
              <w:topLinePunct/>
              <w:autoSpaceDE w:val="0"/>
              <w:autoSpaceDN w:val="0"/>
              <w:adjustRightInd w:val="0"/>
              <w:spacing w:line="340" w:lineRule="exact"/>
              <w:rPr>
                <w:rFonts w:ascii="宋体" w:hAnsi="宋体" w:cs="宋体"/>
                <w:szCs w:val="21"/>
                <w:highlight w:val="none"/>
              </w:rPr>
            </w:pPr>
            <w:r>
              <w:rPr>
                <w:rFonts w:hint="eastAsia" w:ascii="宋体" w:hAnsi="宋体" w:cs="宋体"/>
                <w:szCs w:val="21"/>
                <w:highlight w:val="none"/>
              </w:rPr>
              <w:t>（5）中标人有下列情形之一的：</w:t>
            </w:r>
          </w:p>
          <w:p w14:paraId="007447E4">
            <w:pPr>
              <w:topLinePunct/>
              <w:autoSpaceDE w:val="0"/>
              <w:autoSpaceDN w:val="0"/>
              <w:adjustRightInd w:val="0"/>
              <w:spacing w:line="340" w:lineRule="exact"/>
              <w:rPr>
                <w:rFonts w:ascii="宋体" w:hAnsi="宋体" w:cs="宋体"/>
                <w:szCs w:val="21"/>
                <w:highlight w:val="none"/>
              </w:rPr>
            </w:pPr>
            <w:r>
              <w:rPr>
                <w:rFonts w:hint="eastAsia" w:ascii="宋体" w:hAnsi="宋体" w:cs="宋体"/>
                <w:szCs w:val="21"/>
                <w:highlight w:val="none"/>
              </w:rPr>
              <w:t>a.除不可抗力外，因中标人自身原因未在中标通知书要求的期限内与采购人签订政府采购合同；</w:t>
            </w:r>
          </w:p>
          <w:p w14:paraId="7BAA48E2">
            <w:pPr>
              <w:topLinePunct/>
              <w:autoSpaceDE w:val="0"/>
              <w:autoSpaceDN w:val="0"/>
              <w:adjustRightInd w:val="0"/>
              <w:spacing w:line="340" w:lineRule="exact"/>
              <w:rPr>
                <w:rFonts w:ascii="宋体" w:hAnsi="宋体" w:cs="宋体"/>
                <w:szCs w:val="21"/>
                <w:highlight w:val="none"/>
              </w:rPr>
            </w:pPr>
            <w:r>
              <w:rPr>
                <w:rFonts w:hint="eastAsia" w:ascii="宋体" w:hAnsi="宋体" w:cs="宋体"/>
                <w:szCs w:val="21"/>
                <w:highlight w:val="none"/>
              </w:rPr>
              <w:t>b.未按照招标文件、投标文件的约定签订政府采购合同或提交履约保证金。</w:t>
            </w:r>
          </w:p>
          <w:p w14:paraId="792326AC">
            <w:pPr>
              <w:topLinePunct/>
              <w:autoSpaceDE w:val="0"/>
              <w:autoSpaceDN w:val="0"/>
              <w:adjustRightInd w:val="0"/>
              <w:spacing w:line="340" w:lineRule="exact"/>
              <w:rPr>
                <w:rFonts w:ascii="宋体" w:hAnsi="宋体" w:cs="宋体"/>
                <w:szCs w:val="21"/>
                <w:highlight w:val="none"/>
              </w:rPr>
            </w:pPr>
            <w:r>
              <w:rPr>
                <w:rFonts w:hint="eastAsia" w:ascii="宋体" w:hAnsi="宋体" w:cs="宋体"/>
                <w:szCs w:val="21"/>
                <w:highlight w:val="none"/>
              </w:rPr>
              <w:t>注：若上述投标保证金不予退还情形给采购人（采购代理机构）造成损失，则投标人还要承担相应的赔偿责任。</w:t>
            </w:r>
          </w:p>
        </w:tc>
      </w:tr>
      <w:tr w14:paraId="6A7C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135F8C8A">
            <w:pPr>
              <w:adjustRightInd w:val="0"/>
              <w:spacing w:line="340" w:lineRule="exact"/>
              <w:jc w:val="center"/>
              <w:rPr>
                <w:rFonts w:ascii="宋体" w:hAnsi="宋体" w:cs="宋体"/>
                <w:szCs w:val="21"/>
                <w:highlight w:val="none"/>
              </w:rPr>
            </w:pPr>
          </w:p>
        </w:tc>
        <w:tc>
          <w:tcPr>
            <w:tcW w:w="1701" w:type="dxa"/>
            <w:vMerge w:val="continue"/>
            <w:vAlign w:val="center"/>
          </w:tcPr>
          <w:p w14:paraId="1775C7E9">
            <w:pPr>
              <w:adjustRightInd w:val="0"/>
              <w:spacing w:line="340" w:lineRule="exact"/>
              <w:jc w:val="center"/>
              <w:rPr>
                <w:rFonts w:ascii="宋体" w:hAnsi="宋体" w:cs="宋体"/>
                <w:szCs w:val="21"/>
                <w:highlight w:val="none"/>
              </w:rPr>
            </w:pPr>
          </w:p>
        </w:tc>
        <w:tc>
          <w:tcPr>
            <w:tcW w:w="6854" w:type="dxa"/>
            <w:gridSpan w:val="2"/>
            <w:vAlign w:val="center"/>
          </w:tcPr>
          <w:p w14:paraId="50C745DA">
            <w:pPr>
              <w:topLinePunct/>
              <w:autoSpaceDE w:val="0"/>
              <w:autoSpaceDN w:val="0"/>
              <w:spacing w:line="340" w:lineRule="exact"/>
              <w:rPr>
                <w:rFonts w:ascii="宋体" w:hAnsi="宋体" w:cs="宋体"/>
                <w:szCs w:val="21"/>
                <w:highlight w:val="none"/>
              </w:rPr>
            </w:pPr>
            <w:r>
              <w:rPr>
                <w:rFonts w:hint="eastAsia" w:ascii="宋体" w:hAnsi="宋体" w:cs="宋体"/>
                <w:szCs w:val="21"/>
                <w:highlight w:val="none"/>
              </w:rPr>
              <w:t>其他不予退还投标保证金的情形：</w:t>
            </w:r>
            <w:r>
              <w:rPr>
                <w:rFonts w:hint="eastAsia" w:ascii="宋体" w:hAnsi="宋体" w:cs="宋体"/>
                <w:szCs w:val="21"/>
                <w:highlight w:val="none"/>
                <w:u w:val="single"/>
              </w:rPr>
              <w:t xml:space="preserve">  /  </w:t>
            </w:r>
          </w:p>
        </w:tc>
      </w:tr>
      <w:tr w14:paraId="79F2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4B41765">
            <w:pPr>
              <w:adjustRightInd w:val="0"/>
              <w:spacing w:line="34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c>
          <w:tcPr>
            <w:tcW w:w="1701" w:type="dxa"/>
            <w:vAlign w:val="center"/>
          </w:tcPr>
          <w:p w14:paraId="50338B7F">
            <w:pPr>
              <w:adjustRightInd w:val="0"/>
              <w:spacing w:line="340" w:lineRule="exact"/>
              <w:jc w:val="center"/>
              <w:rPr>
                <w:rFonts w:ascii="宋体" w:hAnsi="宋体" w:cs="宋体"/>
                <w:b/>
                <w:szCs w:val="21"/>
                <w:highlight w:val="none"/>
              </w:rPr>
            </w:pPr>
            <w:r>
              <w:rPr>
                <w:rFonts w:hint="eastAsia" w:ascii="宋体" w:hAnsi="宋体" w:cs="宋体"/>
                <w:szCs w:val="21"/>
                <w:highlight w:val="none"/>
              </w:rPr>
              <w:t>信用记录审查</w:t>
            </w:r>
          </w:p>
        </w:tc>
        <w:tc>
          <w:tcPr>
            <w:tcW w:w="6854" w:type="dxa"/>
            <w:gridSpan w:val="2"/>
            <w:vAlign w:val="center"/>
          </w:tcPr>
          <w:p w14:paraId="5D8A1FD6">
            <w:pPr>
              <w:topLinePunct/>
              <w:autoSpaceDE w:val="0"/>
              <w:autoSpaceDN w:val="0"/>
              <w:spacing w:line="340" w:lineRule="exact"/>
              <w:rPr>
                <w:rFonts w:ascii="宋体" w:hAnsi="宋体" w:cs="宋体"/>
                <w:snapToGrid w:val="0"/>
                <w:szCs w:val="21"/>
                <w:highlight w:val="none"/>
              </w:rPr>
            </w:pPr>
            <w:r>
              <w:rPr>
                <w:rFonts w:hint="eastAsia" w:ascii="宋体" w:hAnsi="宋体" w:cs="宋体"/>
                <w:szCs w:val="21"/>
                <w:highlight w:val="none"/>
              </w:rPr>
              <w:t>根据《财政部关于在政府采购活动中查询及使用信用记录有关问题的通知》（财库〔2016〕125号）规定，开标结束后，采购人、采购代理机构将通过“信用中国”网站（www.creditchina.gov.cn）、中国政府采购网（</w:t>
            </w:r>
            <w:r>
              <w:rPr>
                <w:rFonts w:hint="eastAsia"/>
                <w:highlight w:val="none"/>
              </w:rPr>
              <w:fldChar w:fldCharType="begin"/>
            </w:r>
            <w:r>
              <w:rPr>
                <w:highlight w:val="none"/>
              </w:rPr>
              <w:instrText xml:space="preserve"> HYPERLINK "http://www.ccgp.gov.cn" </w:instrText>
            </w:r>
            <w:r>
              <w:rPr>
                <w:rFonts w:hint="eastAsia"/>
                <w:highlight w:val="none"/>
              </w:rPr>
              <w:fldChar w:fldCharType="separate"/>
            </w:r>
            <w:r>
              <w:rPr>
                <w:rFonts w:hint="eastAsia" w:ascii="宋体" w:hAnsi="宋体" w:cs="宋体"/>
                <w:szCs w:val="21"/>
                <w:highlight w:val="none"/>
              </w:rPr>
              <w:t>www.ccgp.gov.cn</w:t>
            </w:r>
            <w:r>
              <w:rPr>
                <w:rFonts w:hint="eastAsia" w:ascii="宋体" w:hAnsi="宋体" w:cs="宋体"/>
                <w:szCs w:val="21"/>
                <w:highlight w:val="none"/>
              </w:rPr>
              <w:fldChar w:fldCharType="end"/>
            </w:r>
            <w:r>
              <w:rPr>
                <w:rFonts w:hint="eastAsia" w:ascii="宋体" w:hAnsi="宋体" w:cs="宋体"/>
                <w:szCs w:val="21"/>
                <w:highlight w:val="none"/>
              </w:rPr>
              <w:t>），对投标人截止到投标截止时间的信用记录进行审查，对列入失信被执行人、重大税收违法案件当事人名单、政府采购严重违法失信行为记录名单及其他不符合《中华人民共和国政府采购法》第二十二条规定条件的投标人，其投标将被拒绝。</w:t>
            </w:r>
          </w:p>
          <w:p w14:paraId="7C6EC15E">
            <w:pPr>
              <w:topLinePunct/>
              <w:autoSpaceDE w:val="0"/>
              <w:autoSpaceDN w:val="0"/>
              <w:adjustRightInd w:val="0"/>
              <w:spacing w:line="340" w:lineRule="exact"/>
              <w:rPr>
                <w:rFonts w:ascii="宋体" w:hAnsi="宋体" w:cs="宋体"/>
                <w:szCs w:val="21"/>
                <w:highlight w:val="none"/>
              </w:rPr>
            </w:pPr>
            <w:r>
              <w:rPr>
                <w:rFonts w:hint="eastAsia" w:ascii="宋体" w:hAnsi="宋体" w:cs="宋体"/>
                <w:szCs w:val="21"/>
                <w:highlight w:val="none"/>
              </w:rPr>
              <w:t>本次查询的信用记录仅限于本项目使用，查询结果将留存在采购档案中。</w:t>
            </w:r>
          </w:p>
          <w:p w14:paraId="12A9D110">
            <w:pPr>
              <w:adjustRightInd w:val="0"/>
              <w:spacing w:line="340" w:lineRule="exact"/>
              <w:jc w:val="left"/>
              <w:rPr>
                <w:rFonts w:ascii="宋体" w:hAnsi="宋体" w:cs="宋体"/>
                <w:szCs w:val="21"/>
                <w:highlight w:val="none"/>
              </w:rPr>
            </w:pPr>
            <w:r>
              <w:rPr>
                <w:rFonts w:hint="eastAsia" w:ascii="宋体" w:hAnsi="宋体" w:cs="宋体"/>
                <w:szCs w:val="21"/>
                <w:highlight w:val="none"/>
              </w:rPr>
              <w:t>在上述指定网站不能查询信用信息的投标人，应在投标文件中提供相关证明材料（原件加盖公章）。</w:t>
            </w:r>
          </w:p>
        </w:tc>
      </w:tr>
      <w:tr w14:paraId="5775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9934594">
            <w:pPr>
              <w:adjustRightIn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1</w:t>
            </w:r>
          </w:p>
        </w:tc>
        <w:tc>
          <w:tcPr>
            <w:tcW w:w="1701" w:type="dxa"/>
            <w:vAlign w:val="center"/>
          </w:tcPr>
          <w:p w14:paraId="50AF814E">
            <w:pPr>
              <w:topLinePunct/>
              <w:autoSpaceDE w:val="0"/>
              <w:autoSpaceDN w:val="0"/>
              <w:adjustRightInd w:val="0"/>
              <w:spacing w:line="340" w:lineRule="exact"/>
              <w:jc w:val="center"/>
              <w:rPr>
                <w:rFonts w:ascii="宋体" w:hAnsi="宋体" w:cs="宋体"/>
                <w:b/>
                <w:szCs w:val="21"/>
                <w:highlight w:val="none"/>
              </w:rPr>
            </w:pPr>
            <w:r>
              <w:rPr>
                <w:rFonts w:hint="eastAsia" w:ascii="宋体" w:hAnsi="宋体" w:cs="宋体"/>
                <w:szCs w:val="21"/>
                <w:highlight w:val="none"/>
              </w:rPr>
              <w:t>支持中小型企业发展</w:t>
            </w:r>
          </w:p>
        </w:tc>
        <w:tc>
          <w:tcPr>
            <w:tcW w:w="6854" w:type="dxa"/>
            <w:gridSpan w:val="2"/>
            <w:vAlign w:val="center"/>
          </w:tcPr>
          <w:p w14:paraId="2FFEFD4C">
            <w:pPr>
              <w:adjustRightInd w:val="0"/>
              <w:spacing w:line="340" w:lineRule="exact"/>
              <w:rPr>
                <w:rFonts w:ascii="宋体" w:hAnsi="宋体" w:cs="宋体"/>
                <w:color w:val="auto"/>
                <w:szCs w:val="21"/>
                <w:highlight w:val="none"/>
              </w:rPr>
            </w:pPr>
            <w:r>
              <w:rPr>
                <w:rFonts w:hint="eastAsia" w:ascii="宋体" w:hAnsi="宋体" w:cs="宋体"/>
                <w:color w:val="auto"/>
                <w:szCs w:val="21"/>
                <w:highlight w:val="none"/>
              </w:rPr>
              <w:t>根据《政府采购促进中小型企业发展管理办法》（财库〔2020〕46号），鼓励中小企业参加本项目采购活动。</w:t>
            </w:r>
          </w:p>
          <w:p w14:paraId="7601A4BF">
            <w:pPr>
              <w:adjustRightInd w:val="0"/>
              <w:spacing w:line="340" w:lineRule="exact"/>
              <w:rPr>
                <w:rFonts w:ascii="宋体" w:hAnsi="宋体" w:cs="宋体"/>
                <w:color w:val="auto"/>
                <w:szCs w:val="21"/>
                <w:highlight w:val="none"/>
              </w:rPr>
            </w:pPr>
            <w:r>
              <w:rPr>
                <w:rFonts w:hint="eastAsia" w:ascii="宋体" w:hAnsi="宋体" w:cs="宋体"/>
                <w:color w:val="auto"/>
                <w:szCs w:val="21"/>
                <w:highlight w:val="none"/>
              </w:rPr>
              <w:t>在货物采购项目中，满足所有标的均由中小企业制造，即所有标的均由中小企业生产且使用该中小企业商号或者注册商标的，可享受中小企业扶持政策。</w:t>
            </w:r>
          </w:p>
          <w:p w14:paraId="77B30B65">
            <w:pPr>
              <w:adjustRightInd w:val="0"/>
              <w:spacing w:line="340" w:lineRule="exact"/>
              <w:rPr>
                <w:rFonts w:ascii="宋体" w:hAnsi="宋体" w:cs="宋体"/>
                <w:color w:val="auto"/>
                <w:szCs w:val="21"/>
                <w:highlight w:val="none"/>
              </w:rPr>
            </w:pPr>
            <w:r>
              <w:rPr>
                <w:rFonts w:hint="eastAsia" w:ascii="宋体" w:hAnsi="宋体" w:cs="宋体"/>
                <w:color w:val="auto"/>
                <w:szCs w:val="21"/>
                <w:highlight w:val="none"/>
              </w:rPr>
              <w:t>在服务采购项目中，满足服务由中小企业承接，即提供服务的人员为中小企业依照《中华人民共和国劳动合同法》订立劳动合同的从业人员的，可享受中小企业扶持政策。</w:t>
            </w:r>
          </w:p>
          <w:p w14:paraId="0F3BEDE9">
            <w:pPr>
              <w:adjustRightInd w:val="0"/>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采购标的对应的中小企业划分标准所属行业</w:t>
            </w:r>
            <w:r>
              <w:rPr>
                <w:rFonts w:hint="eastAsia" w:ascii="宋体" w:hAnsi="宋体" w:cs="宋体"/>
                <w:color w:val="auto"/>
                <w:szCs w:val="21"/>
                <w:highlight w:val="none"/>
                <w:lang w:eastAsia="zh-CN"/>
              </w:rPr>
              <w:t>：</w:t>
            </w:r>
            <w:r>
              <w:rPr>
                <w:rFonts w:hint="eastAsia" w:ascii="宋体" w:hAnsi="宋体" w:cs="宋体"/>
                <w:b/>
                <w:bCs/>
                <w:color w:val="auto"/>
                <w:szCs w:val="21"/>
                <w:highlight w:val="none"/>
                <w:u w:val="single"/>
                <w:lang w:val="zh-CN" w:eastAsia="zh-CN"/>
              </w:rPr>
              <w:t>软件和信息技术服务业</w:t>
            </w:r>
          </w:p>
          <w:p w14:paraId="1A10F6B2">
            <w:pPr>
              <w:adjustRightInd w:val="0"/>
              <w:spacing w:line="340" w:lineRule="exact"/>
              <w:rPr>
                <w:rFonts w:ascii="宋体" w:hAnsi="宋体" w:cs="宋体"/>
                <w:color w:val="auto"/>
                <w:szCs w:val="21"/>
                <w:highlight w:val="none"/>
              </w:rPr>
            </w:pPr>
            <w:r>
              <w:rPr>
                <w:rFonts w:hint="eastAsia" w:ascii="宋体" w:hAnsi="宋体" w:cs="宋体"/>
                <w:color w:val="auto"/>
                <w:szCs w:val="21"/>
                <w:highlight w:val="none"/>
              </w:rPr>
              <w:t>本项目：</w:t>
            </w:r>
          </w:p>
          <w:p w14:paraId="091CADD4">
            <w:pPr>
              <w:adjustRightInd w:val="0"/>
              <w:spacing w:line="340" w:lineRule="exac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专门面向中小企业采购项目。</w:t>
            </w:r>
          </w:p>
          <w:p w14:paraId="32ED93BA">
            <w:pPr>
              <w:adjustRightInd w:val="0"/>
              <w:spacing w:line="340" w:lineRule="exact"/>
              <w:rPr>
                <w:rFonts w:ascii="宋体" w:hAnsi="宋体" w:cs="宋体"/>
                <w:color w:val="auto"/>
                <w:szCs w:val="21"/>
                <w:highlight w:val="none"/>
              </w:rPr>
            </w:pPr>
            <w:r>
              <w:rPr>
                <w:rFonts w:hint="eastAsia" w:ascii="宋体" w:hAnsi="宋体" w:cs="宋体"/>
                <w:color w:val="auto"/>
                <w:szCs w:val="21"/>
                <w:highlight w:val="none"/>
              </w:rPr>
              <w:t>□ 预留份额面向中小企业采购项目（说明：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25670B1">
            <w:pPr>
              <w:adjustRightInd w:val="0"/>
              <w:spacing w:line="340" w:lineRule="exact"/>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ascii="宋体" w:hAnsi="宋体" w:cs="宋体"/>
                <w:color w:val="auto"/>
                <w:szCs w:val="21"/>
                <w:highlight w:val="none"/>
              </w:rPr>
              <w:t xml:space="preserve"> </w:t>
            </w:r>
            <w:r>
              <w:rPr>
                <w:rFonts w:hint="eastAsia" w:ascii="宋体" w:hAnsi="宋体" w:cs="宋体"/>
                <w:color w:val="auto"/>
                <w:szCs w:val="21"/>
                <w:highlight w:val="none"/>
              </w:rPr>
              <w:t>非专门面向中小企业采购项目。对小型和微型企业的投标价格给予</w:t>
            </w:r>
            <w:r>
              <w:rPr>
                <w:rFonts w:hint="eastAsia" w:ascii="宋体" w:hAnsi="宋体" w:cs="宋体"/>
                <w:color w:val="auto"/>
                <w:szCs w:val="21"/>
                <w:highlight w:val="none"/>
                <w:u w:val="single"/>
              </w:rPr>
              <w:t xml:space="preserve"> 15 </w:t>
            </w:r>
            <w:r>
              <w:rPr>
                <w:rFonts w:hint="eastAsia" w:ascii="宋体" w:hAnsi="宋体" w:cs="宋体"/>
                <w:color w:val="auto"/>
                <w:szCs w:val="21"/>
                <w:highlight w:val="none"/>
              </w:rPr>
              <w:t>%的扣除，用扣除后的价格参与评审。</w:t>
            </w:r>
          </w:p>
        </w:tc>
      </w:tr>
      <w:tr w14:paraId="6143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FF1059F">
            <w:pPr>
              <w:adjustRightIn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2</w:t>
            </w:r>
          </w:p>
        </w:tc>
        <w:tc>
          <w:tcPr>
            <w:tcW w:w="1701" w:type="dxa"/>
            <w:vAlign w:val="center"/>
          </w:tcPr>
          <w:p w14:paraId="79FA4D21">
            <w:pPr>
              <w:topLinePunct/>
              <w:autoSpaceDE w:val="0"/>
              <w:autoSpaceDN w:val="0"/>
              <w:adjustRightInd w:val="0"/>
              <w:spacing w:line="340" w:lineRule="exact"/>
              <w:jc w:val="center"/>
              <w:rPr>
                <w:rFonts w:ascii="宋体" w:hAnsi="宋体" w:cs="宋体"/>
                <w:b/>
                <w:szCs w:val="21"/>
                <w:highlight w:val="none"/>
              </w:rPr>
            </w:pPr>
            <w:r>
              <w:rPr>
                <w:rFonts w:hint="eastAsia" w:ascii="宋体" w:hAnsi="宋体" w:cs="宋体"/>
                <w:szCs w:val="21"/>
                <w:highlight w:val="none"/>
              </w:rPr>
              <w:t>支持监狱企业发展</w:t>
            </w:r>
          </w:p>
        </w:tc>
        <w:tc>
          <w:tcPr>
            <w:tcW w:w="6854" w:type="dxa"/>
            <w:gridSpan w:val="2"/>
            <w:vAlign w:val="center"/>
          </w:tcPr>
          <w:p w14:paraId="25184BCD">
            <w:pPr>
              <w:adjustRightInd w:val="0"/>
              <w:spacing w:line="340" w:lineRule="exact"/>
              <w:jc w:val="left"/>
              <w:rPr>
                <w:rFonts w:ascii="宋体" w:hAnsi="宋体" w:cs="宋体"/>
                <w:b/>
                <w:color w:val="auto"/>
                <w:szCs w:val="21"/>
                <w:highlight w:val="none"/>
              </w:rPr>
            </w:pPr>
            <w:r>
              <w:rPr>
                <w:rFonts w:hint="eastAsia" w:ascii="宋体" w:hAnsi="宋体" w:cs="宋体"/>
                <w:color w:val="auto"/>
                <w:szCs w:val="21"/>
                <w:highlight w:val="none"/>
              </w:rPr>
              <w:t>根据《关于政府采购支持监狱企业发展有关问题的通知》（财库〔2014〕68号），监狱企业视同小型、微型企业，按照</w:t>
            </w:r>
            <w:r>
              <w:rPr>
                <w:rFonts w:hint="eastAsia" w:ascii="宋体" w:hAnsi="宋体" w:cs="宋体"/>
                <w:b/>
                <w:bCs/>
                <w:color w:val="auto"/>
                <w:szCs w:val="21"/>
                <w:highlight w:val="none"/>
              </w:rPr>
              <w:t>投标人须知前附表第2</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项</w:t>
            </w:r>
            <w:r>
              <w:rPr>
                <w:rFonts w:ascii="Times New Roman" w:hAnsi="Times New Roman"/>
                <w:szCs w:val="21"/>
                <w:highlight w:val="none"/>
              </w:rPr>
              <w:t>享受中小企业扶持政策。</w:t>
            </w:r>
          </w:p>
        </w:tc>
      </w:tr>
      <w:tr w14:paraId="4B95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BB66C43">
            <w:pPr>
              <w:adjustRightIn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3</w:t>
            </w:r>
          </w:p>
        </w:tc>
        <w:tc>
          <w:tcPr>
            <w:tcW w:w="1701" w:type="dxa"/>
            <w:vAlign w:val="center"/>
          </w:tcPr>
          <w:p w14:paraId="75F9278E">
            <w:pPr>
              <w:topLinePunct/>
              <w:autoSpaceDE w:val="0"/>
              <w:autoSpaceDN w:val="0"/>
              <w:adjustRightInd w:val="0"/>
              <w:spacing w:line="340" w:lineRule="exact"/>
              <w:jc w:val="center"/>
              <w:rPr>
                <w:rFonts w:ascii="宋体" w:hAnsi="宋体" w:cs="宋体"/>
                <w:szCs w:val="21"/>
                <w:highlight w:val="none"/>
              </w:rPr>
            </w:pPr>
            <w:r>
              <w:rPr>
                <w:rFonts w:hint="eastAsia" w:ascii="宋体" w:hAnsi="宋体" w:cs="宋体"/>
                <w:szCs w:val="21"/>
                <w:highlight w:val="none"/>
              </w:rPr>
              <w:t>促进残疾人</w:t>
            </w:r>
          </w:p>
          <w:p w14:paraId="0A816F7A">
            <w:pPr>
              <w:topLinePunct/>
              <w:autoSpaceDE w:val="0"/>
              <w:autoSpaceDN w:val="0"/>
              <w:adjustRightInd w:val="0"/>
              <w:spacing w:line="340" w:lineRule="exact"/>
              <w:jc w:val="center"/>
              <w:rPr>
                <w:rFonts w:ascii="宋体" w:hAnsi="宋体" w:cs="宋体"/>
                <w:szCs w:val="21"/>
                <w:highlight w:val="none"/>
              </w:rPr>
            </w:pPr>
            <w:r>
              <w:rPr>
                <w:rFonts w:hint="eastAsia" w:ascii="宋体" w:hAnsi="宋体" w:cs="宋体"/>
                <w:szCs w:val="21"/>
                <w:highlight w:val="none"/>
              </w:rPr>
              <w:t>就业</w:t>
            </w:r>
          </w:p>
        </w:tc>
        <w:tc>
          <w:tcPr>
            <w:tcW w:w="6854" w:type="dxa"/>
            <w:gridSpan w:val="2"/>
            <w:vAlign w:val="center"/>
          </w:tcPr>
          <w:p w14:paraId="71D6A2DF">
            <w:pPr>
              <w:adjustRightInd w:val="0"/>
              <w:spacing w:line="340" w:lineRule="exact"/>
              <w:rPr>
                <w:rFonts w:ascii="宋体" w:hAnsi="宋体" w:cs="宋体"/>
                <w:color w:val="auto"/>
                <w:szCs w:val="21"/>
                <w:highlight w:val="none"/>
              </w:rPr>
            </w:pPr>
            <w:r>
              <w:rPr>
                <w:rFonts w:hint="eastAsia" w:ascii="宋体" w:hAnsi="宋体" w:cs="宋体"/>
                <w:color w:val="auto"/>
                <w:szCs w:val="21"/>
                <w:highlight w:val="none"/>
              </w:rPr>
              <w:t>根据《关于促进残疾人就业政府采购政策的通知》（财库〔2017〕141号），残疾人福利性单位视同小型、微型企业，按照</w:t>
            </w:r>
            <w:r>
              <w:rPr>
                <w:rFonts w:hint="eastAsia" w:ascii="宋体" w:hAnsi="宋体" w:cs="宋体"/>
                <w:b/>
                <w:bCs/>
                <w:color w:val="auto"/>
                <w:szCs w:val="21"/>
                <w:highlight w:val="none"/>
              </w:rPr>
              <w:t>投标人须知前附表第2</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项</w:t>
            </w:r>
            <w:r>
              <w:rPr>
                <w:rFonts w:ascii="Times New Roman" w:hAnsi="Times New Roman"/>
                <w:szCs w:val="21"/>
                <w:highlight w:val="none"/>
              </w:rPr>
              <w:t>享受中小企业扶持政策。</w:t>
            </w:r>
          </w:p>
        </w:tc>
      </w:tr>
      <w:tr w14:paraId="4EF5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14:paraId="2307F2E6">
            <w:pPr>
              <w:topLinePunct/>
              <w:autoSpaceDE w:val="0"/>
              <w:autoSpaceDN w:val="0"/>
              <w:adjustRightIn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4</w:t>
            </w:r>
          </w:p>
        </w:tc>
        <w:tc>
          <w:tcPr>
            <w:tcW w:w="1701" w:type="dxa"/>
            <w:vMerge w:val="restart"/>
            <w:vAlign w:val="center"/>
          </w:tcPr>
          <w:p w14:paraId="245CFB1F">
            <w:pPr>
              <w:topLinePunct/>
              <w:autoSpaceDE w:val="0"/>
              <w:autoSpaceDN w:val="0"/>
              <w:adjustRightInd w:val="0"/>
              <w:spacing w:line="340" w:lineRule="exact"/>
              <w:jc w:val="center"/>
              <w:rPr>
                <w:rFonts w:ascii="宋体" w:hAnsi="宋体" w:cs="宋体"/>
                <w:b/>
                <w:szCs w:val="21"/>
                <w:highlight w:val="none"/>
              </w:rPr>
            </w:pPr>
            <w:r>
              <w:rPr>
                <w:rFonts w:hint="eastAsia" w:ascii="宋体" w:hAnsi="宋体" w:cs="宋体"/>
                <w:szCs w:val="21"/>
                <w:highlight w:val="none"/>
              </w:rPr>
              <w:t>其他法律法规强制性规定或扶持政策</w:t>
            </w:r>
          </w:p>
        </w:tc>
        <w:tc>
          <w:tcPr>
            <w:tcW w:w="6854" w:type="dxa"/>
            <w:gridSpan w:val="2"/>
            <w:vAlign w:val="center"/>
          </w:tcPr>
          <w:p w14:paraId="4E3FC4A1">
            <w:pPr>
              <w:spacing w:line="340" w:lineRule="exact"/>
              <w:rPr>
                <w:rFonts w:ascii="宋体" w:hAnsi="宋体" w:cs="宋体"/>
                <w:color w:val="auto"/>
                <w:szCs w:val="21"/>
                <w:highlight w:val="none"/>
              </w:rPr>
            </w:pPr>
            <w:r>
              <w:rPr>
                <w:rFonts w:hint="eastAsia" w:ascii="宋体" w:hAnsi="宋体" w:cs="宋体"/>
                <w:color w:val="auto"/>
                <w:szCs w:val="21"/>
                <w:highlight w:val="none"/>
              </w:rPr>
              <w:t>本项目中强制采购节能产品的货物名称：</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F58F549">
            <w:pPr>
              <w:topLinePunct/>
              <w:autoSpaceDE w:val="0"/>
              <w:autoSpaceDN w:val="0"/>
              <w:adjustRightInd w:val="0"/>
              <w:spacing w:line="340" w:lineRule="exact"/>
              <w:rPr>
                <w:rFonts w:ascii="宋体" w:hAnsi="宋体" w:cs="宋体"/>
                <w:b/>
                <w:color w:val="auto"/>
                <w:szCs w:val="21"/>
                <w:highlight w:val="none"/>
              </w:rPr>
            </w:pPr>
            <w:r>
              <w:rPr>
                <w:rFonts w:hint="eastAsia" w:ascii="宋体" w:hAnsi="宋体" w:cs="宋体"/>
                <w:color w:val="auto"/>
                <w:szCs w:val="21"/>
                <w:highlight w:val="none"/>
              </w:rPr>
              <w:t>注：投标人所投上述产品必须具有节能产品认证证书，并提供依据国家确定的认证机构出具的、处于有效期之内的节能产品认证证书复印件，否则投标无效。</w:t>
            </w:r>
          </w:p>
        </w:tc>
      </w:tr>
      <w:tr w14:paraId="05F5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4735FD35">
            <w:pPr>
              <w:topLinePunct/>
              <w:autoSpaceDE w:val="0"/>
              <w:autoSpaceDN w:val="0"/>
              <w:adjustRightInd w:val="0"/>
              <w:spacing w:before="240" w:after="120" w:line="340" w:lineRule="exact"/>
              <w:jc w:val="center"/>
              <w:rPr>
                <w:rFonts w:ascii="宋体" w:hAnsi="宋体" w:cs="宋体"/>
                <w:szCs w:val="21"/>
                <w:highlight w:val="none"/>
              </w:rPr>
            </w:pPr>
          </w:p>
        </w:tc>
        <w:tc>
          <w:tcPr>
            <w:tcW w:w="1701" w:type="dxa"/>
            <w:vMerge w:val="continue"/>
            <w:vAlign w:val="center"/>
          </w:tcPr>
          <w:p w14:paraId="26E4135C">
            <w:pPr>
              <w:topLinePunct/>
              <w:autoSpaceDE w:val="0"/>
              <w:autoSpaceDN w:val="0"/>
              <w:adjustRightInd w:val="0"/>
              <w:spacing w:line="340" w:lineRule="exact"/>
              <w:jc w:val="center"/>
              <w:rPr>
                <w:rFonts w:ascii="宋体" w:hAnsi="宋体" w:cs="宋体"/>
                <w:szCs w:val="21"/>
                <w:highlight w:val="none"/>
              </w:rPr>
            </w:pPr>
          </w:p>
        </w:tc>
        <w:tc>
          <w:tcPr>
            <w:tcW w:w="6854" w:type="dxa"/>
            <w:gridSpan w:val="2"/>
            <w:vAlign w:val="center"/>
          </w:tcPr>
          <w:p w14:paraId="3E826AF3">
            <w:pPr>
              <w:spacing w:line="340" w:lineRule="exact"/>
              <w:rPr>
                <w:rFonts w:ascii="宋体" w:hAnsi="宋体" w:cs="宋体"/>
                <w:color w:val="auto"/>
                <w:szCs w:val="21"/>
                <w:highlight w:val="none"/>
              </w:rPr>
            </w:pPr>
            <w:r>
              <w:rPr>
                <w:rFonts w:hint="eastAsia" w:ascii="宋体" w:hAnsi="宋体" w:cs="宋体"/>
                <w:color w:val="auto"/>
                <w:szCs w:val="21"/>
                <w:highlight w:val="none"/>
              </w:rPr>
              <w:t>本项目中采购信息安全产品的货物名称：</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0E4FCED">
            <w:pPr>
              <w:topLinePunct/>
              <w:autoSpaceDE w:val="0"/>
              <w:autoSpaceDN w:val="0"/>
              <w:adjustRightInd w:val="0"/>
              <w:spacing w:line="340" w:lineRule="exact"/>
              <w:rPr>
                <w:rFonts w:ascii="宋体" w:hAnsi="宋体" w:cs="宋体"/>
                <w:b/>
                <w:color w:val="auto"/>
                <w:szCs w:val="21"/>
                <w:highlight w:val="none"/>
              </w:rPr>
            </w:pPr>
            <w:r>
              <w:rPr>
                <w:rFonts w:hint="eastAsia" w:ascii="宋体" w:hAnsi="宋体" w:cs="宋体"/>
                <w:color w:val="auto"/>
                <w:szCs w:val="21"/>
                <w:highlight w:val="none"/>
              </w:rPr>
              <w:t>注：投标人所投上述产品需为国家认证的信息安全产品，并提供由中国网络安全审查技术与认证中心（原中国信息安全认证中心）按国家标准认证颁发的有效认证证书复印件，否则投标无效。</w:t>
            </w:r>
          </w:p>
        </w:tc>
      </w:tr>
      <w:tr w14:paraId="706E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2997B796">
            <w:pPr>
              <w:topLinePunct/>
              <w:autoSpaceDE w:val="0"/>
              <w:autoSpaceDN w:val="0"/>
              <w:adjustRightInd w:val="0"/>
              <w:spacing w:line="340" w:lineRule="exact"/>
              <w:jc w:val="center"/>
              <w:rPr>
                <w:rFonts w:ascii="宋体" w:hAnsi="宋体" w:cs="宋体"/>
                <w:szCs w:val="21"/>
                <w:highlight w:val="none"/>
              </w:rPr>
            </w:pPr>
          </w:p>
        </w:tc>
        <w:tc>
          <w:tcPr>
            <w:tcW w:w="1701" w:type="dxa"/>
            <w:vMerge w:val="continue"/>
            <w:vAlign w:val="center"/>
          </w:tcPr>
          <w:p w14:paraId="551DA8F4">
            <w:pPr>
              <w:topLinePunct/>
              <w:autoSpaceDE w:val="0"/>
              <w:autoSpaceDN w:val="0"/>
              <w:adjustRightInd w:val="0"/>
              <w:spacing w:line="340" w:lineRule="exact"/>
              <w:jc w:val="center"/>
              <w:rPr>
                <w:rFonts w:ascii="宋体" w:hAnsi="宋体" w:cs="宋体"/>
                <w:szCs w:val="21"/>
                <w:highlight w:val="none"/>
              </w:rPr>
            </w:pPr>
          </w:p>
        </w:tc>
        <w:tc>
          <w:tcPr>
            <w:tcW w:w="6854" w:type="dxa"/>
            <w:gridSpan w:val="2"/>
            <w:vAlign w:val="center"/>
          </w:tcPr>
          <w:p w14:paraId="70DE0BF8">
            <w:pPr>
              <w:topLinePunct/>
              <w:autoSpaceDE w:val="0"/>
              <w:autoSpaceDN w:val="0"/>
              <w:adjustRightInd w:val="0"/>
              <w:spacing w:line="340" w:lineRule="exact"/>
              <w:rPr>
                <w:rFonts w:ascii="宋体" w:hAnsi="宋体" w:cs="宋体"/>
                <w:color w:val="auto"/>
                <w:szCs w:val="21"/>
                <w:highlight w:val="none"/>
              </w:rPr>
            </w:pPr>
            <w:r>
              <w:rPr>
                <w:rFonts w:hint="eastAsia" w:ascii="宋体" w:hAnsi="宋体" w:cs="宋体"/>
                <w:color w:val="auto"/>
                <w:szCs w:val="21"/>
                <w:highlight w:val="none"/>
              </w:rPr>
              <w:t>其他法律法规强制性规定或扶持政策：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42BA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A91B728">
            <w:pPr>
              <w:adjustRightIn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5</w:t>
            </w:r>
          </w:p>
        </w:tc>
        <w:tc>
          <w:tcPr>
            <w:tcW w:w="1701" w:type="dxa"/>
            <w:vAlign w:val="center"/>
          </w:tcPr>
          <w:p w14:paraId="182F7451">
            <w:pPr>
              <w:tabs>
                <w:tab w:val="left" w:pos="1875"/>
              </w:tabs>
              <w:adjustRightInd w:val="0"/>
              <w:spacing w:line="340" w:lineRule="exact"/>
              <w:jc w:val="center"/>
              <w:rPr>
                <w:rFonts w:ascii="宋体" w:hAnsi="宋体" w:cs="宋体"/>
                <w:b/>
                <w:szCs w:val="21"/>
                <w:highlight w:val="none"/>
              </w:rPr>
            </w:pPr>
            <w:r>
              <w:rPr>
                <w:rFonts w:hint="eastAsia" w:ascii="宋体" w:hAnsi="宋体" w:cs="宋体"/>
                <w:szCs w:val="21"/>
                <w:highlight w:val="none"/>
              </w:rPr>
              <w:t>评标方法及分值</w:t>
            </w:r>
          </w:p>
        </w:tc>
        <w:tc>
          <w:tcPr>
            <w:tcW w:w="6854" w:type="dxa"/>
            <w:gridSpan w:val="2"/>
            <w:vAlign w:val="center"/>
          </w:tcPr>
          <w:p w14:paraId="2EF9B265">
            <w:pPr>
              <w:adjustRightIn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sym w:font="Wingdings 2" w:char="F0A3"/>
            </w:r>
            <w:r>
              <w:rPr>
                <w:rFonts w:ascii="宋体" w:hAnsi="宋体" w:cs="宋体"/>
                <w:color w:val="auto"/>
                <w:szCs w:val="21"/>
                <w:highlight w:val="none"/>
              </w:rPr>
              <w:t xml:space="preserve"> </w:t>
            </w:r>
            <w:r>
              <w:rPr>
                <w:rFonts w:hint="eastAsia" w:ascii="宋体" w:hAnsi="宋体" w:cs="宋体"/>
                <w:color w:val="auto"/>
                <w:szCs w:val="21"/>
                <w:highlight w:val="none"/>
              </w:rPr>
              <w:t>本项目采用最低评标价法，详见招标文件商务部分第三章。</w:t>
            </w:r>
          </w:p>
          <w:p w14:paraId="2F0F2369">
            <w:pPr>
              <w:adjustRightIn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ascii="宋体" w:hAnsi="宋体" w:cs="宋体"/>
                <w:color w:val="auto"/>
                <w:szCs w:val="21"/>
                <w:highlight w:val="none"/>
              </w:rPr>
              <w:t xml:space="preserve"> </w:t>
            </w:r>
            <w:r>
              <w:rPr>
                <w:rFonts w:hint="eastAsia" w:ascii="宋体" w:hAnsi="宋体" w:cs="宋体"/>
                <w:color w:val="auto"/>
                <w:szCs w:val="21"/>
                <w:highlight w:val="none"/>
              </w:rPr>
              <w:t>本项目采用综合评分法，其中价格分值为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分，其他因素分值为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0 </w:t>
            </w:r>
            <w:r>
              <w:rPr>
                <w:rFonts w:hint="eastAsia" w:ascii="宋体" w:hAnsi="宋体" w:cs="宋体"/>
                <w:color w:val="auto"/>
                <w:szCs w:val="21"/>
                <w:highlight w:val="none"/>
              </w:rPr>
              <w:t>分，详见招标文件商务部分第三章。</w:t>
            </w:r>
          </w:p>
        </w:tc>
      </w:tr>
      <w:tr w14:paraId="1734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A427455">
            <w:pPr>
              <w:adjustRightIn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6</w:t>
            </w:r>
          </w:p>
        </w:tc>
        <w:tc>
          <w:tcPr>
            <w:tcW w:w="1701" w:type="dxa"/>
            <w:vAlign w:val="center"/>
          </w:tcPr>
          <w:p w14:paraId="40447B61">
            <w:pPr>
              <w:topLinePunct/>
              <w:autoSpaceDE w:val="0"/>
              <w:autoSpaceDN w:val="0"/>
              <w:adjustRightInd w:val="0"/>
              <w:spacing w:line="340" w:lineRule="exact"/>
              <w:jc w:val="center"/>
              <w:rPr>
                <w:rFonts w:ascii="宋体" w:hAnsi="宋体" w:cs="宋体"/>
                <w:b/>
                <w:szCs w:val="21"/>
                <w:highlight w:val="none"/>
              </w:rPr>
            </w:pPr>
            <w:r>
              <w:rPr>
                <w:rFonts w:hint="eastAsia" w:ascii="宋体" w:hAnsi="宋体" w:cs="宋体"/>
                <w:szCs w:val="21"/>
                <w:highlight w:val="none"/>
              </w:rPr>
              <w:t>履约保证金</w:t>
            </w:r>
          </w:p>
        </w:tc>
        <w:tc>
          <w:tcPr>
            <w:tcW w:w="6854" w:type="dxa"/>
            <w:gridSpan w:val="2"/>
            <w:vAlign w:val="center"/>
          </w:tcPr>
          <w:p w14:paraId="7F1CC7ED">
            <w:pPr>
              <w:adjustRightIn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ascii="宋体" w:hAnsi="宋体" w:cs="宋体"/>
                <w:color w:val="auto"/>
                <w:szCs w:val="21"/>
                <w:highlight w:val="none"/>
              </w:rPr>
              <w:t xml:space="preserve"> </w:t>
            </w:r>
            <w:r>
              <w:rPr>
                <w:rFonts w:hint="eastAsia" w:ascii="宋体" w:hAnsi="宋体" w:cs="宋体"/>
                <w:color w:val="auto"/>
                <w:szCs w:val="21"/>
                <w:highlight w:val="none"/>
              </w:rPr>
              <w:t>不要求提供</w:t>
            </w:r>
          </w:p>
          <w:p w14:paraId="0A5CC916">
            <w:pPr>
              <w:topLinePunct/>
              <w:autoSpaceDE w:val="0"/>
              <w:autoSpaceDN w:val="0"/>
              <w:adjustRightInd w:val="0"/>
              <w:spacing w:line="340" w:lineRule="exact"/>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ascii="宋体" w:hAnsi="宋体" w:cs="宋体"/>
                <w:color w:val="auto"/>
                <w:szCs w:val="21"/>
                <w:highlight w:val="none"/>
              </w:rPr>
              <w:t xml:space="preserve"> </w:t>
            </w:r>
            <w:r>
              <w:rPr>
                <w:rFonts w:hint="eastAsia" w:ascii="宋体" w:hAnsi="宋体" w:cs="宋体"/>
                <w:color w:val="auto"/>
                <w:szCs w:val="21"/>
                <w:highlight w:val="none"/>
              </w:rPr>
              <w:t>本采购项目履约保证金为人民币</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元整（</w:t>
            </w:r>
            <w:r>
              <w:rPr>
                <w:rFonts w:ascii="Arial" w:hAnsi="Arial" w:cs="Arial"/>
                <w:color w:val="auto"/>
                <w:szCs w:val="21"/>
                <w:highlight w:val="none"/>
              </w:rPr>
              <w:t>¥</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），提交方式为银行电汇、金融机构或担保机构出具的保函。</w:t>
            </w:r>
          </w:p>
          <w:p w14:paraId="01AA6D01">
            <w:pPr>
              <w:topLinePunct/>
              <w:autoSpaceDE w:val="0"/>
              <w:autoSpaceDN w:val="0"/>
              <w:adjustRightInd w:val="0"/>
              <w:spacing w:line="340" w:lineRule="exact"/>
              <w:rPr>
                <w:rFonts w:ascii="宋体" w:hAnsi="宋体" w:cs="宋体"/>
                <w:color w:val="auto"/>
                <w:szCs w:val="21"/>
                <w:highlight w:val="none"/>
              </w:rPr>
            </w:pPr>
            <w:r>
              <w:rPr>
                <w:rFonts w:hint="eastAsia" w:ascii="宋体" w:hAnsi="宋体" w:cs="宋体"/>
                <w:color w:val="auto"/>
                <w:szCs w:val="21"/>
                <w:highlight w:val="none"/>
              </w:rPr>
              <w:t>账户信息：国家税务总局湖南省税务局</w:t>
            </w:r>
          </w:p>
          <w:p w14:paraId="4A128BA0">
            <w:pPr>
              <w:topLinePunct/>
              <w:autoSpaceDE w:val="0"/>
              <w:autoSpaceDN w:val="0"/>
              <w:adjustRightInd w:val="0"/>
              <w:spacing w:line="340" w:lineRule="exact"/>
              <w:rPr>
                <w:rFonts w:ascii="宋体" w:hAnsi="宋体" w:cs="宋体"/>
                <w:color w:val="auto"/>
                <w:szCs w:val="21"/>
                <w:highlight w:val="none"/>
              </w:rPr>
            </w:pPr>
            <w:r>
              <w:rPr>
                <w:rFonts w:hint="eastAsia" w:ascii="宋体" w:hAnsi="宋体" w:cs="宋体"/>
                <w:color w:val="auto"/>
                <w:szCs w:val="21"/>
                <w:highlight w:val="none"/>
              </w:rPr>
              <w:t>收款单位：国家税务总局湖南省税务局</w:t>
            </w:r>
          </w:p>
          <w:p w14:paraId="54168B09">
            <w:pPr>
              <w:topLinePunct/>
              <w:autoSpaceDE w:val="0"/>
              <w:autoSpaceDN w:val="0"/>
              <w:adjustRightInd w:val="0"/>
              <w:spacing w:line="340" w:lineRule="exact"/>
              <w:rPr>
                <w:rFonts w:ascii="宋体" w:hAnsi="宋体" w:cs="宋体"/>
                <w:color w:val="auto"/>
                <w:szCs w:val="21"/>
                <w:highlight w:val="none"/>
              </w:rPr>
            </w:pPr>
            <w:r>
              <w:rPr>
                <w:rFonts w:hint="eastAsia" w:ascii="宋体" w:hAnsi="宋体" w:cs="宋体"/>
                <w:color w:val="auto"/>
                <w:szCs w:val="21"/>
                <w:highlight w:val="none"/>
              </w:rPr>
              <w:t>开户银行：5989 6218 2255</w:t>
            </w:r>
          </w:p>
          <w:p w14:paraId="25B8D0E7">
            <w:pPr>
              <w:topLinePunct/>
              <w:autoSpaceDE w:val="0"/>
              <w:autoSpaceDN w:val="0"/>
              <w:adjustRightInd w:val="0"/>
              <w:spacing w:line="340" w:lineRule="exact"/>
              <w:rPr>
                <w:rFonts w:ascii="宋体" w:hAnsi="宋体" w:cs="宋体"/>
                <w:color w:val="auto"/>
                <w:szCs w:val="21"/>
                <w:highlight w:val="none"/>
              </w:rPr>
            </w:pPr>
            <w:r>
              <w:rPr>
                <w:rFonts w:hint="eastAsia" w:ascii="宋体" w:hAnsi="宋体" w:cs="宋体"/>
                <w:color w:val="auto"/>
                <w:szCs w:val="21"/>
                <w:highlight w:val="none"/>
              </w:rPr>
              <w:t>银行账号：中国银行长沙市圭塘支行</w:t>
            </w:r>
          </w:p>
          <w:p w14:paraId="0D82D038">
            <w:pPr>
              <w:topLinePunct/>
              <w:autoSpaceDE w:val="0"/>
              <w:autoSpaceDN w:val="0"/>
              <w:adjustRightInd w:val="0"/>
              <w:spacing w:line="340" w:lineRule="exact"/>
              <w:rPr>
                <w:rFonts w:ascii="宋体" w:hAnsi="宋体" w:cs="宋体"/>
                <w:color w:val="auto"/>
                <w:szCs w:val="21"/>
                <w:highlight w:val="none"/>
              </w:rPr>
            </w:pPr>
            <w:r>
              <w:rPr>
                <w:rFonts w:hint="eastAsia" w:hAnsi="宋体" w:cs="宋体"/>
                <w:color w:val="auto"/>
                <w:highlight w:val="none"/>
              </w:rPr>
              <w:t>注：以电汇方式递交履约保证金须在电汇凭据附言栏中写明项目编号及用途（履约保证金）。</w:t>
            </w:r>
          </w:p>
        </w:tc>
      </w:tr>
      <w:tr w14:paraId="6632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3AAE850">
            <w:pPr>
              <w:adjustRightIn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7</w:t>
            </w:r>
          </w:p>
        </w:tc>
        <w:tc>
          <w:tcPr>
            <w:tcW w:w="1701" w:type="dxa"/>
            <w:vAlign w:val="center"/>
          </w:tcPr>
          <w:p w14:paraId="1F394131">
            <w:pPr>
              <w:topLinePunct/>
              <w:autoSpaceDE w:val="0"/>
              <w:autoSpaceDN w:val="0"/>
              <w:adjustRightInd w:val="0"/>
              <w:spacing w:line="340" w:lineRule="exact"/>
              <w:jc w:val="center"/>
              <w:rPr>
                <w:rFonts w:ascii="宋体" w:hAnsi="宋体" w:cs="宋体"/>
                <w:b/>
                <w:szCs w:val="21"/>
                <w:highlight w:val="none"/>
              </w:rPr>
            </w:pPr>
            <w:r>
              <w:rPr>
                <w:rFonts w:hint="eastAsia" w:ascii="宋体" w:hAnsi="宋体" w:cs="宋体"/>
                <w:szCs w:val="21"/>
                <w:highlight w:val="none"/>
              </w:rPr>
              <w:t>接收质疑的方式、部门、电话和通讯地址</w:t>
            </w:r>
          </w:p>
        </w:tc>
        <w:tc>
          <w:tcPr>
            <w:tcW w:w="6854" w:type="dxa"/>
            <w:gridSpan w:val="2"/>
            <w:vAlign w:val="center"/>
          </w:tcPr>
          <w:p w14:paraId="4CAC4C68">
            <w:pPr>
              <w:spacing w:line="340" w:lineRule="exact"/>
              <w:rPr>
                <w:rFonts w:ascii="宋体" w:hAnsi="宋体" w:cs="宋体"/>
                <w:szCs w:val="21"/>
                <w:highlight w:val="none"/>
              </w:rPr>
            </w:pPr>
            <w:r>
              <w:rPr>
                <w:rFonts w:hint="eastAsia" w:ascii="宋体" w:hAnsi="宋体" w:cs="宋体"/>
                <w:szCs w:val="21"/>
                <w:highlight w:val="none"/>
              </w:rPr>
              <w:t>质疑联系方式：</w:t>
            </w:r>
          </w:p>
          <w:p w14:paraId="3585043A">
            <w:pPr>
              <w:spacing w:line="340" w:lineRule="exact"/>
              <w:rPr>
                <w:rFonts w:ascii="宋体" w:hAnsi="宋体" w:cs="宋体"/>
                <w:color w:val="auto"/>
                <w:szCs w:val="21"/>
                <w:highlight w:val="none"/>
                <w:u w:val="single"/>
              </w:rPr>
            </w:pPr>
            <w:r>
              <w:rPr>
                <w:rFonts w:hint="eastAsia" w:ascii="宋体" w:hAnsi="宋体" w:cs="宋体"/>
                <w:szCs w:val="21"/>
                <w:highlight w:val="none"/>
              </w:rPr>
              <w:t>（1）接收质疑函的方</w:t>
            </w:r>
            <w:r>
              <w:rPr>
                <w:rFonts w:hint="eastAsia" w:ascii="宋体" w:hAnsi="宋体" w:cs="宋体"/>
                <w:color w:val="auto"/>
                <w:szCs w:val="21"/>
                <w:highlight w:val="none"/>
              </w:rPr>
              <w:t>式：</w:t>
            </w:r>
            <w:r>
              <w:rPr>
                <w:rFonts w:hint="eastAsia" w:hAnsi="宋体"/>
                <w:color w:val="auto"/>
                <w:highlight w:val="none"/>
              </w:rPr>
              <w:t>供应商应当按国家相关规定向采购人和采购代理机构一并当面提交书面质疑函及相关证明材料。</w:t>
            </w:r>
          </w:p>
          <w:p w14:paraId="7F9C3F42">
            <w:pPr>
              <w:spacing w:line="34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（2）联系部门：</w:t>
            </w:r>
            <w:r>
              <w:rPr>
                <w:rFonts w:hint="eastAsia" w:ascii="宋体" w:hAnsi="宋体" w:cs="宋体"/>
                <w:color w:val="auto"/>
                <w:szCs w:val="21"/>
                <w:highlight w:val="none"/>
                <w:lang w:eastAsia="zh-CN"/>
              </w:rPr>
              <w:t>国家税务总局湖南省税务局</w:t>
            </w:r>
            <w:r>
              <w:rPr>
                <w:rFonts w:hint="eastAsia" w:hAnsi="宋体" w:cs="宋体"/>
                <w:color w:val="auto"/>
                <w:highlight w:val="none"/>
              </w:rPr>
              <w:t>/</w:t>
            </w:r>
            <w:r>
              <w:rPr>
                <w:rFonts w:hint="eastAsia" w:hAnsi="宋体" w:cs="宋体"/>
                <w:color w:val="auto"/>
                <w:highlight w:val="none"/>
                <w:lang w:eastAsia="zh-CN"/>
              </w:rPr>
              <w:t>天鉴国际工程管理有限公司</w:t>
            </w:r>
          </w:p>
          <w:p w14:paraId="63132249">
            <w:pPr>
              <w:spacing w:line="34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（3）联系电话：</w:t>
            </w:r>
            <w:r>
              <w:rPr>
                <w:rFonts w:hint="eastAsia" w:ascii="宋体" w:hAnsi="宋体" w:eastAsia="宋体" w:cs="宋体"/>
                <w:color w:val="auto"/>
                <w:szCs w:val="21"/>
                <w:highlight w:val="none"/>
                <w:lang w:val="zh-CN"/>
              </w:rPr>
              <w:t>0731-8557</w:t>
            </w:r>
            <w:r>
              <w:rPr>
                <w:rFonts w:hint="eastAsia" w:ascii="宋体" w:hAnsi="宋体" w:cs="宋体"/>
                <w:color w:val="auto"/>
                <w:szCs w:val="21"/>
                <w:highlight w:val="none"/>
                <w:lang w:val="en-US" w:eastAsia="zh-CN"/>
              </w:rPr>
              <w:t>9076</w:t>
            </w:r>
            <w:r>
              <w:rPr>
                <w:rFonts w:hint="eastAsia" w:ascii="宋体" w:hAnsi="宋体" w:cs="宋体"/>
                <w:color w:val="auto"/>
                <w:szCs w:val="21"/>
                <w:highlight w:val="none"/>
              </w:rPr>
              <w:t>/</w:t>
            </w:r>
            <w:r>
              <w:rPr>
                <w:rFonts w:hint="eastAsia" w:ascii="宋体" w:hAnsi="宋体" w:cs="宋体"/>
                <w:color w:val="auto"/>
                <w:szCs w:val="21"/>
                <w:highlight w:val="none"/>
                <w:lang w:eastAsia="zh-CN"/>
              </w:rPr>
              <w:t>0731-85713091-8423、13975680067</w:t>
            </w:r>
          </w:p>
          <w:p w14:paraId="26766ACD">
            <w:pPr>
              <w:spacing w:line="34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（4）通讯地址：</w:t>
            </w:r>
            <w:r>
              <w:rPr>
                <w:rFonts w:hint="eastAsia" w:ascii="宋体" w:hAnsi="宋体" w:cs="宋体"/>
                <w:color w:val="auto"/>
                <w:highlight w:val="none"/>
                <w:lang w:eastAsia="zh-CN"/>
              </w:rPr>
              <w:t>长沙市环保西路6号</w:t>
            </w:r>
            <w:r>
              <w:rPr>
                <w:rFonts w:hint="eastAsia" w:ascii="宋体" w:hAnsi="宋体" w:cs="宋体"/>
                <w:color w:val="auto"/>
                <w:highlight w:val="none"/>
              </w:rPr>
              <w:t>/</w:t>
            </w:r>
            <w:r>
              <w:rPr>
                <w:rFonts w:hint="eastAsia" w:ascii="宋体" w:hAnsi="宋体" w:cs="宋体"/>
                <w:color w:val="auto"/>
                <w:highlight w:val="none"/>
                <w:lang w:eastAsia="zh-CN"/>
              </w:rPr>
              <w:t>长沙市雨花区金海路128号天鉴大厦4楼401室</w:t>
            </w:r>
          </w:p>
          <w:p w14:paraId="1A8D0848">
            <w:pPr>
              <w:spacing w:line="340" w:lineRule="exact"/>
              <w:rPr>
                <w:rFonts w:ascii="宋体" w:hAnsi="宋体" w:cs="宋体"/>
                <w:szCs w:val="21"/>
                <w:highlight w:val="none"/>
              </w:rPr>
            </w:pPr>
            <w:r>
              <w:rPr>
                <w:rFonts w:hint="eastAsia" w:ascii="宋体" w:hAnsi="宋体" w:cs="宋体"/>
                <w:color w:val="auto"/>
                <w:szCs w:val="21"/>
                <w:highlight w:val="none"/>
              </w:rPr>
              <w:t>（5）电子邮箱：</w:t>
            </w:r>
            <w:r>
              <w:rPr>
                <w:rFonts w:hint="eastAsia" w:ascii="宋体" w:hAnsi="宋体" w:cs="宋体"/>
                <w:color w:val="auto"/>
                <w:szCs w:val="21"/>
                <w:highlight w:val="none"/>
                <w:u w:val="single"/>
              </w:rPr>
              <w:t>/</w:t>
            </w:r>
          </w:p>
        </w:tc>
      </w:tr>
      <w:tr w14:paraId="1B0B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01D3367">
            <w:pPr>
              <w:adjustRightIn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8</w:t>
            </w:r>
          </w:p>
        </w:tc>
        <w:tc>
          <w:tcPr>
            <w:tcW w:w="1701" w:type="dxa"/>
            <w:vAlign w:val="center"/>
          </w:tcPr>
          <w:p w14:paraId="3F1F673C">
            <w:pPr>
              <w:topLinePunct/>
              <w:autoSpaceDE w:val="0"/>
              <w:autoSpaceDN w:val="0"/>
              <w:adjustRightInd w:val="0"/>
              <w:spacing w:line="340" w:lineRule="exact"/>
              <w:jc w:val="center"/>
              <w:rPr>
                <w:rFonts w:ascii="宋体" w:hAnsi="宋体" w:cs="宋体"/>
                <w:szCs w:val="21"/>
                <w:highlight w:val="none"/>
              </w:rPr>
            </w:pPr>
            <w:r>
              <w:rPr>
                <w:rFonts w:hint="eastAsia" w:ascii="宋体" w:hAnsi="宋体" w:cs="宋体"/>
                <w:szCs w:val="21"/>
                <w:highlight w:val="none"/>
              </w:rPr>
              <w:t>需提交的投标文件份数</w:t>
            </w:r>
          </w:p>
        </w:tc>
        <w:tc>
          <w:tcPr>
            <w:tcW w:w="6854" w:type="dxa"/>
            <w:gridSpan w:val="2"/>
            <w:vAlign w:val="center"/>
          </w:tcPr>
          <w:p w14:paraId="1B55C675">
            <w:pPr>
              <w:spacing w:line="340" w:lineRule="exact"/>
              <w:rPr>
                <w:rFonts w:ascii="宋体" w:hAnsi="宋体" w:cs="宋体"/>
                <w:szCs w:val="21"/>
                <w:highlight w:val="none"/>
              </w:rPr>
            </w:pPr>
            <w:r>
              <w:rPr>
                <w:rFonts w:hint="eastAsia" w:ascii="宋体" w:hAnsi="宋体" w:cs="宋体"/>
                <w:szCs w:val="21"/>
                <w:highlight w:val="none"/>
              </w:rPr>
              <w:t>需提交的投标文件份数：</w:t>
            </w:r>
          </w:p>
          <w:p w14:paraId="78970C78">
            <w:pPr>
              <w:spacing w:line="340" w:lineRule="exact"/>
              <w:rPr>
                <w:rFonts w:ascii="宋体" w:hAnsi="宋体" w:cs="宋体"/>
                <w:szCs w:val="21"/>
                <w:highlight w:val="none"/>
              </w:rPr>
            </w:pPr>
            <w:r>
              <w:rPr>
                <w:rFonts w:hint="eastAsia" w:ascii="宋体" w:hAnsi="宋体" w:cs="宋体"/>
                <w:szCs w:val="21"/>
                <w:highlight w:val="none"/>
              </w:rPr>
              <w:t>（1）正本</w:t>
            </w:r>
            <w:r>
              <w:rPr>
                <w:rFonts w:hint="eastAsia" w:ascii="宋体" w:hAnsi="宋体" w:cs="宋体"/>
                <w:szCs w:val="21"/>
                <w:highlight w:val="none"/>
                <w:u w:val="single"/>
              </w:rPr>
              <w:t xml:space="preserve"> 壹 </w:t>
            </w:r>
            <w:r>
              <w:rPr>
                <w:rFonts w:hint="eastAsia" w:ascii="宋体" w:hAnsi="宋体" w:cs="宋体"/>
                <w:szCs w:val="21"/>
                <w:highlight w:val="none"/>
              </w:rPr>
              <w:t>份、副本</w:t>
            </w:r>
            <w:r>
              <w:rPr>
                <w:rFonts w:hint="eastAsia" w:ascii="宋体" w:hAnsi="宋体" w:cs="宋体"/>
                <w:szCs w:val="21"/>
                <w:highlight w:val="none"/>
                <w:u w:val="single"/>
              </w:rPr>
              <w:t xml:space="preserve"> 肆 </w:t>
            </w:r>
            <w:r>
              <w:rPr>
                <w:rFonts w:hint="eastAsia" w:ascii="宋体" w:hAnsi="宋体" w:cs="宋体"/>
                <w:szCs w:val="21"/>
                <w:highlight w:val="none"/>
              </w:rPr>
              <w:t>份。</w:t>
            </w:r>
          </w:p>
          <w:p w14:paraId="1E27DF7D">
            <w:pPr>
              <w:spacing w:line="340" w:lineRule="exact"/>
              <w:rPr>
                <w:rFonts w:ascii="宋体" w:hAnsi="宋体" w:cs="宋体"/>
                <w:szCs w:val="21"/>
                <w:highlight w:val="none"/>
              </w:rPr>
            </w:pPr>
            <w:r>
              <w:rPr>
                <w:rFonts w:hint="eastAsia" w:ascii="宋体" w:hAnsi="宋体" w:cs="宋体"/>
                <w:szCs w:val="21"/>
                <w:highlight w:val="none"/>
              </w:rPr>
              <w:t>（2）电子文件</w:t>
            </w:r>
            <w:r>
              <w:rPr>
                <w:rFonts w:hint="eastAsia" w:ascii="宋体" w:hAnsi="宋体" w:cs="宋体"/>
                <w:szCs w:val="21"/>
                <w:highlight w:val="none"/>
                <w:u w:val="single"/>
              </w:rPr>
              <w:t xml:space="preserve"> 贰 </w:t>
            </w:r>
            <w:r>
              <w:rPr>
                <w:rFonts w:hint="eastAsia" w:ascii="宋体" w:hAnsi="宋体" w:cs="宋体"/>
                <w:szCs w:val="21"/>
                <w:highlight w:val="none"/>
              </w:rPr>
              <w:t>份（</w:t>
            </w:r>
            <w:r>
              <w:rPr>
                <w:rFonts w:hint="eastAsia" w:ascii="宋体" w:hAnsi="宋体" w:cs="宋体"/>
                <w:szCs w:val="21"/>
                <w:highlight w:val="none"/>
              </w:rPr>
              <w:sym w:font="Wingdings 2" w:char="0052"/>
            </w:r>
            <w:r>
              <w:rPr>
                <w:rFonts w:ascii="宋体" w:hAnsi="宋体" w:cs="宋体"/>
                <w:szCs w:val="21"/>
                <w:highlight w:val="none"/>
              </w:rPr>
              <w:t xml:space="preserve"> </w:t>
            </w:r>
            <w:r>
              <w:rPr>
                <w:rFonts w:hint="eastAsia" w:ascii="宋体" w:hAnsi="宋体" w:cs="宋体"/>
                <w:szCs w:val="21"/>
                <w:highlight w:val="none"/>
              </w:rPr>
              <w:t xml:space="preserve">扫描件 </w:t>
            </w:r>
            <w:r>
              <w:rPr>
                <w:rFonts w:ascii="宋体" w:hAnsi="宋体" w:cs="宋体"/>
                <w:szCs w:val="21"/>
                <w:highlight w:val="none"/>
              </w:rPr>
              <w:t xml:space="preserve"> </w:t>
            </w:r>
            <w:r>
              <w:rPr>
                <w:rFonts w:hint="eastAsia" w:ascii="宋体" w:hAnsi="宋体" w:cs="宋体"/>
                <w:szCs w:val="21"/>
                <w:highlight w:val="none"/>
              </w:rPr>
              <w:sym w:font="Wingdings 2" w:char="0052"/>
            </w:r>
            <w:r>
              <w:rPr>
                <w:rFonts w:ascii="宋体" w:hAnsi="宋体" w:cs="宋体"/>
                <w:szCs w:val="21"/>
                <w:highlight w:val="none"/>
              </w:rPr>
              <w:t xml:space="preserve"> </w:t>
            </w:r>
            <w:r>
              <w:rPr>
                <w:rFonts w:hint="eastAsia" w:ascii="宋体" w:hAnsi="宋体" w:cs="宋体"/>
                <w:szCs w:val="21"/>
                <w:highlight w:val="none"/>
              </w:rPr>
              <w:t>Word）。采用光盘或U盘刻录提交（</w:t>
            </w:r>
            <w:r>
              <w:rPr>
                <w:rFonts w:hint="eastAsia" w:ascii="宋体" w:hAnsi="宋体" w:cs="宋体"/>
                <w:b/>
                <w:bCs/>
                <w:highlight w:val="none"/>
              </w:rPr>
              <w:t>扫描件版本应当为投标文件正本签字盖章后的彩色扫描件，格式为JPG或PDF</w:t>
            </w:r>
            <w:r>
              <w:rPr>
                <w:rFonts w:hint="eastAsia" w:ascii="宋体" w:hAnsi="宋体" w:cs="宋体"/>
                <w:szCs w:val="21"/>
                <w:highlight w:val="none"/>
              </w:rPr>
              <w:t>）。</w:t>
            </w:r>
          </w:p>
        </w:tc>
      </w:tr>
      <w:tr w14:paraId="6375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2FD733A">
            <w:pPr>
              <w:adjustRightInd w:val="0"/>
              <w:spacing w:line="34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29</w:t>
            </w:r>
          </w:p>
        </w:tc>
        <w:tc>
          <w:tcPr>
            <w:tcW w:w="1701" w:type="dxa"/>
            <w:vAlign w:val="center"/>
          </w:tcPr>
          <w:p w14:paraId="51F35144">
            <w:pPr>
              <w:topLinePunct/>
              <w:autoSpaceDE w:val="0"/>
              <w:autoSpaceDN w:val="0"/>
              <w:adjustRightInd w:val="0"/>
              <w:spacing w:line="340" w:lineRule="exact"/>
              <w:jc w:val="center"/>
              <w:rPr>
                <w:rFonts w:ascii="宋体" w:hAnsi="宋体" w:cs="宋体"/>
                <w:szCs w:val="21"/>
                <w:highlight w:val="none"/>
              </w:rPr>
            </w:pPr>
            <w:r>
              <w:rPr>
                <w:rFonts w:hint="eastAsia" w:ascii="宋体" w:hAnsi="宋体" w:cs="宋体"/>
                <w:szCs w:val="21"/>
                <w:highlight w:val="none"/>
              </w:rPr>
              <w:t>代理费用</w:t>
            </w:r>
          </w:p>
        </w:tc>
        <w:tc>
          <w:tcPr>
            <w:tcW w:w="6854" w:type="dxa"/>
            <w:gridSpan w:val="2"/>
            <w:vAlign w:val="center"/>
          </w:tcPr>
          <w:p w14:paraId="4725C12E">
            <w:pPr>
              <w:spacing w:line="340" w:lineRule="exact"/>
              <w:rPr>
                <w:rFonts w:ascii="宋体" w:hAnsi="宋体" w:cs="宋体"/>
                <w:szCs w:val="21"/>
                <w:highlight w:val="none"/>
              </w:rPr>
            </w:pPr>
            <w:r>
              <w:rPr>
                <w:rFonts w:hint="eastAsia" w:ascii="宋体" w:hAnsi="宋体" w:cs="宋体"/>
                <w:szCs w:val="21"/>
                <w:highlight w:val="none"/>
              </w:rPr>
              <w:t>代理费用：</w:t>
            </w:r>
          </w:p>
          <w:p w14:paraId="7CC08B63">
            <w:pPr>
              <w:spacing w:line="340" w:lineRule="exact"/>
              <w:rPr>
                <w:rFonts w:ascii="宋体" w:hAnsi="宋体" w:cs="宋体"/>
                <w:szCs w:val="21"/>
                <w:highlight w:val="none"/>
              </w:rPr>
            </w:pPr>
            <w:r>
              <w:rPr>
                <w:rFonts w:hint="eastAsia" w:ascii="宋体" w:hAnsi="宋体" w:cs="宋体"/>
                <w:szCs w:val="21"/>
                <w:highlight w:val="none"/>
              </w:rPr>
              <w:t>（1）本项目代理费用由</w:t>
            </w:r>
            <w:r>
              <w:rPr>
                <w:rFonts w:hint="eastAsia" w:ascii="宋体" w:hAnsi="宋体" w:cs="宋体"/>
                <w:szCs w:val="21"/>
                <w:highlight w:val="none"/>
                <w:u w:val="single"/>
              </w:rPr>
              <w:t xml:space="preserve"> 中标人 </w:t>
            </w:r>
            <w:r>
              <w:rPr>
                <w:rFonts w:hint="eastAsia" w:ascii="宋体" w:hAnsi="宋体" w:cs="宋体"/>
                <w:szCs w:val="21"/>
                <w:highlight w:val="none"/>
              </w:rPr>
              <w:t>支付。</w:t>
            </w:r>
          </w:p>
          <w:p w14:paraId="150C601F">
            <w:pPr>
              <w:spacing w:line="340" w:lineRule="exact"/>
              <w:rPr>
                <w:rFonts w:ascii="宋体" w:hAnsi="宋体" w:cs="宋体"/>
                <w:szCs w:val="21"/>
                <w:highlight w:val="none"/>
              </w:rPr>
            </w:pPr>
            <w:r>
              <w:rPr>
                <w:rFonts w:hint="eastAsia" w:ascii="宋体" w:hAnsi="宋体" w:cs="宋体"/>
                <w:szCs w:val="21"/>
                <w:highlight w:val="none"/>
              </w:rPr>
              <w:t>（2）代理费用收取方式及标准：</w:t>
            </w:r>
          </w:p>
          <w:p w14:paraId="2B031791">
            <w:pPr>
              <w:spacing w:line="340" w:lineRule="exact"/>
              <w:rPr>
                <w:rFonts w:ascii="宋体" w:hAnsi="宋体" w:cs="宋体"/>
                <w:szCs w:val="21"/>
                <w:highlight w:val="none"/>
              </w:rPr>
            </w:pPr>
            <w:r>
              <w:rPr>
                <w:rFonts w:hint="eastAsia" w:ascii="宋体" w:hAnsi="宋体" w:cs="宋体"/>
                <w:szCs w:val="21"/>
                <w:highlight w:val="none"/>
              </w:rPr>
              <w:t xml:space="preserve"> 采购代理机构按照不超过原国家有关标准90%金额向本项目的中标人收取招标代理服务费。</w:t>
            </w:r>
          </w:p>
        </w:tc>
      </w:tr>
      <w:tr w14:paraId="6CDD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DCF9C95">
            <w:pPr>
              <w:topLinePunct/>
              <w:autoSpaceDE w:val="0"/>
              <w:autoSpaceDN w:val="0"/>
              <w:adjustRightIn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3</w:t>
            </w:r>
            <w:r>
              <w:rPr>
                <w:rFonts w:hint="eastAsia" w:ascii="宋体" w:hAnsi="宋体" w:cs="宋体"/>
                <w:szCs w:val="21"/>
                <w:highlight w:val="none"/>
                <w:lang w:val="en-US" w:eastAsia="zh-CN"/>
              </w:rPr>
              <w:t>0</w:t>
            </w:r>
          </w:p>
        </w:tc>
        <w:tc>
          <w:tcPr>
            <w:tcW w:w="1701" w:type="dxa"/>
            <w:vAlign w:val="center"/>
          </w:tcPr>
          <w:p w14:paraId="5800A147">
            <w:pPr>
              <w:adjustRightInd w:val="0"/>
              <w:spacing w:line="340" w:lineRule="exact"/>
              <w:jc w:val="center"/>
              <w:rPr>
                <w:rFonts w:ascii="宋体" w:hAnsi="宋体" w:cs="宋体"/>
                <w:szCs w:val="21"/>
                <w:highlight w:val="none"/>
              </w:rPr>
            </w:pPr>
            <w:r>
              <w:rPr>
                <w:rFonts w:hint="eastAsia" w:ascii="宋体" w:hAnsi="宋体" w:cs="宋体"/>
                <w:szCs w:val="21"/>
                <w:highlight w:val="none"/>
              </w:rPr>
              <w:t>其他补充事项</w:t>
            </w:r>
          </w:p>
        </w:tc>
        <w:tc>
          <w:tcPr>
            <w:tcW w:w="6854" w:type="dxa"/>
            <w:gridSpan w:val="2"/>
            <w:vAlign w:val="center"/>
          </w:tcPr>
          <w:p w14:paraId="68EB2684">
            <w:pPr>
              <w:adjustRightInd w:val="0"/>
              <w:spacing w:line="340" w:lineRule="exact"/>
              <w:rPr>
                <w:rFonts w:ascii="宋体" w:hAnsi="宋体" w:cs="宋体"/>
                <w:szCs w:val="21"/>
                <w:highlight w:val="none"/>
              </w:rPr>
            </w:pPr>
            <w:r>
              <w:rPr>
                <w:rFonts w:hint="eastAsia" w:ascii="宋体" w:hAnsi="宋体" w:cs="宋体"/>
                <w:szCs w:val="21"/>
                <w:highlight w:val="none"/>
              </w:rPr>
              <w:t>其他补充事项：</w:t>
            </w:r>
            <w:r>
              <w:rPr>
                <w:rFonts w:hint="eastAsia" w:ascii="宋体" w:hAnsi="宋体" w:cs="宋体"/>
                <w:szCs w:val="21"/>
                <w:highlight w:val="none"/>
                <w:u w:val="single"/>
              </w:rPr>
              <w:t xml:space="preserve"> 无  </w:t>
            </w:r>
          </w:p>
        </w:tc>
      </w:tr>
    </w:tbl>
    <w:p w14:paraId="1AC5BEBC">
      <w:pPr>
        <w:rPr>
          <w:rFonts w:ascii="宋体" w:hAnsi="宋体" w:cs="宋体"/>
          <w:highlight w:val="none"/>
        </w:rPr>
        <w:sectPr>
          <w:footerReference r:id="rId15" w:type="first"/>
          <w:footerReference r:id="rId14" w:type="default"/>
          <w:pgSz w:w="11907" w:h="16839"/>
          <w:pgMar w:top="1440" w:right="1334" w:bottom="1440" w:left="1332" w:header="851" w:footer="992" w:gutter="0"/>
          <w:pgBorders>
            <w:top w:val="none" w:sz="0" w:space="0"/>
            <w:left w:val="none" w:sz="0" w:space="0"/>
            <w:bottom w:val="none" w:sz="0" w:space="0"/>
            <w:right w:val="none" w:sz="0" w:space="0"/>
          </w:pgBorders>
          <w:cols w:space="720" w:num="1"/>
          <w:titlePg/>
          <w:docGrid w:linePitch="312" w:charSpace="0"/>
        </w:sectPr>
      </w:pPr>
    </w:p>
    <w:p w14:paraId="057A6E13">
      <w:pPr>
        <w:pStyle w:val="16"/>
        <w:spacing w:before="120" w:beforeLines="50" w:after="240" w:afterLines="100"/>
        <w:ind w:firstLine="562"/>
        <w:jc w:val="center"/>
        <w:outlineLvl w:val="1"/>
        <w:rPr>
          <w:rFonts w:hAnsi="宋体" w:cs="宋体"/>
          <w:b/>
          <w:kern w:val="44"/>
          <w:sz w:val="28"/>
          <w:szCs w:val="28"/>
          <w:highlight w:val="none"/>
        </w:rPr>
      </w:pPr>
      <w:bookmarkStart w:id="6" w:name="_Toc23245"/>
      <w:bookmarkStart w:id="7" w:name="_Toc529050583"/>
      <w:bookmarkStart w:id="8" w:name="_Toc5601"/>
      <w:bookmarkStart w:id="9" w:name="_Toc21647438"/>
      <w:bookmarkStart w:id="10" w:name="_Toc132880274"/>
      <w:r>
        <w:rPr>
          <w:rFonts w:hint="eastAsia" w:hAnsi="宋体" w:cs="宋体"/>
          <w:b/>
          <w:kern w:val="44"/>
          <w:sz w:val="28"/>
          <w:szCs w:val="28"/>
          <w:highlight w:val="none"/>
        </w:rPr>
        <w:t>投标人须知正文</w:t>
      </w:r>
      <w:bookmarkEnd w:id="6"/>
      <w:bookmarkEnd w:id="7"/>
      <w:bookmarkEnd w:id="8"/>
      <w:bookmarkEnd w:id="9"/>
    </w:p>
    <w:p w14:paraId="06D34268">
      <w:pPr>
        <w:spacing w:line="360" w:lineRule="auto"/>
        <w:ind w:firstLine="482" w:firstLineChars="200"/>
        <w:outlineLvl w:val="1"/>
        <w:rPr>
          <w:rFonts w:ascii="宋体" w:hAnsi="宋体" w:cs="宋体"/>
          <w:b/>
          <w:bCs/>
          <w:color w:val="auto"/>
          <w:sz w:val="24"/>
          <w:szCs w:val="24"/>
          <w:highlight w:val="none"/>
        </w:rPr>
      </w:pPr>
      <w:bookmarkStart w:id="11" w:name="_Toc15125"/>
      <w:r>
        <w:rPr>
          <w:rFonts w:hint="eastAsia" w:ascii="宋体" w:hAnsi="宋体" w:cs="宋体"/>
          <w:b/>
          <w:bCs/>
          <w:sz w:val="24"/>
          <w:szCs w:val="24"/>
          <w:highlight w:val="none"/>
        </w:rPr>
        <w:t>一、总则</w:t>
      </w:r>
      <w:bookmarkEnd w:id="10"/>
      <w:bookmarkEnd w:id="11"/>
    </w:p>
    <w:p w14:paraId="02F185A9">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1.预算资金及来源</w:t>
      </w:r>
    </w:p>
    <w:p w14:paraId="7E9B65D8">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 本项目已经</w:t>
      </w:r>
      <w:r>
        <w:rPr>
          <w:rFonts w:hint="eastAsia" w:ascii="宋体" w:hAnsi="宋体" w:cs="宋体"/>
          <w:b/>
          <w:color w:val="auto"/>
          <w:szCs w:val="21"/>
          <w:highlight w:val="none"/>
          <w:lang w:eastAsia="zh-CN"/>
        </w:rPr>
        <w:t>国家税务总局湖南省税务局</w:t>
      </w:r>
      <w:r>
        <w:rPr>
          <w:rFonts w:hint="eastAsia" w:ascii="宋体" w:hAnsi="宋体" w:cs="宋体"/>
          <w:color w:val="auto"/>
          <w:szCs w:val="21"/>
          <w:highlight w:val="none"/>
        </w:rPr>
        <w:t>批准立项。</w:t>
      </w:r>
    </w:p>
    <w:p w14:paraId="0C0C1C45">
      <w:pPr>
        <w:topLinePunct/>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 本项目预算资金见</w:t>
      </w:r>
      <w:r>
        <w:rPr>
          <w:rFonts w:hint="eastAsia" w:ascii="宋体" w:hAnsi="宋体" w:cs="宋体"/>
          <w:b/>
          <w:bCs/>
          <w:color w:val="auto"/>
          <w:szCs w:val="21"/>
          <w:highlight w:val="none"/>
        </w:rPr>
        <w:t>投标人须知前附表</w:t>
      </w:r>
      <w:r>
        <w:rPr>
          <w:rFonts w:hint="eastAsia" w:ascii="宋体" w:hAnsi="宋体" w:cs="宋体"/>
          <w:color w:val="auto"/>
          <w:szCs w:val="21"/>
          <w:highlight w:val="none"/>
        </w:rPr>
        <w:t>，已列入</w:t>
      </w:r>
      <w:r>
        <w:rPr>
          <w:rFonts w:hint="eastAsia" w:ascii="宋体" w:hAnsi="宋体" w:cs="宋体"/>
          <w:b/>
          <w:color w:val="auto"/>
          <w:szCs w:val="21"/>
          <w:highlight w:val="none"/>
          <w:lang w:eastAsia="zh-CN"/>
        </w:rPr>
        <w:t>国家税务总局湖南省税务局</w:t>
      </w:r>
      <w:r>
        <w:rPr>
          <w:rFonts w:hint="eastAsia" w:ascii="宋体" w:hAnsi="宋体" w:cs="宋体"/>
          <w:color w:val="auto"/>
          <w:szCs w:val="21"/>
          <w:highlight w:val="none"/>
        </w:rPr>
        <w:t>预算。</w:t>
      </w:r>
    </w:p>
    <w:p w14:paraId="5863E8A2">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2.合格的产品和服务</w:t>
      </w:r>
    </w:p>
    <w:p w14:paraId="4A065BCF">
      <w:pPr>
        <w:tabs>
          <w:tab w:val="left" w:pos="216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2.1 本项目所涉及的所有产品和服务均应来自中国境内（指关境内），合同金额的支付也仅限于这些产品和服务。</w:t>
      </w:r>
    </w:p>
    <w:p w14:paraId="082C5504">
      <w:pPr>
        <w:tabs>
          <w:tab w:val="left" w:pos="216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2.2 合格的产品和服务即</w:t>
      </w:r>
      <w:r>
        <w:rPr>
          <w:rFonts w:hint="eastAsia" w:ascii="宋体" w:hAnsi="宋体" w:cs="宋体"/>
          <w:b/>
          <w:bCs/>
          <w:szCs w:val="21"/>
          <w:highlight w:val="none"/>
        </w:rPr>
        <w:t>采购需求</w:t>
      </w:r>
      <w:r>
        <w:rPr>
          <w:rFonts w:hint="eastAsia" w:ascii="宋体" w:hAnsi="宋体" w:cs="宋体"/>
          <w:szCs w:val="21"/>
          <w:highlight w:val="none"/>
        </w:rPr>
        <w:t>见</w:t>
      </w:r>
      <w:r>
        <w:rPr>
          <w:rFonts w:hint="eastAsia" w:ascii="宋体" w:hAnsi="宋体" w:cs="宋体"/>
          <w:b/>
          <w:szCs w:val="21"/>
          <w:highlight w:val="none"/>
        </w:rPr>
        <w:t>招标文件（技术部分）。</w:t>
      </w:r>
    </w:p>
    <w:p w14:paraId="09A94E6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2.3 投标人应保证所提供的产品及服务免受第三方提出侵犯其知识产权（专利权、商标权、工业设计权及使用权）的请求及起诉。</w:t>
      </w:r>
    </w:p>
    <w:p w14:paraId="616EDB3B">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3.合格的投标人</w:t>
      </w:r>
    </w:p>
    <w:p w14:paraId="0123FB1D">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3.1一般规定</w:t>
      </w:r>
    </w:p>
    <w:p w14:paraId="43492540">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3.1.1投标人应遵守《政府采购法》及其实施条例、《政府采购货物和服务招标投标管理办法》、《政府采购质疑和投诉办法》及有关政府采购的规定，同时还应遵守有关法律、法规和规章的强制性规定。</w:t>
      </w:r>
    </w:p>
    <w:p w14:paraId="72D68431">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3.1.2投标人的资格要求及本项目的特定资格要求见</w:t>
      </w:r>
      <w:r>
        <w:rPr>
          <w:rFonts w:ascii="宋体" w:hAnsi="宋体" w:cs="宋体"/>
          <w:b/>
          <w:sz w:val="21"/>
          <w:szCs w:val="21"/>
          <w:highlight w:val="none"/>
        </w:rPr>
        <w:t>投标人须知前附表</w:t>
      </w:r>
      <w:r>
        <w:rPr>
          <w:rFonts w:ascii="宋体" w:hAnsi="宋体" w:cs="宋体"/>
          <w:sz w:val="21"/>
          <w:szCs w:val="21"/>
          <w:highlight w:val="none"/>
        </w:rPr>
        <w:t>。</w:t>
      </w:r>
    </w:p>
    <w:p w14:paraId="15AFC94A">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3.1.3资格条件中所称“重大违法记录”，是指投标人因违法经营受到刑事处罚或者责令停产停业、吊销许可证或者执照、较大数额罚款等行政处罚。</w:t>
      </w:r>
    </w:p>
    <w:p w14:paraId="2E6CDEA1">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投标人在参加政府采购活动前3年内因违法经营被禁止在一定期限内参加政府采购活动，期限届满的，可以参加政府采购活动。</w:t>
      </w:r>
    </w:p>
    <w:p w14:paraId="5BA9ACBF">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“较大数额罚款”认定为200万元以上的罚款，法律、行政法规以及国务院有关部门明确规定相关领域“较大数额罚款”标准高于200万元的，从其规定。</w:t>
      </w:r>
    </w:p>
    <w:p w14:paraId="3A1C984A">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3.1.4信用记录要求</w:t>
      </w:r>
    </w:p>
    <w:p w14:paraId="070E3664">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采购人、采购代理机构应当通过“信用中国”网站（www.creditchina.gov.cn）、中国政府采购网（www.ccgp.gov.cn）等渠道查询投标人的信用记录，并对投标人信用记录进行甄别，对列入失信被执行人、重大税收违法案件当事人名单、政府采购严重违法失信行为记录名单及其他不符合《中华人民共和国政府采购法》第二十二条规定条件的投标人，应当拒绝其参与政府采购活动。</w:t>
      </w:r>
    </w:p>
    <w:p w14:paraId="749274D8">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73B5FEDE">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3.2联合体</w:t>
      </w:r>
    </w:p>
    <w:p w14:paraId="607FC41B">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3.2.1若本项目接受联合体投标，则两个以上的自然人、法人或者其他组织可以组成一个联合体，以一个投标人的身份共同参加政府采购。</w:t>
      </w:r>
    </w:p>
    <w:p w14:paraId="381829EC">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3.2.2以联合体形式参加投标的，联合体各方应按第二章要求提供资格条件材料。</w:t>
      </w:r>
    </w:p>
    <w:p w14:paraId="5A4159E7">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3.2.3联合体中有同类资质的投标人按照联合体分工承担相同工作的，应当按照资质等级较低的投标人确定资质等级。</w:t>
      </w:r>
    </w:p>
    <w:p w14:paraId="4CC469E5">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3.2.4联合体应当提交联合协议，载明联合体各方承担的工作和义务。</w:t>
      </w:r>
    </w:p>
    <w:p w14:paraId="18130B4E">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3.2.5联合体各方应当共同与采购人签订采购合同，就采购合同约定的事项对采购人承担连带责任。</w:t>
      </w:r>
    </w:p>
    <w:p w14:paraId="63EF1148">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3.2.6以联合体形式参加政府采购活动的，联合体各方不得再单独参加或者与其他投标人另外组成联合体参加同一合同项下的政府采购活动。</w:t>
      </w:r>
    </w:p>
    <w:p w14:paraId="171CE4B4">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3.3禁止规定</w:t>
      </w:r>
    </w:p>
    <w:p w14:paraId="2F6A02CF">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3.3.1单位负责人为同一人或者存在直接控股、管理关系的不同投标人，不得参加同一采购包的政府采购活动。否则投标均无效。</w:t>
      </w:r>
    </w:p>
    <w:p w14:paraId="043B11B1">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3.3.2除单一来源采购项目外，为采购项目提供整体设计、规范编制或者项目管理、监理、检测等服务的供应商，不得再参加该采购项目的其他采购活动。否则投标无效。</w:t>
      </w:r>
    </w:p>
    <w:p w14:paraId="1D4E4EAA">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4.投标费用</w:t>
      </w:r>
    </w:p>
    <w:p w14:paraId="1B5CA4B9">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4.1 投标人应承担所有与编写、提交投标文件有关的费用，不论招标的结果如何，采购人在任何情况下均无义务和责任承担这些费用。</w:t>
      </w:r>
    </w:p>
    <w:p w14:paraId="5CAF9C79">
      <w:pPr>
        <w:spacing w:line="360" w:lineRule="auto"/>
        <w:ind w:firstLine="482" w:firstLineChars="200"/>
        <w:outlineLvl w:val="1"/>
        <w:rPr>
          <w:rFonts w:ascii="宋体" w:hAnsi="宋体" w:cs="宋体"/>
          <w:b/>
          <w:bCs/>
          <w:sz w:val="24"/>
          <w:szCs w:val="24"/>
          <w:highlight w:val="none"/>
        </w:rPr>
      </w:pPr>
      <w:bookmarkStart w:id="12" w:name="_Toc21458"/>
      <w:bookmarkStart w:id="13" w:name="_Toc132880275"/>
      <w:r>
        <w:rPr>
          <w:rFonts w:hint="eastAsia" w:ascii="宋体" w:hAnsi="宋体" w:cs="宋体"/>
          <w:b/>
          <w:bCs/>
          <w:sz w:val="24"/>
          <w:szCs w:val="24"/>
          <w:highlight w:val="none"/>
        </w:rPr>
        <w:t>二、招标文件</w:t>
      </w:r>
      <w:bookmarkEnd w:id="12"/>
      <w:bookmarkEnd w:id="13"/>
    </w:p>
    <w:p w14:paraId="7242C930">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5.招标文件构成</w:t>
      </w:r>
    </w:p>
    <w:p w14:paraId="3D14180C">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第一部分 商务部分</w:t>
      </w:r>
    </w:p>
    <w:p w14:paraId="6622E816">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（1）招标公告</w:t>
      </w:r>
    </w:p>
    <w:p w14:paraId="7B6B1424">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（2）投标人须知</w:t>
      </w:r>
    </w:p>
    <w:p w14:paraId="35087C60">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（3）评标方法及标准</w:t>
      </w:r>
    </w:p>
    <w:p w14:paraId="2E9CB32D">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（4）政府采购合同文本</w:t>
      </w:r>
    </w:p>
    <w:p w14:paraId="10F9373B">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（5）投标文件格式</w:t>
      </w:r>
    </w:p>
    <w:p w14:paraId="114B4645">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第二部分 技术部分</w:t>
      </w:r>
    </w:p>
    <w:p w14:paraId="3CE335A3">
      <w:pPr>
        <w:topLinePunct/>
        <w:autoSpaceDE w:val="0"/>
        <w:autoSpaceDN w:val="0"/>
        <w:adjustRightInd w:val="0"/>
        <w:snapToGrid w:val="0"/>
        <w:spacing w:line="360" w:lineRule="auto"/>
        <w:ind w:firstLine="413" w:firstLineChars="196"/>
        <w:rPr>
          <w:rFonts w:ascii="宋体" w:hAnsi="宋体" w:cs="宋体"/>
          <w:b/>
          <w:szCs w:val="21"/>
          <w:highlight w:val="none"/>
        </w:rPr>
      </w:pPr>
      <w:r>
        <w:rPr>
          <w:rFonts w:hint="eastAsia" w:ascii="宋体" w:hAnsi="宋体" w:cs="宋体"/>
          <w:b/>
          <w:szCs w:val="21"/>
          <w:highlight w:val="none"/>
        </w:rPr>
        <w:t>6.招标文件询问、澄清或修改</w:t>
      </w:r>
    </w:p>
    <w:p w14:paraId="64618C5F">
      <w:pPr>
        <w:widowControl/>
        <w:topLinePunct/>
        <w:autoSpaceDE w:val="0"/>
        <w:autoSpaceDN w:val="0"/>
        <w:adjustRightInd w:val="0"/>
        <w:snapToGrid w:val="0"/>
        <w:spacing w:line="360" w:lineRule="auto"/>
        <w:ind w:firstLine="420" w:firstLineChars="200"/>
        <w:jc w:val="left"/>
        <w:rPr>
          <w:rFonts w:ascii="宋体" w:hAnsi="宋体" w:cs="宋体"/>
          <w:b/>
          <w:szCs w:val="21"/>
          <w:highlight w:val="none"/>
        </w:rPr>
      </w:pPr>
      <w:r>
        <w:rPr>
          <w:rFonts w:hint="eastAsia" w:ascii="宋体" w:hAnsi="宋体" w:cs="宋体"/>
          <w:szCs w:val="21"/>
          <w:highlight w:val="none"/>
        </w:rPr>
        <w:t>6.1 投标人对招标文件如有疑问的，可以向采购人或者采购代理机构提出询问，采购人或者采购代理机构应当在3个工作日内作出答复</w:t>
      </w:r>
      <w:r>
        <w:rPr>
          <w:rFonts w:hint="eastAsia" w:ascii="宋体" w:hAnsi="宋体" w:cs="宋体"/>
          <w:bCs/>
          <w:szCs w:val="21"/>
          <w:highlight w:val="none"/>
        </w:rPr>
        <w:t>，但答复的内容不得涉及商业秘密。</w:t>
      </w:r>
      <w:r>
        <w:rPr>
          <w:rFonts w:hint="eastAsia" w:ascii="宋体" w:hAnsi="宋体" w:cs="宋体"/>
          <w:szCs w:val="21"/>
          <w:highlight w:val="none"/>
        </w:rPr>
        <w:t>如有必要，采购人或者采购代理机构可对招标文件进行澄清或者修改。</w:t>
      </w:r>
    </w:p>
    <w:p w14:paraId="1C9AC5E7">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6.2 采购人或者采购代理机构可主动对招标文件进行必要的澄清或者修改，但不得改变采购标的和资格条件。</w:t>
      </w:r>
    </w:p>
    <w:p w14:paraId="2491C9F4">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6.3 澄清或者修改应当在原公告发布媒体上发布澄清公告，线上采购项目还应通过国家税务总局政府采购评审管理系统（以下简称“评审管理系统”）通知所有获取招标文件的潜在投标人。</w:t>
      </w:r>
    </w:p>
    <w:p w14:paraId="6F8D4AB8">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6.4 澄清或者修改的内容可能影响投标文件编制的，采购人或者采购代理机构应当在投标截止时间至少15日前，以书面形式或通过评审管理系统（适用于线上采购，下同）通知所有获取招标文件的潜在投标人；不足15日的，采购人或者采购代理机构应当顺延提交投标文件的截止时间。</w:t>
      </w:r>
    </w:p>
    <w:p w14:paraId="4EC08D5C">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6.5 澄清或者修改的内容为招标文件的组成部分。</w:t>
      </w:r>
    </w:p>
    <w:p w14:paraId="46360F27">
      <w:pPr>
        <w:spacing w:line="360" w:lineRule="auto"/>
        <w:ind w:firstLine="482" w:firstLineChars="200"/>
        <w:outlineLvl w:val="1"/>
        <w:rPr>
          <w:rFonts w:ascii="宋体" w:hAnsi="宋体" w:cs="宋体"/>
          <w:b/>
          <w:bCs/>
          <w:sz w:val="24"/>
          <w:szCs w:val="24"/>
          <w:highlight w:val="none"/>
        </w:rPr>
      </w:pPr>
      <w:bookmarkStart w:id="14" w:name="_Toc9487"/>
      <w:bookmarkStart w:id="15" w:name="_Toc132880276"/>
      <w:r>
        <w:rPr>
          <w:rFonts w:hint="eastAsia" w:ascii="宋体" w:hAnsi="宋体" w:cs="宋体"/>
          <w:b/>
          <w:bCs/>
          <w:sz w:val="24"/>
          <w:szCs w:val="24"/>
          <w:highlight w:val="none"/>
        </w:rPr>
        <w:t>三、投标文件</w:t>
      </w:r>
      <w:bookmarkEnd w:id="14"/>
      <w:bookmarkEnd w:id="15"/>
    </w:p>
    <w:p w14:paraId="483DBF94">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7</w:t>
      </w:r>
      <w:r>
        <w:rPr>
          <w:rFonts w:hint="eastAsia" w:ascii="宋体" w:hAnsi="宋体" w:cs="宋体"/>
          <w:szCs w:val="21"/>
          <w:highlight w:val="none"/>
        </w:rPr>
        <w:t>．</w:t>
      </w:r>
      <w:r>
        <w:rPr>
          <w:rFonts w:hint="eastAsia" w:ascii="宋体" w:hAnsi="宋体" w:cs="宋体"/>
          <w:b/>
          <w:szCs w:val="21"/>
          <w:highlight w:val="none"/>
        </w:rPr>
        <w:t>投标文件编制</w:t>
      </w:r>
    </w:p>
    <w:p w14:paraId="593436B4">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7.1投标文件的编制</w:t>
      </w:r>
    </w:p>
    <w:p w14:paraId="5BD166A3">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7.1.1投标人应先仔细阅读招标文件的全部内容后，再进行投标文件的编制。</w:t>
      </w:r>
    </w:p>
    <w:p w14:paraId="2D4B9B97">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7.1.2投标文件应满足招标文件提出的实质性要求和条件，并保证其所提交的全部资料是不可割离且真实、有效、准确、完整和不具有任何误导性的，否则造成不利后果由投标人承担责任。</w:t>
      </w:r>
    </w:p>
    <w:p w14:paraId="1C54BFE0">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7.1.3 鼓励投标人使用双面打印。</w:t>
      </w:r>
    </w:p>
    <w:p w14:paraId="40BDE15C">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7.2投标文件的语言</w:t>
      </w:r>
    </w:p>
    <w:p w14:paraId="0C4AEEC2">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7.2.1除招标文件另有规定外，投标文件应使用中文文本并使用中文简化字，若有不同文本，以中文简化字文本为准。</w:t>
      </w:r>
    </w:p>
    <w:p w14:paraId="58EC5D30">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7.2.2投标文件提供的全部资料中，若属于非中文描述的，应同时提供中文简化字译本。</w:t>
      </w:r>
    </w:p>
    <w:p w14:paraId="46B3867E">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7.2.3除在招标文件的要求中另有规定外，投标文件计量单位应使用中华人民共和国法定计量单位。</w:t>
      </w:r>
    </w:p>
    <w:p w14:paraId="12CFCCF7">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7.3投标人制作投标文件前须提前办理数字证书和电子签章，办理方式和注意事项详见网站《供应商操作手册》。供应商在国家税务总局集中采购中心网站（https：//swcg.chinatax.gov.cn） “下载中心”下载并安装“供应商投标工具”，使用投标工具编制投标文件。（线上采购项目适用）</w:t>
      </w:r>
    </w:p>
    <w:p w14:paraId="6071BEE5">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8.投标文件的组成</w:t>
      </w:r>
    </w:p>
    <w:p w14:paraId="5BB70A90">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8.1 投标文件包括商务部分和技术部分。</w:t>
      </w:r>
    </w:p>
    <w:p w14:paraId="487CBDE5">
      <w:pPr>
        <w:topLinePunct/>
        <w:autoSpaceDE w:val="0"/>
        <w:autoSpaceDN w:val="0"/>
        <w:adjustRightInd w:val="0"/>
        <w:snapToGrid w:val="0"/>
        <w:spacing w:line="360" w:lineRule="auto"/>
        <w:ind w:firstLine="428" w:firstLineChars="204"/>
        <w:rPr>
          <w:rFonts w:ascii="宋体" w:hAnsi="宋体" w:cs="宋体"/>
          <w:szCs w:val="21"/>
          <w:highlight w:val="none"/>
        </w:rPr>
      </w:pPr>
      <w:r>
        <w:rPr>
          <w:rFonts w:hint="eastAsia" w:ascii="宋体" w:hAnsi="宋体" w:cs="宋体"/>
          <w:szCs w:val="21"/>
          <w:highlight w:val="none"/>
        </w:rPr>
        <w:t>8.2 投标文件</w:t>
      </w:r>
      <w:r>
        <w:rPr>
          <w:rFonts w:hint="eastAsia" w:ascii="宋体" w:hAnsi="宋体" w:cs="宋体"/>
          <w:b/>
          <w:bCs/>
          <w:szCs w:val="21"/>
          <w:highlight w:val="none"/>
        </w:rPr>
        <w:t>商务部分</w:t>
      </w:r>
      <w:r>
        <w:rPr>
          <w:rFonts w:hint="eastAsia" w:ascii="宋体" w:hAnsi="宋体" w:cs="宋体"/>
          <w:szCs w:val="21"/>
          <w:highlight w:val="none"/>
        </w:rPr>
        <w:t>主要包括的文件和资料：</w:t>
      </w:r>
    </w:p>
    <w:p w14:paraId="5CF1F701">
      <w:pPr>
        <w:topLinePunct/>
        <w:autoSpaceDE w:val="0"/>
        <w:autoSpaceDN w:val="0"/>
        <w:adjustRightInd w:val="0"/>
        <w:snapToGrid w:val="0"/>
        <w:spacing w:line="360" w:lineRule="auto"/>
        <w:ind w:firstLine="428" w:firstLineChars="204"/>
        <w:rPr>
          <w:rFonts w:ascii="宋体" w:hAnsi="宋体" w:cs="宋体"/>
          <w:szCs w:val="21"/>
          <w:highlight w:val="none"/>
        </w:rPr>
      </w:pPr>
      <w:r>
        <w:rPr>
          <w:rFonts w:hint="eastAsia" w:ascii="宋体" w:hAnsi="宋体" w:cs="宋体"/>
          <w:szCs w:val="21"/>
          <w:highlight w:val="none"/>
        </w:rPr>
        <w:t>8.2.1 资格证明文件，见</w:t>
      </w:r>
      <w:r>
        <w:rPr>
          <w:rFonts w:hint="eastAsia" w:ascii="宋体" w:hAnsi="宋体" w:cs="宋体"/>
          <w:b/>
          <w:szCs w:val="21"/>
          <w:highlight w:val="none"/>
        </w:rPr>
        <w:t>投标人须知前附表。</w:t>
      </w:r>
    </w:p>
    <w:p w14:paraId="2D2609C2">
      <w:pPr>
        <w:overflowPunct w:val="0"/>
        <w:autoSpaceDE w:val="0"/>
        <w:autoSpaceDN w:val="0"/>
        <w:adjustRightInd w:val="0"/>
        <w:snapToGrid w:val="0"/>
        <w:spacing w:line="360" w:lineRule="auto"/>
        <w:ind w:firstLine="426" w:firstLineChars="203"/>
        <w:rPr>
          <w:rFonts w:ascii="宋体" w:hAnsi="宋体" w:cs="宋体"/>
          <w:szCs w:val="21"/>
          <w:highlight w:val="none"/>
        </w:rPr>
      </w:pPr>
      <w:r>
        <w:rPr>
          <w:rFonts w:hint="eastAsia" w:ascii="宋体" w:hAnsi="宋体" w:cs="宋体"/>
          <w:szCs w:val="21"/>
          <w:highlight w:val="none"/>
        </w:rPr>
        <w:t>8.2.2 其他文件及资料，见</w:t>
      </w:r>
      <w:r>
        <w:rPr>
          <w:rFonts w:hint="eastAsia" w:ascii="宋体" w:hAnsi="宋体" w:cs="宋体"/>
          <w:b/>
          <w:szCs w:val="21"/>
          <w:highlight w:val="none"/>
        </w:rPr>
        <w:t>投标人须知前附表。</w:t>
      </w:r>
    </w:p>
    <w:p w14:paraId="40F976A8">
      <w:pPr>
        <w:overflowPunct w:val="0"/>
        <w:autoSpaceDE w:val="0"/>
        <w:autoSpaceDN w:val="0"/>
        <w:adjustRightInd w:val="0"/>
        <w:snapToGrid w:val="0"/>
        <w:spacing w:line="360" w:lineRule="auto"/>
        <w:ind w:firstLine="426" w:firstLineChars="203"/>
        <w:rPr>
          <w:rFonts w:ascii="宋体" w:hAnsi="宋体" w:cs="宋体"/>
          <w:szCs w:val="21"/>
          <w:highlight w:val="none"/>
        </w:rPr>
      </w:pPr>
      <w:r>
        <w:rPr>
          <w:rFonts w:hint="eastAsia" w:ascii="宋体" w:hAnsi="宋体" w:cs="宋体"/>
          <w:szCs w:val="21"/>
          <w:highlight w:val="none"/>
        </w:rPr>
        <w:t>8.3 投标文件</w:t>
      </w:r>
      <w:r>
        <w:rPr>
          <w:rFonts w:hint="eastAsia" w:ascii="宋体" w:hAnsi="宋体" w:cs="宋体"/>
          <w:b/>
          <w:bCs/>
          <w:szCs w:val="21"/>
          <w:highlight w:val="none"/>
        </w:rPr>
        <w:t>技术部分</w:t>
      </w:r>
      <w:r>
        <w:rPr>
          <w:rFonts w:hint="eastAsia" w:ascii="宋体" w:hAnsi="宋体" w:cs="宋体"/>
          <w:szCs w:val="21"/>
          <w:highlight w:val="none"/>
        </w:rPr>
        <w:t>主要包括的文件及资料，见</w:t>
      </w:r>
      <w:r>
        <w:rPr>
          <w:rFonts w:hint="eastAsia" w:ascii="宋体" w:hAnsi="宋体" w:cs="宋体"/>
          <w:b/>
          <w:szCs w:val="21"/>
          <w:highlight w:val="none"/>
        </w:rPr>
        <w:t>投标人须知前附表。</w:t>
      </w:r>
    </w:p>
    <w:p w14:paraId="6EA97D86">
      <w:pPr>
        <w:overflowPunct w:val="0"/>
        <w:autoSpaceDE w:val="0"/>
        <w:autoSpaceDN w:val="0"/>
        <w:adjustRightInd w:val="0"/>
        <w:snapToGrid w:val="0"/>
        <w:spacing w:line="360" w:lineRule="auto"/>
        <w:ind w:firstLine="426" w:firstLineChars="203"/>
        <w:rPr>
          <w:rFonts w:ascii="宋体" w:hAnsi="宋体" w:cs="宋体"/>
          <w:szCs w:val="21"/>
          <w:highlight w:val="none"/>
        </w:rPr>
      </w:pPr>
      <w:r>
        <w:rPr>
          <w:rFonts w:hint="eastAsia" w:ascii="宋体" w:hAnsi="宋体" w:cs="宋体"/>
          <w:szCs w:val="21"/>
          <w:highlight w:val="none"/>
        </w:rPr>
        <w:t>8.4 证明资料如标明有效期的，必须在有效期内。</w:t>
      </w:r>
    </w:p>
    <w:p w14:paraId="31613104">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9.报价要求</w:t>
      </w:r>
    </w:p>
    <w:p w14:paraId="3ABA709A">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9.1 除招标文件另有规定外，投标应以人民币报价，线上采购项目还须按照投标工具的流程和提示编制并上传投标报价表。</w:t>
      </w:r>
    </w:p>
    <w:p w14:paraId="142643FD">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9.2 本项目不接受任何形式的赠送、“零”报价和折扣报价。</w:t>
      </w:r>
    </w:p>
    <w:p w14:paraId="1A23B6DD">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9.3 本项目以投标报价为依据计算价格分。投标报价应包括招标文件中要求投标人承担所有工作内容的全部费用。</w:t>
      </w:r>
    </w:p>
    <w:p w14:paraId="395C2E3E">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9.4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FA94256">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9.5 最低报价不能作为中标的保证。</w:t>
      </w:r>
    </w:p>
    <w:p w14:paraId="76B05807">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10.投标文件的书写、密封、签署、盖章</w:t>
      </w:r>
    </w:p>
    <w:p w14:paraId="45660C95">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10.1书写</w:t>
      </w:r>
    </w:p>
    <w:p w14:paraId="62E64BC8">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10.1.1投标文件应使用不能擦去的墨料或墨水打印、书写。</w:t>
      </w:r>
    </w:p>
    <w:p w14:paraId="2FB4E2F4">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10.1.2投标文件内容应没有涂改或行间插字。若有前述改动，在改动处应由单位负责人（投标人代表）签字确认或加盖投标人的单位公章或校正章。</w:t>
      </w:r>
    </w:p>
    <w:p w14:paraId="3F8DA43B">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10.2密封</w:t>
      </w:r>
    </w:p>
    <w:p w14:paraId="59991E52">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10.2.1投标文件应胶装或装订成册，避免材料散装、脱落。</w:t>
      </w:r>
    </w:p>
    <w:p w14:paraId="4D640674">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10.2.2投标文件应使用不透明的牛皮纸或档案袋等材料密封包装，并在外包装封面注明“正本”或“副本”</w:t>
      </w:r>
      <w:r>
        <w:rPr>
          <w:rFonts w:ascii="宋体" w:hAnsi="宋体" w:cs="宋体"/>
          <w:b/>
          <w:bCs/>
          <w:sz w:val="21"/>
          <w:szCs w:val="21"/>
          <w:highlight w:val="none"/>
        </w:rPr>
        <w:t>（要求正本、副本分别单独密封）</w:t>
      </w:r>
      <w:r>
        <w:rPr>
          <w:rFonts w:ascii="宋体" w:hAnsi="宋体" w:cs="宋体"/>
          <w:sz w:val="21"/>
          <w:szCs w:val="21"/>
          <w:highlight w:val="none"/>
        </w:rPr>
        <w:t>，以及项目编号、项目名称、开标时间等信息，避免投标文件被误拆或提前拆封。投标文件正本应按上述要求制作。副本可按上述要求制作，也可用正本的完整复印件，并与正本保持一致（若不一致，以正本为准）。</w:t>
      </w:r>
    </w:p>
    <w:p w14:paraId="1024A067">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10.3签署、盖章</w:t>
      </w:r>
    </w:p>
    <w:p w14:paraId="03B87763">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10.3.1投标文件中要求签字处应由投标人的单位负责人（投标人代表）签字或加盖个人印章。</w:t>
      </w:r>
    </w:p>
    <w:p w14:paraId="1893453D">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10.3.2投标文件必须按照招标文件给出文件格式的签署要求进行签署。</w:t>
      </w:r>
    </w:p>
    <w:p w14:paraId="3BA216F4">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10.3.3投标人在</w:t>
      </w:r>
      <w:r>
        <w:rPr>
          <w:rFonts w:hint="eastAsia" w:ascii="宋体" w:hAnsi="宋体" w:cs="宋体"/>
          <w:b/>
          <w:bCs/>
          <w:szCs w:val="21"/>
          <w:highlight w:val="none"/>
        </w:rPr>
        <w:t>“投标函”“法定代表人授权委托书”</w:t>
      </w:r>
      <w:r>
        <w:rPr>
          <w:rFonts w:hint="eastAsia" w:ascii="宋体" w:hAnsi="宋体" w:cs="宋体"/>
          <w:szCs w:val="21"/>
          <w:highlight w:val="none"/>
        </w:rPr>
        <w:t>上应当按格式要求加盖与投标人名称全称一致的标准公章，并按照招标文件第五章投标文件格式中的相应格式文件要求签署全名或加盖名章。</w:t>
      </w:r>
    </w:p>
    <w:p w14:paraId="6372E98D">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10.3.4投标文件中的“盖章”指加盖投标人的“公章”，而非“合同专用章”、“投标专用章”等其他非公章。</w:t>
      </w:r>
    </w:p>
    <w:p w14:paraId="0F2FB3E3">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10.3.5线上采购项目可以使用电子签章。</w:t>
      </w:r>
    </w:p>
    <w:p w14:paraId="78FA3024">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11</w:t>
      </w:r>
      <w:r>
        <w:rPr>
          <w:rFonts w:hint="eastAsia" w:ascii="宋体" w:hAnsi="宋体" w:cs="宋体"/>
          <w:szCs w:val="21"/>
          <w:highlight w:val="none"/>
        </w:rPr>
        <w:t>．</w:t>
      </w:r>
      <w:r>
        <w:rPr>
          <w:rFonts w:hint="eastAsia" w:ascii="宋体" w:hAnsi="宋体" w:cs="宋体"/>
          <w:b/>
          <w:szCs w:val="21"/>
          <w:highlight w:val="none"/>
        </w:rPr>
        <w:t>投标有效期</w:t>
      </w:r>
    </w:p>
    <w:p w14:paraId="599F01A0">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11.1 投标有效期见</w:t>
      </w:r>
      <w:r>
        <w:rPr>
          <w:rFonts w:hint="eastAsia" w:ascii="宋体" w:hAnsi="宋体" w:cs="宋体"/>
          <w:b/>
          <w:szCs w:val="21"/>
          <w:highlight w:val="none"/>
        </w:rPr>
        <w:t>投标人须知前附表</w:t>
      </w:r>
      <w:r>
        <w:rPr>
          <w:rFonts w:hint="eastAsia" w:ascii="宋体" w:hAnsi="宋体" w:cs="宋体"/>
          <w:szCs w:val="21"/>
          <w:highlight w:val="none"/>
        </w:rPr>
        <w:t>，在此期间，投标文件对投标人具有法律约束力，以保证采购人或者采购代理机构有足够的时间完成评标、定标以及签订合同。投标文件中承诺的投标有效期应当不少于招标文件中载明的投标有效期，否则作为无效投标处理。</w:t>
      </w:r>
    </w:p>
    <w:p w14:paraId="0A04C41D">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11.2 特殊情况下，在原投标有效期期满之前，采购人或者采购代理机构可征得投标人同意延长投标有效期。</w:t>
      </w:r>
    </w:p>
    <w:p w14:paraId="4DDB3A20">
      <w:pPr>
        <w:spacing w:line="360" w:lineRule="auto"/>
        <w:ind w:firstLine="482" w:firstLineChars="200"/>
        <w:outlineLvl w:val="1"/>
        <w:rPr>
          <w:rFonts w:ascii="宋体" w:hAnsi="宋体" w:cs="宋体"/>
          <w:b/>
          <w:bCs/>
          <w:sz w:val="24"/>
          <w:szCs w:val="24"/>
          <w:highlight w:val="none"/>
        </w:rPr>
      </w:pPr>
      <w:bookmarkStart w:id="16" w:name="_Toc132880277"/>
      <w:bookmarkStart w:id="17" w:name="_Toc18030"/>
      <w:r>
        <w:rPr>
          <w:rFonts w:hint="eastAsia" w:ascii="宋体" w:hAnsi="宋体" w:cs="宋体"/>
          <w:b/>
          <w:bCs/>
          <w:sz w:val="24"/>
          <w:szCs w:val="24"/>
          <w:highlight w:val="none"/>
        </w:rPr>
        <w:t>四、投标文件递交</w:t>
      </w:r>
      <w:bookmarkEnd w:id="16"/>
      <w:bookmarkEnd w:id="17"/>
    </w:p>
    <w:p w14:paraId="417237D2">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12</w:t>
      </w:r>
      <w:r>
        <w:rPr>
          <w:rFonts w:hint="eastAsia" w:ascii="宋体" w:hAnsi="宋体" w:cs="宋体"/>
          <w:szCs w:val="21"/>
          <w:highlight w:val="none"/>
        </w:rPr>
        <w:t>．</w:t>
      </w:r>
      <w:r>
        <w:rPr>
          <w:rFonts w:hint="eastAsia" w:ascii="宋体" w:hAnsi="宋体" w:cs="宋体"/>
          <w:b/>
          <w:szCs w:val="21"/>
          <w:highlight w:val="none"/>
        </w:rPr>
        <w:t>投标文件递交</w:t>
      </w:r>
    </w:p>
    <w:p w14:paraId="63AA5179">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12.1 投标人应当在</w:t>
      </w:r>
      <w:r>
        <w:rPr>
          <w:rFonts w:hint="eastAsia" w:ascii="宋体" w:hAnsi="宋体" w:cs="宋体"/>
          <w:b/>
          <w:szCs w:val="21"/>
          <w:highlight w:val="none"/>
        </w:rPr>
        <w:t>投标人须知前附表</w:t>
      </w:r>
      <w:r>
        <w:rPr>
          <w:rFonts w:hint="eastAsia" w:ascii="宋体" w:hAnsi="宋体" w:cs="宋体"/>
          <w:szCs w:val="21"/>
          <w:highlight w:val="none"/>
        </w:rPr>
        <w:t>要求提交投标文件截止时间前，根据《投标人须知前附表》载明方式提交投标文件。提交投标文件截止时间后，递交投标文件的投标将被拒绝。</w:t>
      </w:r>
    </w:p>
    <w:p w14:paraId="4A22DB9F">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12.2 线上采购项目应登录评审管理系统并使用投标工具加密上传投标文件。除上述方式之外，不接受投标人以纸质文件以及其他任何方式提交的投标文件。投标人应充分考虑网络传输时间等因素，合理安排上传时间。提交投标文件截止时间后，评审管理系统不提供投标文件上传功能。投标人未完成投标文件上传的，投标将被拒绝。</w:t>
      </w:r>
    </w:p>
    <w:p w14:paraId="434DAE87">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13</w:t>
      </w:r>
      <w:r>
        <w:rPr>
          <w:rFonts w:hint="eastAsia" w:ascii="宋体" w:hAnsi="宋体" w:cs="宋体"/>
          <w:szCs w:val="21"/>
          <w:highlight w:val="none"/>
        </w:rPr>
        <w:t>．</w:t>
      </w:r>
      <w:r>
        <w:rPr>
          <w:rFonts w:hint="eastAsia" w:ascii="宋体" w:hAnsi="宋体" w:cs="宋体"/>
          <w:b/>
          <w:szCs w:val="21"/>
          <w:highlight w:val="none"/>
        </w:rPr>
        <w:t>投标文件补充、修改或撤回</w:t>
      </w:r>
    </w:p>
    <w:p w14:paraId="452CE4ED">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13.1 投标人在投标截止时间前，可以对所递交的投标文件进行补充、修改或者撤回，并书面通知采购人或者采购代理机构。补充、修改的内容应当按照招标文件要求签署、盖章、密封后，作为投标文件的组成部分。</w:t>
      </w:r>
    </w:p>
    <w:p w14:paraId="2C2889E6">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13.2 线上采购项目，投标人在投标截止时间前，可以登录评审管理系统对所提交的投标文件进行撤回、补充、修改、重新提交。补充、修改的内容应当按照招标文件要求签署、盖章。</w:t>
      </w:r>
    </w:p>
    <w:p w14:paraId="0820F330">
      <w:pPr>
        <w:widowControl/>
        <w:topLinePunct/>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13.3 提交投标文件截止时间后，不支持对已提交的投标文件作任何补充、修改或者撤回。</w:t>
      </w:r>
    </w:p>
    <w:p w14:paraId="7F42BB6F">
      <w:pPr>
        <w:spacing w:line="360" w:lineRule="auto"/>
        <w:ind w:firstLine="482" w:firstLineChars="200"/>
        <w:outlineLvl w:val="1"/>
        <w:rPr>
          <w:rFonts w:ascii="宋体" w:hAnsi="宋体" w:cs="宋体"/>
          <w:b/>
          <w:bCs/>
          <w:sz w:val="24"/>
          <w:szCs w:val="24"/>
          <w:highlight w:val="none"/>
        </w:rPr>
      </w:pPr>
      <w:bookmarkStart w:id="18" w:name="_Toc11452"/>
      <w:bookmarkStart w:id="19" w:name="_Toc132880278"/>
      <w:r>
        <w:rPr>
          <w:rFonts w:hint="eastAsia" w:ascii="宋体" w:hAnsi="宋体" w:cs="宋体"/>
          <w:b/>
          <w:bCs/>
          <w:sz w:val="24"/>
          <w:szCs w:val="24"/>
          <w:highlight w:val="none"/>
        </w:rPr>
        <w:t>五、开标与评标</w:t>
      </w:r>
      <w:bookmarkEnd w:id="18"/>
      <w:bookmarkEnd w:id="19"/>
    </w:p>
    <w:p w14:paraId="2BB3404A">
      <w:pPr>
        <w:topLinePunct/>
        <w:autoSpaceDE w:val="0"/>
        <w:autoSpaceDN w:val="0"/>
        <w:adjustRightInd w:val="0"/>
        <w:snapToGrid w:val="0"/>
        <w:spacing w:line="360" w:lineRule="auto"/>
        <w:ind w:firstLine="422" w:firstLineChars="200"/>
        <w:rPr>
          <w:rFonts w:ascii="宋体" w:hAnsi="宋体" w:cs="宋体"/>
          <w:szCs w:val="21"/>
          <w:highlight w:val="none"/>
        </w:rPr>
      </w:pPr>
      <w:r>
        <w:rPr>
          <w:rFonts w:hint="eastAsia" w:ascii="宋体" w:hAnsi="宋体" w:cs="宋体"/>
          <w:b/>
          <w:szCs w:val="21"/>
          <w:highlight w:val="none"/>
        </w:rPr>
        <w:t>14</w:t>
      </w:r>
      <w:r>
        <w:rPr>
          <w:rFonts w:hint="eastAsia" w:ascii="宋体" w:hAnsi="宋体" w:cs="宋体"/>
          <w:szCs w:val="21"/>
          <w:highlight w:val="none"/>
        </w:rPr>
        <w:t>．</w:t>
      </w:r>
      <w:r>
        <w:rPr>
          <w:rFonts w:hint="eastAsia" w:ascii="宋体" w:hAnsi="宋体" w:cs="宋体"/>
          <w:b/>
          <w:szCs w:val="21"/>
          <w:highlight w:val="none"/>
        </w:rPr>
        <w:t>开标</w:t>
      </w:r>
    </w:p>
    <w:p w14:paraId="48A0002F">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14.1 开标在招标文件确定的提交投标文件截止时间的同一时间进行。开标地点详见</w:t>
      </w:r>
      <w:r>
        <w:rPr>
          <w:rFonts w:hint="eastAsia" w:ascii="宋体" w:hAnsi="宋体" w:cs="宋体"/>
          <w:b/>
          <w:szCs w:val="21"/>
          <w:highlight w:val="none"/>
        </w:rPr>
        <w:t>投标人须知前附表</w:t>
      </w:r>
      <w:r>
        <w:rPr>
          <w:rFonts w:hint="eastAsia" w:ascii="宋体" w:hAnsi="宋体" w:cs="宋体"/>
          <w:szCs w:val="21"/>
          <w:highlight w:val="none"/>
        </w:rPr>
        <w:t>。</w:t>
      </w:r>
    </w:p>
    <w:p w14:paraId="60225245">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14.2 开标由采购人或者采购代理机构主持，邀请投标人参加。评标委员会成员不得参加开标活动。</w:t>
      </w:r>
    </w:p>
    <w:p w14:paraId="53F2B763">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14.3 开标时，由投标人或者其推选的代表检查投标文件的密封情况；经确认无误后，由采购人或者采购代理机构工作人员当众拆封</w:t>
      </w:r>
      <w:r>
        <w:rPr>
          <w:rFonts w:ascii="宋体" w:hAnsi="宋体" w:cs="宋体"/>
          <w:b/>
          <w:bCs/>
          <w:sz w:val="21"/>
          <w:szCs w:val="21"/>
          <w:highlight w:val="none"/>
        </w:rPr>
        <w:t>投标文件正本</w:t>
      </w:r>
      <w:r>
        <w:rPr>
          <w:rFonts w:ascii="宋体" w:hAnsi="宋体" w:cs="宋体"/>
          <w:sz w:val="21"/>
          <w:szCs w:val="21"/>
          <w:highlight w:val="none"/>
        </w:rPr>
        <w:t>，宣布投标人名称、投标价格和招标文件规定的需要宣布的其他内容。</w:t>
      </w:r>
    </w:p>
    <w:p w14:paraId="78DD15F9">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14.4 开标过程由采购人或者采购代理机构负责记录，由参加开标的各投标人代表和相关工作人员签字确认后随采购文件一并存档。投标人未参加开标的，视同认可开标结果。</w:t>
      </w:r>
    </w:p>
    <w:p w14:paraId="773284A8">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14.5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EB37404">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14.6 在政府采购活动中，采购人员及相关人员与投标人有下列利害关系之一的，应当回避：</w:t>
      </w:r>
    </w:p>
    <w:p w14:paraId="28D862C0">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（1）参加采购活动前3年内与投标人存在劳动关系；</w:t>
      </w:r>
    </w:p>
    <w:p w14:paraId="7CBF87EF">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（2）参加采购活动前3年内担任投标人的董事、监事；</w:t>
      </w:r>
    </w:p>
    <w:p w14:paraId="79410586">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（3）参加采购活动前3年内是投标人的控股股东或者实际控制人；</w:t>
      </w:r>
    </w:p>
    <w:p w14:paraId="259EE70E">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（4）与投标人的法定代表人或者负责人有夫妻、直系血亲、三代以内旁系血亲或者近姻亲关系；</w:t>
      </w:r>
    </w:p>
    <w:p w14:paraId="52D31E1E">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（5）与投标人有其他可能影响政府采购活动公平、公正进行的关系。</w:t>
      </w:r>
    </w:p>
    <w:p w14:paraId="3C05A8BE">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投标人认为采购人员及相关人员（包括评标委员会的组成人员）与其他投标人有利害关系的，可以向采购人或者采购代理机构书面提出回避申请，并说明理由。采购人或者采购代理机构应当及时询问被申请回避人员，有利害关系的被申请回避人员应当回避。</w:t>
      </w:r>
    </w:p>
    <w:p w14:paraId="74F96185">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14.7 对线上采购项目，采购人或者采购代理机构将在</w:t>
      </w:r>
      <w:r>
        <w:rPr>
          <w:rFonts w:hint="eastAsia" w:ascii="宋体" w:hAnsi="宋体" w:cs="宋体"/>
          <w:b/>
          <w:szCs w:val="21"/>
          <w:highlight w:val="none"/>
        </w:rPr>
        <w:t>投标人须知前附表</w:t>
      </w:r>
      <w:r>
        <w:rPr>
          <w:rFonts w:hint="eastAsia" w:ascii="宋体" w:hAnsi="宋体" w:cs="宋体"/>
          <w:szCs w:val="21"/>
          <w:highlight w:val="none"/>
        </w:rPr>
        <w:t>规定的时间进行电子开标，采购人或者采购代理机构将对开标、评标现场活动进行全程录音录像，音像资料作为采购文件一并存档。开标由采购人或者采购代理机构主持，投标人通过登录评审管理系统进入开标大厅远程参加。</w:t>
      </w:r>
    </w:p>
    <w:p w14:paraId="29DFB8F6">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15</w:t>
      </w:r>
      <w:r>
        <w:rPr>
          <w:rFonts w:hint="eastAsia" w:ascii="宋体" w:hAnsi="宋体" w:cs="宋体"/>
          <w:szCs w:val="21"/>
          <w:highlight w:val="none"/>
        </w:rPr>
        <w:t>．</w:t>
      </w:r>
      <w:r>
        <w:rPr>
          <w:rFonts w:hint="eastAsia" w:ascii="宋体" w:hAnsi="宋体" w:cs="宋体"/>
          <w:b/>
          <w:szCs w:val="21"/>
          <w:highlight w:val="none"/>
        </w:rPr>
        <w:t>投标资格审查</w:t>
      </w:r>
    </w:p>
    <w:p w14:paraId="66ADED64">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15.1 公开招标采购项目开标结束后，由采购人或者采购代理机构依法对投标人的资格进行审查，以确定投标人是否具备投标资格。</w:t>
      </w:r>
    </w:p>
    <w:p w14:paraId="54188FA6">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15.1.1 审查投标人按照8.2.1提交的</w:t>
      </w:r>
      <w:r>
        <w:rPr>
          <w:rFonts w:hint="eastAsia" w:ascii="宋体" w:hAnsi="宋体" w:cs="宋体"/>
          <w:b/>
          <w:szCs w:val="21"/>
          <w:highlight w:val="none"/>
        </w:rPr>
        <w:t>“资格证明文件”</w:t>
      </w:r>
      <w:r>
        <w:rPr>
          <w:rFonts w:hint="eastAsia" w:ascii="宋体" w:hAnsi="宋体" w:cs="宋体"/>
          <w:szCs w:val="21"/>
          <w:highlight w:val="none"/>
        </w:rPr>
        <w:t>。</w:t>
      </w:r>
    </w:p>
    <w:p w14:paraId="6E81A893">
      <w:pPr>
        <w:topLinePunct/>
        <w:autoSpaceDE w:val="0"/>
        <w:autoSpaceDN w:val="0"/>
        <w:adjustRightInd w:val="0"/>
        <w:snapToGrid w:val="0"/>
        <w:spacing w:line="360" w:lineRule="auto"/>
        <w:ind w:firstLine="420" w:firstLineChars="200"/>
        <w:rPr>
          <w:rFonts w:ascii="宋体" w:hAnsi="宋体" w:cs="宋体"/>
          <w:b/>
          <w:bCs/>
          <w:szCs w:val="21"/>
          <w:highlight w:val="none"/>
        </w:rPr>
      </w:pPr>
      <w:r>
        <w:rPr>
          <w:rFonts w:hint="eastAsia" w:ascii="宋体" w:hAnsi="宋体" w:cs="宋体"/>
          <w:szCs w:val="21"/>
          <w:highlight w:val="none"/>
        </w:rPr>
        <w:t>15.1.2 信用记录审查。</w:t>
      </w:r>
      <w:r>
        <w:rPr>
          <w:rFonts w:hint="eastAsia" w:ascii="宋体" w:hAnsi="宋体" w:cs="宋体"/>
          <w:b/>
          <w:bCs/>
          <w:szCs w:val="21"/>
          <w:highlight w:val="none"/>
        </w:rPr>
        <w:t>见投标人须知前附表。</w:t>
      </w:r>
    </w:p>
    <w:p w14:paraId="6D6840CD">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15.2 未通过资格审查的投标人，其投标无效。</w:t>
      </w:r>
    </w:p>
    <w:p w14:paraId="76D724EE">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15.3 合格投标人不足3家的，不得评标。</w:t>
      </w:r>
    </w:p>
    <w:p w14:paraId="194CA939">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16</w:t>
      </w:r>
      <w:r>
        <w:rPr>
          <w:rFonts w:hint="eastAsia" w:ascii="宋体" w:hAnsi="宋体" w:cs="宋体"/>
          <w:szCs w:val="21"/>
          <w:highlight w:val="none"/>
        </w:rPr>
        <w:t>．</w:t>
      </w:r>
      <w:r>
        <w:rPr>
          <w:rFonts w:hint="eastAsia" w:ascii="宋体" w:hAnsi="宋体" w:cs="宋体"/>
          <w:b/>
          <w:szCs w:val="21"/>
          <w:highlight w:val="none"/>
        </w:rPr>
        <w:t>评标委员会的组成</w:t>
      </w:r>
    </w:p>
    <w:p w14:paraId="15DDBBEA">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16.1 采购人或者采购代理机构根据有关法律法规规定组建评标委员会，评标委员会由采购人代表和评审专家组成。</w:t>
      </w:r>
    </w:p>
    <w:p w14:paraId="5A78CBF9">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17</w:t>
      </w:r>
      <w:r>
        <w:rPr>
          <w:rFonts w:hint="eastAsia" w:ascii="宋体" w:hAnsi="宋体" w:cs="宋体"/>
          <w:szCs w:val="21"/>
          <w:highlight w:val="none"/>
        </w:rPr>
        <w:t>．</w:t>
      </w:r>
      <w:r>
        <w:rPr>
          <w:rFonts w:hint="eastAsia" w:ascii="宋体" w:hAnsi="宋体" w:cs="宋体"/>
          <w:b/>
          <w:szCs w:val="21"/>
          <w:highlight w:val="none"/>
        </w:rPr>
        <w:t>投标符合性审查</w:t>
      </w:r>
    </w:p>
    <w:p w14:paraId="63ADE104">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17.1 评标委员会对符合资格的投标人的投标文件进行符合性审查，以确定其是否符合招标文件的商务、技术等实质性要求。</w:t>
      </w:r>
    </w:p>
    <w:p w14:paraId="2E02A0E2">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17.2 未通过符合性审查的投标人，其投标无效。</w:t>
      </w:r>
    </w:p>
    <w:p w14:paraId="4907958B">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17.3 通过符合性审查的投标人不足3家的，应予以废标。</w:t>
      </w:r>
    </w:p>
    <w:p w14:paraId="25CE9BB0">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18</w:t>
      </w:r>
      <w:r>
        <w:rPr>
          <w:rFonts w:hint="eastAsia" w:ascii="宋体" w:hAnsi="宋体" w:cs="宋体"/>
          <w:szCs w:val="21"/>
          <w:highlight w:val="none"/>
        </w:rPr>
        <w:t>．</w:t>
      </w:r>
      <w:r>
        <w:rPr>
          <w:rFonts w:hint="eastAsia" w:ascii="宋体" w:hAnsi="宋体" w:cs="宋体"/>
          <w:b/>
          <w:szCs w:val="21"/>
          <w:highlight w:val="none"/>
        </w:rPr>
        <w:t>投标文件的澄清</w:t>
      </w:r>
    </w:p>
    <w:p w14:paraId="25D5627D">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18.1对于投标文件中含义不明确、同类问题表述不一致或者有明显文字和计算错误的内容，评标委员会应当以书面形式要求投标人作出必要的澄清、说明或者补正。</w:t>
      </w:r>
    </w:p>
    <w:p w14:paraId="42FD2ADE">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18.2投标人的澄清、说明或者补正应当采用书面形式，并加盖公章，或者由法定代表人或其授权的代表签字。（线上采购项目的通过评审管理系统上传加盖电子公章的扫描件）。投标人的澄清、说明或者补正不得超出投标文件的范围或者改变投标文件的实质性内容。</w:t>
      </w:r>
    </w:p>
    <w:p w14:paraId="575710EF">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18.3关于投标描述（即投标文件中描述的内容）</w:t>
      </w:r>
    </w:p>
    <w:p w14:paraId="327C231D">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（1）投标描述前后不一致且不涉及证明材料的：按照本节第18.1条规定执行。</w:t>
      </w:r>
    </w:p>
    <w:p w14:paraId="0EFEFF9D">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（2）投标描述与证明材料不一致或多份证明材料之间不一致的：</w:t>
      </w:r>
    </w:p>
    <w:p w14:paraId="4EA1F07A">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①评标委员会将要求投标人进行书面澄清，无法澄清的将按照不利于投标人的内容进行评标。</w:t>
      </w:r>
    </w:p>
    <w:p w14:paraId="5B02CC11">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②投标人按照要求进行澄清的，采购人以澄清内容为准进行验收；投标人未按照要求进行澄清的，采购人以投标描述或证明材料中有利于采购人的内容进行验收。投标人应对证明材料的真实性、有效性承担责任。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8AF251F">
      <w:pPr>
        <w:pStyle w:val="35"/>
        <w:widowControl w:val="0"/>
        <w:spacing w:line="360" w:lineRule="auto"/>
        <w:ind w:firstLine="420" w:firstLineChars="200"/>
        <w:rPr>
          <w:rFonts w:hint="default" w:ascii="宋体" w:hAnsi="宋体" w:cs="宋体"/>
          <w:sz w:val="21"/>
          <w:szCs w:val="21"/>
          <w:highlight w:val="none"/>
        </w:rPr>
      </w:pPr>
      <w:r>
        <w:rPr>
          <w:rFonts w:ascii="宋体" w:hAnsi="宋体" w:cs="宋体"/>
          <w:sz w:val="21"/>
          <w:szCs w:val="21"/>
          <w:highlight w:val="none"/>
        </w:rPr>
        <w:t>（3）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222F4CB">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18.4 除评标委员会要求投标人做出的澄清、说明或者补正以外，评标委员会不接受投标人的任何询问、说明、更改及文件。</w:t>
      </w:r>
    </w:p>
    <w:p w14:paraId="63AF0744">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18.5 投标人的澄清必须在规定的时间内提交。</w:t>
      </w:r>
    </w:p>
    <w:p w14:paraId="3BCAC49E">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19</w:t>
      </w:r>
      <w:r>
        <w:rPr>
          <w:rFonts w:hint="eastAsia" w:ascii="宋体" w:hAnsi="宋体" w:cs="宋体"/>
          <w:szCs w:val="21"/>
          <w:highlight w:val="none"/>
        </w:rPr>
        <w:t>．</w:t>
      </w:r>
      <w:r>
        <w:rPr>
          <w:rFonts w:hint="eastAsia" w:ascii="宋体" w:hAnsi="宋体" w:cs="宋体"/>
          <w:b/>
          <w:szCs w:val="21"/>
          <w:highlight w:val="none"/>
        </w:rPr>
        <w:t>核价原则</w:t>
      </w:r>
    </w:p>
    <w:p w14:paraId="14D451AD">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bCs/>
          <w:szCs w:val="21"/>
          <w:highlight w:val="none"/>
        </w:rPr>
        <w:t xml:space="preserve">19.1 </w:t>
      </w:r>
      <w:r>
        <w:rPr>
          <w:rFonts w:hint="eastAsia" w:ascii="宋体" w:hAnsi="宋体" w:cs="宋体"/>
          <w:szCs w:val="21"/>
          <w:highlight w:val="none"/>
        </w:rPr>
        <w:t>投标文件报价出现前后不一致的，除招标文件另有规定外，按照下列规定修正：</w:t>
      </w:r>
    </w:p>
    <w:p w14:paraId="4089E3EB">
      <w:pPr>
        <w:overflowPunct w:val="0"/>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（1）投标文件中开标一览表（总报价表）内容与投标文件中相应内容不一致的，以开标一览表（总报价表）为准；</w:t>
      </w:r>
    </w:p>
    <w:p w14:paraId="33C63128">
      <w:pPr>
        <w:overflowPunct w:val="0"/>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（2）大写金额和小写金额不一致的，以大写金额为准；</w:t>
      </w:r>
    </w:p>
    <w:p w14:paraId="52A6344D">
      <w:pPr>
        <w:overflowPunct w:val="0"/>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（3）单价金额小数点或者百分比有明显错位的，以开标一览表的总价为准，并修改单价；</w:t>
      </w:r>
    </w:p>
    <w:p w14:paraId="4D9317E9">
      <w:pPr>
        <w:overflowPunct w:val="0"/>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（4）总价金额与按单价汇总金额不一致的，以单价金额计算结果为准。</w:t>
      </w:r>
    </w:p>
    <w:p w14:paraId="7C551E69">
      <w:pPr>
        <w:overflowPunct w:val="0"/>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（5）同时出现两种以上不一致的，按照前款规定的顺序修正。修正后的报价按照18.2条的规定经投标人确认后产生约束力，投标人不确认的，其投标无效。</w:t>
      </w:r>
    </w:p>
    <w:p w14:paraId="291A1D0C">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20</w:t>
      </w:r>
      <w:r>
        <w:rPr>
          <w:rFonts w:hint="eastAsia" w:ascii="宋体" w:hAnsi="宋体" w:cs="宋体"/>
          <w:szCs w:val="21"/>
          <w:highlight w:val="none"/>
        </w:rPr>
        <w:t>．</w:t>
      </w:r>
      <w:r>
        <w:rPr>
          <w:rFonts w:hint="eastAsia" w:ascii="宋体" w:hAnsi="宋体" w:cs="宋体"/>
          <w:b/>
          <w:szCs w:val="21"/>
          <w:highlight w:val="none"/>
        </w:rPr>
        <w:t>投标无效</w:t>
      </w:r>
    </w:p>
    <w:p w14:paraId="40F64BF0">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20.1 投标人及投标文件有下列情况之一的，应当在资格审查时按照投标无效处理：</w:t>
      </w:r>
    </w:p>
    <w:p w14:paraId="22746044">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 不具备招标文件中规定的资格要求的；</w:t>
      </w:r>
    </w:p>
    <w:p w14:paraId="56FE3BBD">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 投标文件组成中“资格证明文件”未提供或无效的；</w:t>
      </w:r>
    </w:p>
    <w:p w14:paraId="4A87F723">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 未通过信用记录审查或未提供相关证明材料的。</w:t>
      </w:r>
    </w:p>
    <w:p w14:paraId="6D597FE5">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20.2 投标人及投标文件有下列情况之一的，应当在符合性审查时按照投标无效处理：</w:t>
      </w:r>
    </w:p>
    <w:p w14:paraId="0D7D943A">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 投标文件组成中除“资格证明文件”外，★条款相关文件及资料未提供或提供无效的；</w:t>
      </w:r>
    </w:p>
    <w:p w14:paraId="0E7D8706">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 投标文件未按招标文件要求签署、盖章的；</w:t>
      </w:r>
    </w:p>
    <w:p w14:paraId="5CF68C6A">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 投标报价超过招标文件中规定的预算金额或者最高限价的；</w:t>
      </w:r>
    </w:p>
    <w:p w14:paraId="1DD5C1BA">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 投标有效期不足的；</w:t>
      </w:r>
    </w:p>
    <w:p w14:paraId="607012FB">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 投标文件含有采购人不能接受的附加条件的；</w:t>
      </w:r>
    </w:p>
    <w:p w14:paraId="14780AD7">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20.3 除20.1及20.2情形外，投标人及投标文件有下列情况之一的，应当按照投标无效处理：</w:t>
      </w:r>
    </w:p>
    <w:p w14:paraId="22A59D64">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 提供虚假投标文件材料的；</w:t>
      </w:r>
    </w:p>
    <w:p w14:paraId="659B6254">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 投标人串通投标的；</w:t>
      </w:r>
    </w:p>
    <w:p w14:paraId="7097BF04">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 投标报价明显低于其他通过符合性审查投标人的报价，且不能证明其报价合理性的。</w:t>
      </w:r>
    </w:p>
    <w:p w14:paraId="3D9DD95D">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 法律、法规和招标文件规定的其他无效情形。</w:t>
      </w:r>
    </w:p>
    <w:p w14:paraId="60BE64C2">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21</w:t>
      </w:r>
      <w:r>
        <w:rPr>
          <w:rFonts w:hint="eastAsia" w:ascii="宋体" w:hAnsi="宋体" w:cs="宋体"/>
          <w:szCs w:val="21"/>
          <w:highlight w:val="none"/>
        </w:rPr>
        <w:t>．</w:t>
      </w:r>
      <w:r>
        <w:rPr>
          <w:rFonts w:hint="eastAsia" w:ascii="宋体" w:hAnsi="宋体" w:cs="宋体"/>
          <w:b/>
          <w:szCs w:val="21"/>
          <w:highlight w:val="none"/>
        </w:rPr>
        <w:t>比较与评价</w:t>
      </w:r>
    </w:p>
    <w:p w14:paraId="3B176F73">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21.1 评标委员会按照招标文件中规定的评标方法和标准，对符合性审查合格的投标文件进行商务和技术评估，综合比较与评价。</w:t>
      </w:r>
    </w:p>
    <w:p w14:paraId="68055A86">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21.2 价格分应当采用低价优先法计算。小型、微型企业和监狱企业、残疾人福利性单位的投标报价按照</w:t>
      </w:r>
      <w:r>
        <w:rPr>
          <w:rFonts w:hint="eastAsia" w:ascii="宋体" w:hAnsi="宋体" w:cs="宋体"/>
          <w:b/>
          <w:szCs w:val="21"/>
          <w:highlight w:val="none"/>
        </w:rPr>
        <w:t>投标人须知前附表</w:t>
      </w:r>
      <w:r>
        <w:rPr>
          <w:rFonts w:hint="eastAsia" w:ascii="宋体" w:hAnsi="宋体" w:cs="宋体"/>
          <w:szCs w:val="21"/>
          <w:highlight w:val="none"/>
        </w:rPr>
        <w:t>规定，分别给予扣除，并以扣除后的报价计算价格分。未提供《中小型企业声明函》、《监狱企业证明文件》、《残疾人福利性单位声明函》的，价格不予扣除。同一投标人不得重复享受价格扣除政策。</w:t>
      </w:r>
    </w:p>
    <w:p w14:paraId="2FDBE4D4">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21.3 评标委员会各成员独立对每个投标人的投标文件进行评价，并汇总得出每个投标人的评审得分。</w:t>
      </w:r>
    </w:p>
    <w:p w14:paraId="6CD16B45">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21.4 评标结果按评审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D6EE111">
      <w:pPr>
        <w:topLinePunct/>
        <w:autoSpaceDE w:val="0"/>
        <w:autoSpaceDN w:val="0"/>
        <w:adjustRightInd w:val="0"/>
        <w:snapToGrid w:val="0"/>
        <w:spacing w:line="360" w:lineRule="auto"/>
        <w:ind w:firstLine="420" w:firstLineChars="200"/>
        <w:rPr>
          <w:rFonts w:ascii="宋体" w:hAnsi="宋体" w:cs="宋体"/>
          <w:b/>
          <w:szCs w:val="21"/>
          <w:highlight w:val="none"/>
        </w:rPr>
      </w:pPr>
      <w:r>
        <w:rPr>
          <w:rFonts w:hint="eastAsia" w:ascii="宋体" w:hAnsi="宋体" w:cs="宋体"/>
          <w:szCs w:val="21"/>
          <w:highlight w:val="none"/>
        </w:rPr>
        <w:t>21.5 评标方法及标准</w:t>
      </w:r>
      <w:r>
        <w:rPr>
          <w:rFonts w:hint="eastAsia" w:ascii="宋体" w:hAnsi="宋体" w:cs="宋体"/>
          <w:b/>
          <w:szCs w:val="21"/>
          <w:highlight w:val="none"/>
        </w:rPr>
        <w:t>详见招标文件商务部分第三章。</w:t>
      </w:r>
    </w:p>
    <w:p w14:paraId="1A009CF3">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21.6 评标委员会成员应当在评标报告上签字，对自己的评审意见承担法律责任。评标委员会成员对需要共同认定的事项存在争议的，应当按照少数服从多数的原则作出结论。持不同意见的评标委员会成员应当在评标报告上签署不同意见及理由，否则视为同意评标报告。</w:t>
      </w:r>
    </w:p>
    <w:p w14:paraId="2B84D36B">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22</w:t>
      </w:r>
      <w:r>
        <w:rPr>
          <w:rFonts w:hint="eastAsia" w:ascii="宋体" w:hAnsi="宋体" w:cs="宋体"/>
          <w:szCs w:val="21"/>
          <w:highlight w:val="none"/>
        </w:rPr>
        <w:t>．</w:t>
      </w:r>
      <w:r>
        <w:rPr>
          <w:rFonts w:hint="eastAsia" w:ascii="宋体" w:hAnsi="宋体" w:cs="宋体"/>
          <w:b/>
          <w:szCs w:val="21"/>
          <w:highlight w:val="none"/>
        </w:rPr>
        <w:t>废标</w:t>
      </w:r>
    </w:p>
    <w:p w14:paraId="01B73274">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22.1 在招标采购中，出现下列情形之一的，应予废标：</w:t>
      </w:r>
    </w:p>
    <w:p w14:paraId="2341CEC6">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（1）符合专业条件的供应商或者对招标文件作实质响应的供应商不足三家的；</w:t>
      </w:r>
    </w:p>
    <w:p w14:paraId="709C1474">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（2）出现影响采购公正的违法、违规行为的；</w:t>
      </w:r>
    </w:p>
    <w:p w14:paraId="2D90F2A3">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（3）投标人的报价均超过了采购预算，采购人不能支付的；</w:t>
      </w:r>
    </w:p>
    <w:p w14:paraId="055006CC">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（4）因重大变故，采购任务取消的。</w:t>
      </w:r>
    </w:p>
    <w:p w14:paraId="12A6B592">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22.2 废标后，采购人或者采购代理机构将废标理由通知所有投标人。</w:t>
      </w:r>
    </w:p>
    <w:p w14:paraId="19BA6351">
      <w:pPr>
        <w:spacing w:line="360" w:lineRule="auto"/>
        <w:ind w:firstLine="482" w:firstLineChars="200"/>
        <w:outlineLvl w:val="1"/>
        <w:rPr>
          <w:rFonts w:ascii="宋体" w:hAnsi="宋体" w:cs="宋体"/>
          <w:b/>
          <w:bCs/>
          <w:sz w:val="24"/>
          <w:szCs w:val="24"/>
          <w:highlight w:val="none"/>
        </w:rPr>
      </w:pPr>
      <w:bookmarkStart w:id="20" w:name="_Toc15742"/>
      <w:bookmarkStart w:id="21" w:name="_Toc132880279"/>
      <w:r>
        <w:rPr>
          <w:rFonts w:hint="eastAsia" w:ascii="宋体" w:hAnsi="宋体" w:cs="宋体"/>
          <w:b/>
          <w:bCs/>
          <w:sz w:val="24"/>
          <w:szCs w:val="24"/>
          <w:highlight w:val="none"/>
        </w:rPr>
        <w:t>六、中标和合同</w:t>
      </w:r>
      <w:bookmarkEnd w:id="20"/>
      <w:bookmarkEnd w:id="21"/>
    </w:p>
    <w:p w14:paraId="596C42C4">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23</w:t>
      </w:r>
      <w:r>
        <w:rPr>
          <w:rFonts w:hint="eastAsia" w:ascii="宋体" w:hAnsi="宋体" w:cs="宋体"/>
          <w:szCs w:val="21"/>
          <w:highlight w:val="none"/>
        </w:rPr>
        <w:t>．</w:t>
      </w:r>
      <w:r>
        <w:rPr>
          <w:rFonts w:hint="eastAsia" w:ascii="宋体" w:hAnsi="宋体" w:cs="宋体"/>
          <w:b/>
          <w:szCs w:val="21"/>
          <w:highlight w:val="none"/>
        </w:rPr>
        <w:t>中标</w:t>
      </w:r>
    </w:p>
    <w:p w14:paraId="4C0320D7">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23.1采购代理机构应当在评标结束后2个工作日内将评标报告送采购人。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FB5C8EC">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采购人自行组织招标的，采购人应当在评标结束后5个工作日内，按评标报告推荐的中标候选人顺序确定中标人。</w:t>
      </w:r>
    </w:p>
    <w:p w14:paraId="1731B615">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23.2 采购人或者采购代理机构应当自中标人确定之日起2个工作日内，在</w:t>
      </w:r>
      <w:r>
        <w:rPr>
          <w:rFonts w:hint="eastAsia" w:ascii="宋体" w:hAnsi="宋体" w:cs="宋体"/>
          <w:b/>
          <w:szCs w:val="21"/>
          <w:highlight w:val="none"/>
        </w:rPr>
        <w:t>投标人须知前附表</w:t>
      </w:r>
      <w:r>
        <w:rPr>
          <w:rFonts w:hint="eastAsia" w:ascii="宋体" w:hAnsi="宋体" w:cs="宋体"/>
          <w:szCs w:val="21"/>
          <w:highlight w:val="none"/>
        </w:rPr>
        <w:t>规定的媒体上公告中标结果，招标文件应随中标结果同时公告。中标公告期限为1个工作日。</w:t>
      </w:r>
    </w:p>
    <w:p w14:paraId="450A4F3A">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23.3 在公告中标结果的同时，采购人或者采购代理机构应当向中标人发出中标通知书（对线上采购项目，通过评审管理系统发出中标通知书）；对未通过资格审查的投标人，告知其未通过的原因；采用综合评分法评审的，同时告知未中标人本人的评审得分与排序。</w:t>
      </w:r>
    </w:p>
    <w:p w14:paraId="5D68AE3C">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23.4 中标通知书发出后，采购人或者采购代理机构不得违法改变中标结果，中标人无正当理由不得放弃中标。</w:t>
      </w:r>
    </w:p>
    <w:p w14:paraId="6DD98837">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23.5 中标通知书对采购人和中标人具有同等法律效力。</w:t>
      </w:r>
    </w:p>
    <w:p w14:paraId="7DA5599C">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24</w:t>
      </w:r>
      <w:r>
        <w:rPr>
          <w:rFonts w:hint="eastAsia" w:ascii="宋体" w:hAnsi="宋体" w:cs="宋体"/>
          <w:szCs w:val="21"/>
          <w:highlight w:val="none"/>
        </w:rPr>
        <w:t>．</w:t>
      </w:r>
      <w:r>
        <w:rPr>
          <w:rFonts w:hint="eastAsia" w:ascii="宋体" w:hAnsi="宋体" w:cs="宋体"/>
          <w:b/>
          <w:szCs w:val="21"/>
          <w:highlight w:val="none"/>
        </w:rPr>
        <w:t>签订合同</w:t>
      </w:r>
    </w:p>
    <w:p w14:paraId="46D8FB8F">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24.1 采购人应当自中标通知书发出之日起30日内，按照招标文件和中标人投标文件的规定，与中标人签订合同。</w:t>
      </w:r>
      <w:r>
        <w:rPr>
          <w:rFonts w:hint="eastAsia" w:ascii="宋体" w:hAnsi="宋体" w:cs="宋体"/>
          <w:szCs w:val="21"/>
          <w:highlight w:val="none"/>
          <w:u w:val="single"/>
        </w:rPr>
        <w:t>线上采购项目可通过评审管理系统签订合同</w:t>
      </w:r>
      <w:r>
        <w:rPr>
          <w:rFonts w:hint="eastAsia" w:ascii="宋体" w:hAnsi="宋体" w:cs="宋体"/>
          <w:szCs w:val="21"/>
          <w:highlight w:val="none"/>
        </w:rPr>
        <w:t>。</w:t>
      </w:r>
    </w:p>
    <w:p w14:paraId="54AA3CA2">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24.2 所签订的合同不得对招标文件确定的事项和中标人投标文件作实质性修改。</w:t>
      </w:r>
    </w:p>
    <w:p w14:paraId="178E2BFD">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24.3 采购人不得向中标人提出任何不合理的要求作为签订合同的条件。</w:t>
      </w:r>
    </w:p>
    <w:p w14:paraId="7E552196">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24.4 中标人拒绝与采购人签订合同的，采购人可以按照评审报告推荐的中标候选人名单排序，确定下一候选人为中标人，也可以重新开展政府采购活动。</w:t>
      </w:r>
    </w:p>
    <w:p w14:paraId="3AA16B8F">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25</w:t>
      </w:r>
      <w:r>
        <w:rPr>
          <w:rFonts w:hint="eastAsia" w:ascii="宋体" w:hAnsi="宋体" w:cs="宋体"/>
          <w:szCs w:val="21"/>
          <w:highlight w:val="none"/>
        </w:rPr>
        <w:t>．</w:t>
      </w:r>
      <w:r>
        <w:rPr>
          <w:rFonts w:hint="eastAsia" w:ascii="宋体" w:hAnsi="宋体" w:cs="宋体"/>
          <w:b/>
          <w:szCs w:val="21"/>
          <w:highlight w:val="none"/>
        </w:rPr>
        <w:t>履约保证金</w:t>
      </w:r>
    </w:p>
    <w:p w14:paraId="53206B4F">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25.1 需提交履约保证金的项目，中标人应在合同签订之日起30日内，按照</w:t>
      </w:r>
      <w:r>
        <w:rPr>
          <w:rFonts w:hint="eastAsia" w:ascii="宋体" w:hAnsi="宋体" w:cs="宋体"/>
          <w:b/>
          <w:szCs w:val="21"/>
          <w:highlight w:val="none"/>
        </w:rPr>
        <w:t>投标人须知前附表</w:t>
      </w:r>
      <w:r>
        <w:rPr>
          <w:rFonts w:hint="eastAsia" w:ascii="宋体" w:hAnsi="宋体" w:cs="宋体"/>
          <w:szCs w:val="21"/>
          <w:highlight w:val="none"/>
        </w:rPr>
        <w:t>的规定，向采购人提交履约保证金。</w:t>
      </w:r>
    </w:p>
    <w:p w14:paraId="485E2948">
      <w:pPr>
        <w:spacing w:line="360" w:lineRule="auto"/>
        <w:ind w:firstLine="482" w:firstLineChars="200"/>
        <w:outlineLvl w:val="1"/>
        <w:rPr>
          <w:rFonts w:ascii="宋体" w:hAnsi="宋体" w:cs="宋体"/>
          <w:b/>
          <w:bCs/>
          <w:sz w:val="24"/>
          <w:szCs w:val="24"/>
          <w:highlight w:val="none"/>
        </w:rPr>
      </w:pPr>
      <w:bookmarkStart w:id="22" w:name="_Toc132880280"/>
      <w:bookmarkStart w:id="23" w:name="_Toc5988"/>
      <w:r>
        <w:rPr>
          <w:rFonts w:hint="eastAsia" w:ascii="宋体" w:hAnsi="宋体" w:cs="宋体"/>
          <w:b/>
          <w:bCs/>
          <w:sz w:val="24"/>
          <w:szCs w:val="24"/>
          <w:highlight w:val="none"/>
        </w:rPr>
        <w:t>七、询问和质疑</w:t>
      </w:r>
      <w:bookmarkEnd w:id="22"/>
      <w:bookmarkEnd w:id="23"/>
    </w:p>
    <w:p w14:paraId="3E45844D">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26. 询问</w:t>
      </w:r>
    </w:p>
    <w:p w14:paraId="7626AE28">
      <w:pPr>
        <w:topLinePunct/>
        <w:autoSpaceDE w:val="0"/>
        <w:autoSpaceDN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26.1潜在投标人、投标人对政府采购活动事项有疑问的，可以向采购人或者采购代理机构提出询问，采购人或者采购代理机构应当在3个工作日内对依法提出的询问作出答复，但答复的内容不得涉及商业秘密。</w:t>
      </w:r>
    </w:p>
    <w:p w14:paraId="01257F4C">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27</w:t>
      </w:r>
      <w:r>
        <w:rPr>
          <w:rFonts w:hint="eastAsia" w:ascii="宋体" w:hAnsi="宋体" w:cs="宋体"/>
          <w:szCs w:val="21"/>
          <w:highlight w:val="none"/>
        </w:rPr>
        <w:t>．</w:t>
      </w:r>
      <w:r>
        <w:rPr>
          <w:rFonts w:hint="eastAsia" w:ascii="宋体" w:hAnsi="宋体" w:cs="宋体"/>
          <w:b/>
          <w:szCs w:val="21"/>
          <w:highlight w:val="none"/>
        </w:rPr>
        <w:t>质疑</w:t>
      </w:r>
    </w:p>
    <w:p w14:paraId="417EE998">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27.1潜在投标人、投标人（统称质疑人）认为招标文件、招标过程和中标结果使自己的权益受到损害的，可以在知道或者应知其权益受到损害之日起7个工作日内以书面形式向采购人或者采购代理机构提出质疑（线上采购项目可以通过评审管理系统提交）。联系部门、联系电话、通讯地址、电子邮箱</w:t>
      </w:r>
      <w:r>
        <w:rPr>
          <w:rFonts w:hint="eastAsia" w:ascii="宋体" w:hAnsi="宋体" w:cs="宋体"/>
          <w:b/>
          <w:bCs/>
          <w:szCs w:val="21"/>
          <w:highlight w:val="none"/>
        </w:rPr>
        <w:t>见</w:t>
      </w:r>
      <w:r>
        <w:rPr>
          <w:rFonts w:hint="eastAsia" w:ascii="宋体" w:hAnsi="宋体" w:cs="宋体"/>
          <w:b/>
          <w:szCs w:val="21"/>
          <w:highlight w:val="none"/>
        </w:rPr>
        <w:t>投标人须知前附表</w:t>
      </w:r>
      <w:r>
        <w:rPr>
          <w:rFonts w:hint="eastAsia" w:ascii="宋体" w:hAnsi="宋体" w:cs="宋体"/>
          <w:szCs w:val="21"/>
          <w:highlight w:val="none"/>
        </w:rPr>
        <w:t>。</w:t>
      </w:r>
    </w:p>
    <w:p w14:paraId="56AB718D">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27.2在法定质疑期内，针对同一采购程序环节的质疑应一次性提出。</w:t>
      </w:r>
    </w:p>
    <w:p w14:paraId="14D17BBE">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27.3质疑人应知其权益受到损害之日，是指： </w:t>
      </w:r>
    </w:p>
    <w:p w14:paraId="1C4C4919">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（1）对可以质疑的采购文件提出质疑的，为收到采购文件之日或者采购文件公告期限届满之日；</w:t>
      </w:r>
    </w:p>
    <w:p w14:paraId="19ABECAF">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（2）对采购过程提出质疑的，为各采购程序环节结束之日；</w:t>
      </w:r>
    </w:p>
    <w:p w14:paraId="59112A45">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（3）对中标结果提出质疑的，为中标结果公告期限届满之日。</w:t>
      </w:r>
    </w:p>
    <w:p w14:paraId="69C97F07">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27.4质疑应当有明确的请求和必要的证明材料。供应商为自然人的，应当由本人签字；供应商为法人或者其他组织的，应当由法定代表人、主要负责人，或者其授权代表签字或者签章，并加盖公章。</w:t>
      </w:r>
    </w:p>
    <w:p w14:paraId="24431BAD">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27.5 采购人或者代理机构应当在收到供应商的质疑函后7个工作日内，对质疑内容作出答复，</w:t>
      </w:r>
      <w:r>
        <w:rPr>
          <w:rFonts w:hint="eastAsia" w:ascii="宋体" w:hAnsi="宋体" w:cs="宋体"/>
          <w:bCs/>
          <w:szCs w:val="21"/>
          <w:highlight w:val="none"/>
        </w:rPr>
        <w:t>书面形式</w:t>
      </w:r>
      <w:r>
        <w:rPr>
          <w:rFonts w:hint="eastAsia" w:ascii="宋体" w:hAnsi="宋体" w:cs="宋体"/>
          <w:szCs w:val="21"/>
          <w:highlight w:val="none"/>
        </w:rPr>
        <w:t>通知质疑供应商和其他有关供应商，但答复内容不得涉及商业秘密。</w:t>
      </w:r>
    </w:p>
    <w:p w14:paraId="6DF15019">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27.6质疑人对采购人、采购代理机构的答复不满意或者采购人、采购代理机构未在规定的时间内作出答复的，可以在答复期满后15个工作日内向同级人民政府财政部门投诉。</w:t>
      </w:r>
    </w:p>
    <w:p w14:paraId="4FCE6299">
      <w:pPr>
        <w:pStyle w:val="35"/>
        <w:widowControl w:val="0"/>
        <w:spacing w:line="360" w:lineRule="auto"/>
        <w:ind w:firstLine="420" w:firstLineChars="200"/>
        <w:jc w:val="both"/>
        <w:rPr>
          <w:rFonts w:hint="default" w:ascii="宋体" w:hAnsi="宋体" w:cs="宋体"/>
          <w:sz w:val="21"/>
          <w:szCs w:val="21"/>
          <w:highlight w:val="none"/>
        </w:rPr>
      </w:pPr>
      <w:r>
        <w:rPr>
          <w:rFonts w:ascii="宋体" w:hAnsi="宋体" w:cs="宋体"/>
          <w:sz w:val="21"/>
          <w:szCs w:val="21"/>
          <w:highlight w:val="none"/>
        </w:rPr>
        <w:t>27.7投诉应当有明确的请求和必要的证明材料。投诉的事项不得超出已质疑事项的范围。</w:t>
      </w:r>
    </w:p>
    <w:p w14:paraId="73036C78">
      <w:pPr>
        <w:spacing w:line="360" w:lineRule="auto"/>
        <w:ind w:firstLine="482" w:firstLineChars="200"/>
        <w:outlineLvl w:val="1"/>
        <w:rPr>
          <w:rFonts w:ascii="宋体" w:hAnsi="宋体" w:cs="宋体"/>
          <w:b/>
          <w:bCs/>
          <w:sz w:val="24"/>
          <w:szCs w:val="24"/>
          <w:highlight w:val="none"/>
        </w:rPr>
      </w:pPr>
      <w:bookmarkStart w:id="24" w:name="_Toc8095"/>
      <w:bookmarkStart w:id="25" w:name="_Toc132880281"/>
      <w:r>
        <w:rPr>
          <w:rFonts w:hint="eastAsia" w:ascii="宋体" w:hAnsi="宋体" w:cs="宋体"/>
          <w:b/>
          <w:bCs/>
          <w:sz w:val="24"/>
          <w:szCs w:val="24"/>
          <w:highlight w:val="none"/>
        </w:rPr>
        <w:t>八、其他</w:t>
      </w:r>
      <w:bookmarkEnd w:id="24"/>
      <w:bookmarkEnd w:id="25"/>
    </w:p>
    <w:p w14:paraId="7C205598">
      <w:pPr>
        <w:topLinePunct/>
        <w:autoSpaceDE w:val="0"/>
        <w:autoSpaceDN w:val="0"/>
        <w:adjustRightInd w:val="0"/>
        <w:snapToGrid w:val="0"/>
        <w:spacing w:line="360" w:lineRule="auto"/>
        <w:ind w:firstLine="422" w:firstLineChars="200"/>
        <w:rPr>
          <w:rFonts w:ascii="宋体" w:hAnsi="宋体" w:cs="宋体"/>
          <w:b/>
          <w:szCs w:val="21"/>
          <w:highlight w:val="none"/>
        </w:rPr>
      </w:pPr>
      <w:bookmarkStart w:id="26" w:name="_Toc217989361"/>
      <w:bookmarkStart w:id="27" w:name="_Toc319519285"/>
      <w:bookmarkStart w:id="28" w:name="_Toc233181902"/>
      <w:bookmarkStart w:id="29" w:name="_Toc262111390"/>
      <w:r>
        <w:rPr>
          <w:rFonts w:hint="eastAsia" w:ascii="宋体" w:hAnsi="宋体" w:cs="宋体"/>
          <w:b/>
          <w:szCs w:val="21"/>
          <w:highlight w:val="none"/>
        </w:rPr>
        <w:t>28</w:t>
      </w:r>
      <w:r>
        <w:rPr>
          <w:rFonts w:hint="eastAsia" w:ascii="宋体" w:hAnsi="宋体" w:cs="宋体"/>
          <w:szCs w:val="21"/>
          <w:highlight w:val="none"/>
        </w:rPr>
        <w:t>．</w:t>
      </w:r>
      <w:r>
        <w:rPr>
          <w:rFonts w:hint="eastAsia" w:ascii="宋体" w:hAnsi="宋体" w:cs="宋体"/>
          <w:b/>
          <w:szCs w:val="21"/>
          <w:highlight w:val="none"/>
        </w:rPr>
        <w:t>保密</w:t>
      </w:r>
    </w:p>
    <w:p w14:paraId="1382890F">
      <w:pPr>
        <w:widowControl/>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28.1采购人、采购代理机构应当采取必要措施，保证评标在严格保密的情况下进行。除采购人代表、评标现场组织人员外，采购人的其他工作人员以及与评标工作无关的人员不得进入评标现场。</w:t>
      </w:r>
    </w:p>
    <w:p w14:paraId="43097598">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28.2 评标委员会成员和参与评标工作的有关人员对评标情况以及在评标过程中获悉的国家秘密、商业秘密负有保密责任。</w:t>
      </w:r>
    </w:p>
    <w:p w14:paraId="172C5364">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29. 知识产权与规避专利、版权纠纷</w:t>
      </w:r>
      <w:bookmarkEnd w:id="26"/>
      <w:bookmarkEnd w:id="27"/>
      <w:bookmarkEnd w:id="28"/>
      <w:bookmarkEnd w:id="29"/>
    </w:p>
    <w:p w14:paraId="2D9EE188">
      <w:pPr>
        <w:widowControl/>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29.1 知识产权</w:t>
      </w:r>
    </w:p>
    <w:p w14:paraId="1FDEB4BA">
      <w:pPr>
        <w:widowControl/>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29.1.1 项目系统的版权属于采购人所有，中标人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14:paraId="1409F5E8">
      <w:pPr>
        <w:widowControl/>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29.2 规避专利、版权纠纷</w:t>
      </w:r>
    </w:p>
    <w:p w14:paraId="4786D280">
      <w:pPr>
        <w:widowControl/>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29.2.1 投标人应保证其投标人案中的有关软件、文件、图纸等没有违反有关专利和版权等知识产权的规定。</w:t>
      </w:r>
    </w:p>
    <w:p w14:paraId="05A13E9F">
      <w:pPr>
        <w:widowControl/>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29.2.2 中标人应保证采购人在中华人民共和国使用本项目成果任何一部分、或接受乙方服务时，免受第三方提出的侵犯其专利权、商标权或工业设计权等知识产权的索赔或起诉。</w:t>
      </w:r>
    </w:p>
    <w:p w14:paraId="4EC08B14">
      <w:pPr>
        <w:widowControl/>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29.2.3 如果采购人在使用本项目任何一部分时被任何第三方诉称侵犯了第三方知识产权或任何其它权利，中标人应负责处理这一指控并应以中标人的名义自负费用向起诉方提出抗辩。由此可能产生的一切法律责任和经济责任均由中标人承担。</w:t>
      </w:r>
    </w:p>
    <w:p w14:paraId="228576DF">
      <w:pPr>
        <w:widowControl/>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29.2.4 如果采购人发现任何第三方在采购人未被许可的范围内非法使用采购人获得的知识产权，采购人应通知中标人。中标人应在收到采购人通知后14天内采取行动制止非法使用行为，否则由中标人承担相应的责任。</w:t>
      </w:r>
    </w:p>
    <w:p w14:paraId="547EC7DB">
      <w:pPr>
        <w:spacing w:line="360" w:lineRule="auto"/>
        <w:rPr>
          <w:rFonts w:ascii="宋体" w:hAnsi="宋体" w:cs="宋体"/>
          <w:szCs w:val="21"/>
          <w:highlight w:val="none"/>
        </w:rPr>
        <w:sectPr>
          <w:pgSz w:w="11907" w:h="16839"/>
          <w:pgMar w:top="1440" w:right="1334" w:bottom="1440" w:left="1332" w:header="851" w:footer="992" w:gutter="0"/>
          <w:pgBorders>
            <w:top w:val="none" w:sz="0" w:space="0"/>
            <w:left w:val="none" w:sz="0" w:space="0"/>
            <w:bottom w:val="none" w:sz="0" w:space="0"/>
            <w:right w:val="none" w:sz="0" w:space="0"/>
          </w:pgBorders>
          <w:cols w:space="720" w:num="1"/>
          <w:titlePg/>
          <w:docGrid w:linePitch="312" w:charSpace="0"/>
        </w:sectPr>
      </w:pPr>
    </w:p>
    <w:p w14:paraId="0D69561B">
      <w:pPr>
        <w:ind w:firstLine="643"/>
        <w:jc w:val="center"/>
        <w:outlineLvl w:val="0"/>
        <w:rPr>
          <w:rFonts w:ascii="宋体" w:hAnsi="宋体" w:cs="宋体"/>
          <w:b/>
          <w:bCs/>
          <w:sz w:val="32"/>
          <w:szCs w:val="32"/>
          <w:highlight w:val="none"/>
        </w:rPr>
      </w:pPr>
      <w:bookmarkStart w:id="30" w:name="_Toc21977"/>
      <w:bookmarkStart w:id="31" w:name="_Toc1380332034"/>
      <w:bookmarkStart w:id="32" w:name="_Toc132880282"/>
      <w:bookmarkStart w:id="33" w:name="_Toc937455070"/>
      <w:bookmarkStart w:id="34" w:name="_Toc38030149"/>
      <w:bookmarkStart w:id="35" w:name="_Toc1762322514"/>
      <w:bookmarkStart w:id="36" w:name="_Toc1168671576"/>
      <w:bookmarkStart w:id="37" w:name="_Toc1298913388"/>
      <w:bookmarkStart w:id="38" w:name="_Toc525052846"/>
      <w:bookmarkStart w:id="39" w:name="_Toc1481241717"/>
      <w:r>
        <w:rPr>
          <w:rFonts w:hint="eastAsia" w:ascii="宋体" w:hAnsi="宋体" w:cs="宋体"/>
          <w:b/>
          <w:bCs/>
          <w:sz w:val="32"/>
          <w:szCs w:val="32"/>
          <w:highlight w:val="none"/>
        </w:rPr>
        <w:t>第三章  评标方法及标准</w:t>
      </w:r>
      <w:bookmarkEnd w:id="30"/>
    </w:p>
    <w:p w14:paraId="1B8F380A">
      <w:pPr>
        <w:topLinePunct/>
        <w:autoSpaceDE w:val="0"/>
        <w:autoSpaceDN w:val="0"/>
        <w:adjustRightInd w:val="0"/>
        <w:snapToGrid w:val="0"/>
        <w:spacing w:line="360" w:lineRule="auto"/>
        <w:ind w:firstLine="482" w:firstLineChars="200"/>
        <w:rPr>
          <w:rFonts w:ascii="宋体" w:hAnsi="宋体" w:cs="宋体"/>
          <w:b/>
          <w:sz w:val="24"/>
          <w:highlight w:val="none"/>
        </w:rPr>
      </w:pPr>
    </w:p>
    <w:p w14:paraId="585D438F">
      <w:pPr>
        <w:topLinePunct/>
        <w:autoSpaceDE w:val="0"/>
        <w:autoSpaceDN w:val="0"/>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1.评标方法</w:t>
      </w:r>
    </w:p>
    <w:p w14:paraId="44BF86C8">
      <w:pPr>
        <w:widowControl/>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 本项目评标方法：</w:t>
      </w:r>
      <w:r>
        <w:rPr>
          <w:rFonts w:hint="eastAsia" w:ascii="宋体" w:hAnsi="宋体" w:cs="宋体"/>
          <w:b/>
          <w:szCs w:val="21"/>
          <w:highlight w:val="none"/>
          <w:u w:val="single"/>
        </w:rPr>
        <w:t>采用综合评分法</w:t>
      </w:r>
    </w:p>
    <w:p w14:paraId="65C8ECC6">
      <w:pPr>
        <w:topLinePunct/>
        <w:autoSpaceDE w:val="0"/>
        <w:autoSpaceDN w:val="0"/>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szCs w:val="21"/>
          <w:highlight w:val="none"/>
        </w:rPr>
        <w:t>2.评标标准</w:t>
      </w:r>
    </w:p>
    <w:p w14:paraId="03F9CC80">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本项目</w:t>
      </w:r>
      <w:r>
        <w:rPr>
          <w:rFonts w:hint="eastAsia" w:ascii="宋体" w:hAnsi="宋体" w:cs="宋体"/>
          <w:b/>
          <w:color w:val="auto"/>
          <w:szCs w:val="21"/>
          <w:highlight w:val="none"/>
          <w:u w:val="single"/>
        </w:rPr>
        <w:t>采用综合评分法</w:t>
      </w:r>
      <w:r>
        <w:rPr>
          <w:rFonts w:hint="eastAsia" w:ascii="宋体" w:hAnsi="宋体" w:cs="宋体"/>
          <w:color w:val="auto"/>
          <w:szCs w:val="21"/>
          <w:highlight w:val="none"/>
        </w:rPr>
        <w:t>进行评标，综合评分法是指投标文件满足招标文件全部实质性要求，且按照评审因素的量化指标评审得分最高的投标人为中标候选人的评标方法。评审因素主要内容如下表。</w:t>
      </w:r>
    </w:p>
    <w:p w14:paraId="7AC0AD4E">
      <w:pPr>
        <w:topLinePunct/>
        <w:autoSpaceDE w:val="0"/>
        <w:autoSpaceDN w:val="0"/>
        <w:spacing w:line="360" w:lineRule="auto"/>
        <w:ind w:firstLine="420" w:firstLineChars="200"/>
        <w:rPr>
          <w:rFonts w:hint="eastAsia" w:ascii="宋体" w:hAnsi="宋体" w:cs="宋体"/>
          <w:color w:val="auto"/>
          <w:sz w:val="24"/>
          <w:highlight w:val="none"/>
        </w:rPr>
      </w:pPr>
      <w:r>
        <w:rPr>
          <w:rFonts w:hint="eastAsia" w:ascii="宋体" w:hAnsi="宋体" w:cs="宋体"/>
          <w:color w:val="auto"/>
          <w:szCs w:val="21"/>
          <w:highlight w:val="none"/>
        </w:rPr>
        <w:t>2.2 本项目价格分值为</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分，其余评审因素分值为</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0</w:t>
      </w:r>
      <w:r>
        <w:rPr>
          <w:rFonts w:hint="eastAsia" w:ascii="宋体" w:hAnsi="宋体" w:cs="宋体"/>
          <w:color w:val="auto"/>
          <w:szCs w:val="21"/>
          <w:highlight w:val="none"/>
        </w:rPr>
        <w:t>分。评审标准如下表</w:t>
      </w:r>
      <w:r>
        <w:rPr>
          <w:rFonts w:hint="eastAsia" w:ascii="宋体" w:hAnsi="宋体" w:cs="宋体"/>
          <w:color w:val="auto"/>
          <w:sz w:val="24"/>
          <w:highlight w:val="none"/>
        </w:rPr>
        <w:t>：</w:t>
      </w:r>
    </w:p>
    <w:p w14:paraId="7A32130D">
      <w:pPr>
        <w:keepNext w:val="0"/>
        <w:keepLines w:val="0"/>
        <w:pageBreakBefore w:val="0"/>
        <w:widowControl w:val="0"/>
        <w:kinsoku/>
        <w:wordWrap/>
        <w:overflowPunct/>
        <w:topLinePunct/>
        <w:autoSpaceDE w:val="0"/>
        <w:autoSpaceDN w:val="0"/>
        <w:bidi w:val="0"/>
        <w:adjustRightInd/>
        <w:snapToGrid/>
        <w:spacing w:before="157" w:beforeLines="50" w:after="157" w:afterLines="50" w:line="360" w:lineRule="auto"/>
        <w:ind w:firstLine="562" w:firstLineChars="200"/>
        <w:jc w:val="center"/>
        <w:textAlignment w:val="auto"/>
        <w:rPr>
          <w:rFonts w:hint="eastAsia" w:ascii="宋体" w:hAnsi="宋体" w:cs="宋体"/>
          <w:b/>
          <w:bCs/>
          <w:color w:val="FF0000"/>
          <w:sz w:val="28"/>
          <w:szCs w:val="28"/>
          <w:highlight w:val="none"/>
          <w:lang w:val="en-US" w:eastAsia="zh-CN"/>
        </w:rPr>
      </w:pPr>
      <w:r>
        <w:rPr>
          <w:rFonts w:hint="eastAsia" w:ascii="宋体" w:hAnsi="宋体" w:cs="宋体"/>
          <w:b/>
          <w:bCs/>
          <w:sz w:val="28"/>
          <w:szCs w:val="28"/>
          <w:highlight w:val="none"/>
        </w:rPr>
        <w:t>评标因素和标准</w:t>
      </w:r>
    </w:p>
    <w:tbl>
      <w:tblPr>
        <w:tblStyle w:val="25"/>
        <w:tblW w:w="9197"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161"/>
        <w:gridCol w:w="811"/>
        <w:gridCol w:w="5899"/>
        <w:gridCol w:w="750"/>
      </w:tblGrid>
      <w:tr w14:paraId="53AC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76" w:type="dxa"/>
            <w:vAlign w:val="center"/>
          </w:tcPr>
          <w:p w14:paraId="6892A9CD">
            <w:pPr>
              <w:spacing w:line="320" w:lineRule="exact"/>
              <w:jc w:val="center"/>
              <w:rPr>
                <w:rFonts w:eastAsiaTheme="minorEastAsia"/>
                <w:b/>
                <w:bCs/>
                <w:sz w:val="21"/>
                <w:szCs w:val="21"/>
                <w:highlight w:val="none"/>
              </w:rPr>
            </w:pPr>
            <w:r>
              <w:rPr>
                <w:rFonts w:hint="eastAsia" w:eastAsiaTheme="minorEastAsia"/>
                <w:b/>
                <w:bCs/>
                <w:sz w:val="21"/>
                <w:szCs w:val="21"/>
                <w:highlight w:val="none"/>
              </w:rPr>
              <w:t>序号</w:t>
            </w:r>
          </w:p>
        </w:tc>
        <w:tc>
          <w:tcPr>
            <w:tcW w:w="1161" w:type="dxa"/>
            <w:vAlign w:val="center"/>
          </w:tcPr>
          <w:p w14:paraId="74C9AD24">
            <w:pPr>
              <w:spacing w:line="320" w:lineRule="exact"/>
              <w:jc w:val="center"/>
              <w:rPr>
                <w:rFonts w:hint="eastAsia" w:eastAsiaTheme="minorEastAsia"/>
                <w:b/>
                <w:bCs/>
                <w:sz w:val="21"/>
                <w:szCs w:val="21"/>
                <w:highlight w:val="none"/>
                <w:lang w:val="en-US" w:eastAsia="zh-CN"/>
              </w:rPr>
            </w:pPr>
            <w:r>
              <w:rPr>
                <w:rFonts w:hint="eastAsia" w:eastAsiaTheme="minorEastAsia"/>
                <w:b/>
                <w:bCs/>
                <w:sz w:val="21"/>
                <w:szCs w:val="21"/>
                <w:highlight w:val="none"/>
                <w:lang w:val="en-US" w:eastAsia="zh-CN"/>
              </w:rPr>
              <w:t>类别</w:t>
            </w:r>
          </w:p>
        </w:tc>
        <w:tc>
          <w:tcPr>
            <w:tcW w:w="811" w:type="dxa"/>
            <w:vAlign w:val="center"/>
          </w:tcPr>
          <w:p w14:paraId="0891F0C5">
            <w:pPr>
              <w:spacing w:line="320" w:lineRule="exact"/>
              <w:jc w:val="center"/>
              <w:rPr>
                <w:rFonts w:eastAsiaTheme="minorEastAsia"/>
                <w:b/>
                <w:bCs/>
                <w:sz w:val="21"/>
                <w:szCs w:val="21"/>
                <w:highlight w:val="none"/>
              </w:rPr>
            </w:pPr>
            <w:r>
              <w:rPr>
                <w:rFonts w:hint="eastAsia"/>
                <w:b/>
                <w:bCs/>
                <w:sz w:val="21"/>
                <w:szCs w:val="21"/>
                <w:highlight w:val="none"/>
              </w:rPr>
              <w:t>评审因素</w:t>
            </w:r>
          </w:p>
        </w:tc>
        <w:tc>
          <w:tcPr>
            <w:tcW w:w="5899" w:type="dxa"/>
            <w:vAlign w:val="center"/>
          </w:tcPr>
          <w:p w14:paraId="43F1A254">
            <w:pPr>
              <w:spacing w:line="320" w:lineRule="exact"/>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评分标准</w:t>
            </w:r>
          </w:p>
        </w:tc>
        <w:tc>
          <w:tcPr>
            <w:tcW w:w="750" w:type="dxa"/>
            <w:vAlign w:val="center"/>
          </w:tcPr>
          <w:p w14:paraId="575D0A82">
            <w:pPr>
              <w:spacing w:line="320" w:lineRule="exact"/>
              <w:jc w:val="center"/>
              <w:rPr>
                <w:rFonts w:eastAsiaTheme="minorEastAsia"/>
                <w:b/>
                <w:bCs/>
                <w:color w:val="auto"/>
                <w:sz w:val="21"/>
                <w:szCs w:val="21"/>
                <w:highlight w:val="none"/>
              </w:rPr>
            </w:pPr>
            <w:r>
              <w:rPr>
                <w:rFonts w:hint="eastAsia"/>
                <w:b/>
                <w:bCs/>
                <w:color w:val="auto"/>
                <w:sz w:val="21"/>
                <w:szCs w:val="21"/>
                <w:highlight w:val="none"/>
              </w:rPr>
              <w:t>分值</w:t>
            </w:r>
          </w:p>
        </w:tc>
      </w:tr>
      <w:tr w14:paraId="4722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dxa"/>
            <w:vAlign w:val="center"/>
          </w:tcPr>
          <w:p w14:paraId="30B704FC">
            <w:pPr>
              <w:spacing w:line="320" w:lineRule="exact"/>
              <w:jc w:val="center"/>
              <w:rPr>
                <w:rFonts w:ascii="宋体" w:hAnsi="宋体" w:cs="宋体"/>
                <w:sz w:val="21"/>
                <w:szCs w:val="21"/>
                <w:highlight w:val="none"/>
              </w:rPr>
            </w:pPr>
            <w:r>
              <w:rPr>
                <w:rFonts w:hint="eastAsia" w:ascii="宋体" w:hAnsi="宋体" w:cs="宋体"/>
                <w:sz w:val="21"/>
                <w:szCs w:val="21"/>
                <w:highlight w:val="none"/>
              </w:rPr>
              <w:t>1</w:t>
            </w:r>
          </w:p>
        </w:tc>
        <w:tc>
          <w:tcPr>
            <w:tcW w:w="1161" w:type="dxa"/>
            <w:vAlign w:val="center"/>
          </w:tcPr>
          <w:p w14:paraId="06F5F1C2">
            <w:pPr>
              <w:spacing w:line="320" w:lineRule="exact"/>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rPr>
              <w:t>价格</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10%</w:t>
            </w:r>
            <w:r>
              <w:rPr>
                <w:rFonts w:hint="eastAsia" w:ascii="宋体" w:hAnsi="宋体" w:cs="宋体"/>
                <w:sz w:val="21"/>
                <w:szCs w:val="21"/>
                <w:highlight w:val="none"/>
                <w:lang w:eastAsia="zh-CN"/>
              </w:rPr>
              <w:t>）</w:t>
            </w:r>
          </w:p>
        </w:tc>
        <w:tc>
          <w:tcPr>
            <w:tcW w:w="811" w:type="dxa"/>
            <w:vAlign w:val="center"/>
          </w:tcPr>
          <w:p w14:paraId="26621AE7">
            <w:pPr>
              <w:spacing w:line="320" w:lineRule="exact"/>
              <w:jc w:val="center"/>
              <w:rPr>
                <w:rFonts w:ascii="宋体" w:hAnsi="宋体" w:cs="宋体"/>
                <w:sz w:val="21"/>
                <w:szCs w:val="21"/>
                <w:highlight w:val="none"/>
              </w:rPr>
            </w:pPr>
            <w:r>
              <w:rPr>
                <w:rFonts w:hint="eastAsia" w:ascii="宋体" w:hAnsi="宋体" w:cs="宋体"/>
                <w:sz w:val="21"/>
                <w:szCs w:val="21"/>
                <w:highlight w:val="none"/>
              </w:rPr>
              <w:t>投标报价</w:t>
            </w:r>
          </w:p>
        </w:tc>
        <w:tc>
          <w:tcPr>
            <w:tcW w:w="5899" w:type="dxa"/>
          </w:tcPr>
          <w:p w14:paraId="0CF4C354">
            <w:pPr>
              <w:spacing w:line="320" w:lineRule="exact"/>
              <w:rPr>
                <w:rFonts w:ascii="宋体" w:hAnsi="宋体" w:cs="宋体"/>
                <w:color w:val="auto"/>
                <w:sz w:val="21"/>
                <w:szCs w:val="21"/>
                <w:highlight w:val="none"/>
              </w:rPr>
            </w:pPr>
            <w:r>
              <w:rPr>
                <w:rFonts w:hint="eastAsia" w:ascii="宋体" w:hAnsi="宋体" w:cs="宋体"/>
                <w:color w:val="auto"/>
                <w:sz w:val="21"/>
                <w:szCs w:val="21"/>
                <w:highlight w:val="none"/>
              </w:rPr>
              <w:t>以经评标委员会一致认定满足招标文件要求且经评审后投标价格最低的投标报价为评标基准价，其价格得分计</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分。其他投标人的价格得分统一按公式计算：报价得分＝评标基准价／投标报价×投标报价权重</w:t>
            </w:r>
          </w:p>
        </w:tc>
        <w:tc>
          <w:tcPr>
            <w:tcW w:w="750" w:type="dxa"/>
            <w:vAlign w:val="center"/>
          </w:tcPr>
          <w:p w14:paraId="4A17FAB9">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0</w:t>
            </w:r>
          </w:p>
        </w:tc>
      </w:tr>
      <w:tr w14:paraId="494E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dxa"/>
            <w:vAlign w:val="center"/>
          </w:tcPr>
          <w:p w14:paraId="6D90F11B">
            <w:pPr>
              <w:spacing w:line="320" w:lineRule="exact"/>
              <w:jc w:val="center"/>
              <w:rPr>
                <w:rFonts w:ascii="宋体" w:hAnsi="宋体" w:cs="宋体"/>
                <w:sz w:val="21"/>
                <w:szCs w:val="21"/>
                <w:highlight w:val="none"/>
              </w:rPr>
            </w:pPr>
            <w:r>
              <w:rPr>
                <w:rFonts w:hint="eastAsia" w:ascii="宋体" w:hAnsi="宋体" w:cs="宋体"/>
                <w:sz w:val="21"/>
                <w:szCs w:val="21"/>
                <w:highlight w:val="none"/>
              </w:rPr>
              <w:t>2</w:t>
            </w:r>
          </w:p>
        </w:tc>
        <w:tc>
          <w:tcPr>
            <w:tcW w:w="1161" w:type="dxa"/>
            <w:vMerge w:val="restart"/>
            <w:shd w:val="clear" w:color="auto" w:fill="auto"/>
            <w:vAlign w:val="center"/>
          </w:tcPr>
          <w:p w14:paraId="7A81B94B">
            <w:pPr>
              <w:spacing w:line="320" w:lineRule="exact"/>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rPr>
              <w:t>技术</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57%</w:t>
            </w:r>
            <w:r>
              <w:rPr>
                <w:rFonts w:hint="eastAsia" w:ascii="宋体" w:hAnsi="宋体" w:cs="宋体"/>
                <w:sz w:val="21"/>
                <w:szCs w:val="21"/>
                <w:highlight w:val="none"/>
                <w:lang w:eastAsia="zh-CN"/>
              </w:rPr>
              <w:t>）</w:t>
            </w:r>
          </w:p>
        </w:tc>
        <w:tc>
          <w:tcPr>
            <w:tcW w:w="811" w:type="dxa"/>
            <w:shd w:val="clear" w:color="auto" w:fill="auto"/>
            <w:vAlign w:val="center"/>
          </w:tcPr>
          <w:p w14:paraId="7E9EBED6">
            <w:pPr>
              <w:shd w:val="clear" w:color="auto" w:fill="FFFFFF"/>
              <w:contextualSpacing/>
              <w:jc w:val="center"/>
              <w:rPr>
                <w:rFonts w:ascii="宋体" w:hAnsi="宋体" w:cs="宋体"/>
                <w:sz w:val="21"/>
                <w:szCs w:val="21"/>
                <w:highlight w:val="none"/>
              </w:rPr>
            </w:pPr>
            <w:r>
              <w:rPr>
                <w:rFonts w:hint="eastAsia" w:ascii="宋体" w:hAnsi="宋体" w:cs="宋体"/>
                <w:color w:val="auto"/>
                <w:sz w:val="21"/>
                <w:szCs w:val="21"/>
                <w:highlight w:val="none"/>
              </w:rPr>
              <w:t>满足</w:t>
            </w:r>
            <w:r>
              <w:rPr>
                <w:rFonts w:hint="eastAsia" w:ascii="宋体" w:hAnsi="宋体" w:cs="宋体"/>
                <w:color w:val="auto"/>
                <w:sz w:val="21"/>
                <w:szCs w:val="21"/>
                <w:highlight w:val="none"/>
                <w:lang w:val="en-US" w:eastAsia="zh-CN"/>
              </w:rPr>
              <w:t>项目采购需求</w:t>
            </w:r>
            <w:r>
              <w:rPr>
                <w:rFonts w:hint="eastAsia" w:ascii="宋体" w:hAnsi="宋体" w:cs="宋体"/>
                <w:color w:val="auto"/>
                <w:sz w:val="21"/>
                <w:szCs w:val="21"/>
                <w:highlight w:val="none"/>
              </w:rPr>
              <w:t>程度</w:t>
            </w:r>
          </w:p>
        </w:tc>
        <w:tc>
          <w:tcPr>
            <w:tcW w:w="5899" w:type="dxa"/>
            <w:shd w:val="clear" w:color="auto" w:fill="auto"/>
            <w:vAlign w:val="center"/>
          </w:tcPr>
          <w:p w14:paraId="2C7A1603">
            <w:pPr>
              <w:shd w:val="clear" w:color="auto" w:fill="FFFFFF"/>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以招标文件“第六章 项目采购需求”中“三</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技术要求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四、商务要求</w:t>
            </w:r>
            <w:r>
              <w:rPr>
                <w:rFonts w:hint="eastAsia" w:ascii="宋体" w:hAnsi="宋体" w:cs="宋体"/>
                <w:color w:val="auto"/>
                <w:sz w:val="21"/>
                <w:szCs w:val="21"/>
                <w:highlight w:val="none"/>
              </w:rPr>
              <w:t>”为基准，完全满足招标文件采购需求所有技术条款的，计</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分；</w:t>
            </w:r>
          </w:p>
          <w:p w14:paraId="58A948AC">
            <w:pPr>
              <w:shd w:val="clear" w:color="auto" w:fill="FFFFFF"/>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1.★代表实质性指标，共计</w:t>
            </w:r>
            <w:r>
              <w:rPr>
                <w:rFonts w:hint="eastAsia" w:ascii="宋体" w:hAnsi="宋体" w:cs="宋体"/>
                <w:color w:val="auto"/>
                <w:sz w:val="21"/>
                <w:szCs w:val="21"/>
                <w:highlight w:val="none"/>
                <w:u w:val="single"/>
                <w:lang w:val="en-US" w:eastAsia="zh-CN"/>
              </w:rPr>
              <w:t>11</w:t>
            </w:r>
            <w:r>
              <w:rPr>
                <w:rFonts w:hint="eastAsia" w:ascii="宋体" w:hAnsi="宋体" w:cs="宋体"/>
                <w:color w:val="auto"/>
                <w:sz w:val="21"/>
                <w:szCs w:val="21"/>
                <w:highlight w:val="none"/>
              </w:rPr>
              <w:t>项，不满足该指标项将导致投标被拒绝；</w:t>
            </w:r>
          </w:p>
          <w:p w14:paraId="44D20824">
            <w:pPr>
              <w:shd w:val="clear" w:color="auto" w:fill="FFFFFF"/>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2.#代表重要指标，满足或优于该指标得</w:t>
            </w:r>
            <w:r>
              <w:rPr>
                <w:rFonts w:hint="eastAsia" w:ascii="宋体" w:hAnsi="宋体" w:cs="宋体"/>
                <w:color w:val="auto"/>
                <w:sz w:val="21"/>
                <w:szCs w:val="21"/>
                <w:highlight w:val="none"/>
                <w:u w:val="single"/>
                <w:lang w:val="en-US" w:eastAsia="zh-CN"/>
              </w:rPr>
              <w:t xml:space="preserve"> 0.5</w:t>
            </w:r>
            <w:r>
              <w:rPr>
                <w:rFonts w:hint="eastAsia" w:ascii="宋体" w:hAnsi="宋体" w:cs="宋体"/>
                <w:color w:val="auto"/>
                <w:sz w:val="21"/>
                <w:szCs w:val="21"/>
                <w:highlight w:val="none"/>
              </w:rPr>
              <w:t>分，共计</w:t>
            </w:r>
            <w:r>
              <w:rPr>
                <w:rFonts w:hint="eastAsia" w:ascii="宋体" w:hAnsi="宋体" w:cs="宋体"/>
                <w:color w:val="auto"/>
                <w:sz w:val="21"/>
                <w:szCs w:val="21"/>
                <w:highlight w:val="none"/>
                <w:u w:val="single"/>
                <w:lang w:val="en-US" w:eastAsia="zh-CN"/>
              </w:rPr>
              <w:t xml:space="preserve"> 27</w:t>
            </w:r>
            <w:r>
              <w:rPr>
                <w:rFonts w:hint="eastAsia" w:ascii="宋体" w:hAnsi="宋体" w:cs="宋体"/>
                <w:color w:val="auto"/>
                <w:sz w:val="21"/>
                <w:szCs w:val="21"/>
                <w:highlight w:val="none"/>
              </w:rPr>
              <w:t>项，共计</w:t>
            </w:r>
            <w:r>
              <w:rPr>
                <w:rFonts w:hint="eastAsia" w:ascii="宋体" w:hAnsi="宋体" w:cs="宋体"/>
                <w:color w:val="auto"/>
                <w:sz w:val="21"/>
                <w:szCs w:val="21"/>
                <w:highlight w:val="none"/>
                <w:u w:val="single"/>
                <w:lang w:val="en-US" w:eastAsia="zh-CN"/>
              </w:rPr>
              <w:t xml:space="preserve"> 13.5</w:t>
            </w:r>
            <w:r>
              <w:rPr>
                <w:rFonts w:hint="eastAsia" w:ascii="宋体" w:hAnsi="宋体" w:cs="宋体"/>
                <w:color w:val="auto"/>
                <w:sz w:val="21"/>
                <w:szCs w:val="21"/>
                <w:highlight w:val="none"/>
              </w:rPr>
              <w:t>分；</w:t>
            </w:r>
          </w:p>
          <w:p w14:paraId="0B789517">
            <w:pPr>
              <w:shd w:val="clear" w:color="auto" w:fill="FFFFFF"/>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3.△表示一般指标项，满足或优于该指标得</w:t>
            </w:r>
            <w:r>
              <w:rPr>
                <w:rFonts w:hint="eastAsia" w:ascii="宋体" w:hAnsi="宋体" w:cs="宋体"/>
                <w:color w:val="auto"/>
                <w:sz w:val="21"/>
                <w:szCs w:val="21"/>
                <w:highlight w:val="none"/>
                <w:u w:val="single"/>
                <w:lang w:val="en-US" w:eastAsia="zh-CN"/>
              </w:rPr>
              <w:t xml:space="preserve"> 0.1</w:t>
            </w:r>
            <w:r>
              <w:rPr>
                <w:rFonts w:hint="eastAsia" w:ascii="宋体" w:hAnsi="宋体" w:cs="宋体"/>
                <w:color w:val="auto"/>
                <w:sz w:val="21"/>
                <w:szCs w:val="21"/>
                <w:highlight w:val="none"/>
              </w:rPr>
              <w:t>分，共计</w:t>
            </w:r>
            <w:r>
              <w:rPr>
                <w:rFonts w:hint="eastAsia" w:ascii="宋体" w:hAnsi="宋体" w:cs="宋体"/>
                <w:color w:val="auto"/>
                <w:sz w:val="21"/>
                <w:szCs w:val="21"/>
                <w:highlight w:val="none"/>
                <w:u w:val="single"/>
                <w:lang w:val="en-US" w:eastAsia="zh-CN"/>
              </w:rPr>
              <w:t xml:space="preserve"> 165</w:t>
            </w:r>
            <w:r>
              <w:rPr>
                <w:rFonts w:hint="eastAsia" w:ascii="宋体" w:hAnsi="宋体" w:cs="宋体"/>
                <w:color w:val="auto"/>
                <w:sz w:val="21"/>
                <w:szCs w:val="21"/>
                <w:highlight w:val="none"/>
              </w:rPr>
              <w:t>项，共</w:t>
            </w:r>
            <w:r>
              <w:rPr>
                <w:rFonts w:hint="eastAsia" w:ascii="宋体" w:hAnsi="宋体" w:cs="宋体"/>
                <w:color w:val="auto"/>
                <w:sz w:val="21"/>
                <w:szCs w:val="21"/>
                <w:highlight w:val="none"/>
                <w:u w:val="single"/>
                <w:lang w:val="en-US" w:eastAsia="zh-CN"/>
              </w:rPr>
              <w:t xml:space="preserve"> 16.5</w:t>
            </w:r>
            <w:r>
              <w:rPr>
                <w:rFonts w:hint="eastAsia" w:ascii="宋体" w:hAnsi="宋体" w:cs="宋体"/>
                <w:color w:val="auto"/>
                <w:sz w:val="21"/>
                <w:szCs w:val="21"/>
                <w:highlight w:val="none"/>
              </w:rPr>
              <w:t>分。</w:t>
            </w:r>
          </w:p>
          <w:p w14:paraId="1F7D6CCF">
            <w:pPr>
              <w:shd w:val="clear" w:color="auto" w:fill="FFFFFF"/>
              <w:contextualSpacing/>
              <w:rPr>
                <w:rFonts w:ascii="宋体" w:hAnsi="宋体" w:cs="宋体"/>
                <w:color w:val="auto"/>
                <w:sz w:val="21"/>
                <w:szCs w:val="21"/>
                <w:highlight w:val="none"/>
              </w:rPr>
            </w:pPr>
            <w:r>
              <w:rPr>
                <w:rFonts w:hint="eastAsia" w:ascii="宋体" w:hAnsi="宋体" w:cs="宋体"/>
                <w:color w:val="auto"/>
                <w:sz w:val="21"/>
                <w:szCs w:val="21"/>
                <w:highlight w:val="none"/>
              </w:rPr>
              <w:t>4.对于同一指标项中的多条（行）描述，有一条（行）描述不满足，该项不得分。</w:t>
            </w:r>
          </w:p>
        </w:tc>
        <w:tc>
          <w:tcPr>
            <w:tcW w:w="750" w:type="dxa"/>
            <w:vAlign w:val="center"/>
          </w:tcPr>
          <w:p w14:paraId="133C181F">
            <w:pPr>
              <w:shd w:val="clear" w:color="auto" w:fill="FFFFFF"/>
              <w:contextualSpacing/>
              <w:jc w:val="center"/>
              <w:rPr>
                <w:rFonts w:hint="default" w:ascii="宋体" w:hAnsi="宋体" w:cs="宋体"/>
                <w:color w:val="auto"/>
                <w:sz w:val="21"/>
                <w:szCs w:val="21"/>
                <w:highlight w:val="none"/>
                <w:lang w:val="en-US"/>
              </w:rPr>
            </w:pPr>
            <w:r>
              <w:rPr>
                <w:rFonts w:hint="eastAsia" w:ascii="宋体" w:hAnsi="宋体" w:cs="宋体"/>
                <w:color w:val="auto"/>
                <w:sz w:val="21"/>
                <w:szCs w:val="21"/>
                <w:highlight w:val="none"/>
                <w:lang w:val="en-US" w:eastAsia="zh-CN"/>
              </w:rPr>
              <w:t>30</w:t>
            </w:r>
          </w:p>
        </w:tc>
      </w:tr>
      <w:tr w14:paraId="7D8D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76" w:type="dxa"/>
            <w:vAlign w:val="center"/>
          </w:tcPr>
          <w:p w14:paraId="18E833B7">
            <w:pPr>
              <w:spacing w:line="320" w:lineRule="exact"/>
              <w:jc w:val="center"/>
              <w:rPr>
                <w:rFonts w:ascii="宋体" w:hAnsi="宋体" w:cs="宋体"/>
                <w:sz w:val="21"/>
                <w:szCs w:val="21"/>
                <w:highlight w:val="none"/>
              </w:rPr>
            </w:pPr>
            <w:r>
              <w:rPr>
                <w:rFonts w:hint="eastAsia" w:ascii="宋体" w:hAnsi="宋体" w:cs="宋体"/>
                <w:sz w:val="21"/>
                <w:szCs w:val="21"/>
                <w:highlight w:val="none"/>
              </w:rPr>
              <w:t>3</w:t>
            </w:r>
          </w:p>
        </w:tc>
        <w:tc>
          <w:tcPr>
            <w:tcW w:w="1161" w:type="dxa"/>
            <w:vMerge w:val="continue"/>
            <w:shd w:val="clear" w:color="auto" w:fill="auto"/>
            <w:vAlign w:val="center"/>
          </w:tcPr>
          <w:p w14:paraId="6C80D8D6">
            <w:pPr>
              <w:spacing w:line="320" w:lineRule="exact"/>
              <w:jc w:val="center"/>
              <w:rPr>
                <w:rFonts w:ascii="宋体" w:hAnsi="宋体" w:cs="宋体"/>
                <w:sz w:val="21"/>
                <w:szCs w:val="21"/>
                <w:highlight w:val="none"/>
              </w:rPr>
            </w:pPr>
          </w:p>
        </w:tc>
        <w:tc>
          <w:tcPr>
            <w:tcW w:w="811" w:type="dxa"/>
            <w:shd w:val="clear" w:color="auto" w:fill="auto"/>
            <w:vAlign w:val="center"/>
          </w:tcPr>
          <w:p w14:paraId="1C6917EE">
            <w:pPr>
              <w:widowControl/>
              <w:contextualSpacing/>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项目需求理解及总体服务方案</w:t>
            </w:r>
          </w:p>
        </w:tc>
        <w:tc>
          <w:tcPr>
            <w:tcW w:w="5899" w:type="dxa"/>
            <w:shd w:val="clear" w:color="auto" w:fill="auto"/>
            <w:vAlign w:val="center"/>
          </w:tcPr>
          <w:p w14:paraId="68F9A347">
            <w:pPr>
              <w:topLinePunct/>
              <w:autoSpaceDE w:val="0"/>
              <w:autoSpaceDN w:val="0"/>
              <w:snapToGrid w:val="0"/>
              <w:spacing w:line="276"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根据投标人对采购人数据中心现状、运维服务工作规范、制度及流程的分析，对本项目运维服务范围、内容及要求的理解，对项目存在的重点和难点的理解是否全面、深入，描述是否准确等，并由此提出项目总体服务方案（</w:t>
            </w:r>
            <w:r>
              <w:rPr>
                <w:rFonts w:hint="eastAsia" w:ascii="宋体" w:hAnsi="宋体" w:cs="宋体"/>
                <w:color w:val="auto"/>
                <w:sz w:val="21"/>
                <w:szCs w:val="21"/>
                <w:highlight w:val="none"/>
                <w:lang w:val="en-US" w:eastAsia="zh-CN"/>
              </w:rPr>
              <w:t>包括但不限于①</w:t>
            </w:r>
            <w:r>
              <w:rPr>
                <w:rFonts w:hint="eastAsia" w:ascii="宋体" w:hAnsi="宋体" w:cs="宋体"/>
                <w:color w:val="auto"/>
                <w:sz w:val="21"/>
                <w:szCs w:val="21"/>
                <w:highlight w:val="none"/>
              </w:rPr>
              <w:t>总体服务目标和安排、</w:t>
            </w:r>
            <w:r>
              <w:rPr>
                <w:rFonts w:hint="eastAsia" w:ascii="宋体" w:hAnsi="宋体" w:cs="宋体"/>
                <w:color w:val="auto"/>
                <w:sz w:val="21"/>
                <w:szCs w:val="21"/>
                <w:highlight w:val="none"/>
                <w:lang w:val="en-US" w:eastAsia="zh-CN"/>
              </w:rPr>
              <w:t>②</w:t>
            </w:r>
            <w:r>
              <w:rPr>
                <w:rFonts w:hint="eastAsia" w:ascii="宋体" w:hAnsi="宋体" w:cs="宋体"/>
                <w:color w:val="auto"/>
                <w:sz w:val="21"/>
                <w:szCs w:val="21"/>
                <w:highlight w:val="none"/>
              </w:rPr>
              <w:t>服务内容、</w:t>
            </w:r>
            <w:r>
              <w:rPr>
                <w:rFonts w:hint="eastAsia" w:ascii="宋体" w:hAnsi="宋体" w:cs="宋体"/>
                <w:color w:val="auto"/>
                <w:sz w:val="21"/>
                <w:szCs w:val="21"/>
                <w:highlight w:val="none"/>
                <w:lang w:val="en-US" w:eastAsia="zh-CN"/>
              </w:rPr>
              <w:t>③</w:t>
            </w:r>
            <w:r>
              <w:rPr>
                <w:rFonts w:hint="eastAsia" w:ascii="宋体" w:hAnsi="宋体" w:cs="宋体"/>
                <w:color w:val="auto"/>
                <w:sz w:val="21"/>
                <w:szCs w:val="21"/>
                <w:highlight w:val="none"/>
              </w:rPr>
              <w:t>服务标准、</w:t>
            </w:r>
            <w:r>
              <w:rPr>
                <w:rFonts w:hint="eastAsia" w:ascii="宋体" w:hAnsi="宋体" w:cs="宋体"/>
                <w:color w:val="auto"/>
                <w:sz w:val="21"/>
                <w:szCs w:val="21"/>
                <w:highlight w:val="none"/>
                <w:lang w:val="en-US" w:eastAsia="zh-CN"/>
              </w:rPr>
              <w:t>④</w:t>
            </w:r>
            <w:r>
              <w:rPr>
                <w:rFonts w:hint="eastAsia" w:ascii="宋体" w:hAnsi="宋体" w:cs="宋体"/>
                <w:color w:val="auto"/>
                <w:sz w:val="21"/>
                <w:szCs w:val="21"/>
                <w:highlight w:val="none"/>
              </w:rPr>
              <w:t>服务保障、</w:t>
            </w:r>
            <w:r>
              <w:rPr>
                <w:rFonts w:hint="eastAsia" w:ascii="宋体" w:hAnsi="宋体" w:cs="宋体"/>
                <w:color w:val="auto"/>
                <w:sz w:val="21"/>
                <w:szCs w:val="21"/>
                <w:highlight w:val="none"/>
                <w:lang w:val="en-US" w:eastAsia="zh-CN"/>
              </w:rPr>
              <w:t>⑤</w:t>
            </w:r>
            <w:r>
              <w:rPr>
                <w:rFonts w:hint="eastAsia" w:ascii="宋体" w:hAnsi="宋体" w:cs="宋体"/>
                <w:color w:val="auto"/>
                <w:sz w:val="21"/>
                <w:szCs w:val="21"/>
                <w:highlight w:val="none"/>
              </w:rPr>
              <w:t>人员安排、</w:t>
            </w:r>
            <w:r>
              <w:rPr>
                <w:rFonts w:hint="eastAsia" w:ascii="宋体" w:hAnsi="宋体" w:cs="宋体"/>
                <w:color w:val="auto"/>
                <w:sz w:val="21"/>
                <w:szCs w:val="21"/>
                <w:highlight w:val="none"/>
                <w:lang w:val="en-US" w:eastAsia="zh-CN"/>
              </w:rPr>
              <w:t>⑥</w:t>
            </w:r>
            <w:r>
              <w:rPr>
                <w:rFonts w:hint="eastAsia" w:ascii="宋体" w:hAnsi="宋体" w:cs="宋体"/>
                <w:color w:val="auto"/>
                <w:sz w:val="21"/>
                <w:szCs w:val="21"/>
                <w:highlight w:val="none"/>
              </w:rPr>
              <w:t>安全规范、</w:t>
            </w:r>
            <w:r>
              <w:rPr>
                <w:rFonts w:hint="eastAsia" w:ascii="宋体" w:hAnsi="宋体" w:cs="宋体"/>
                <w:color w:val="auto"/>
                <w:sz w:val="21"/>
                <w:szCs w:val="21"/>
                <w:highlight w:val="none"/>
                <w:lang w:val="en-US" w:eastAsia="zh-CN"/>
              </w:rPr>
              <w:t>⑦</w:t>
            </w:r>
            <w:r>
              <w:rPr>
                <w:rFonts w:hint="eastAsia" w:ascii="宋体" w:hAnsi="宋体" w:cs="宋体"/>
                <w:color w:val="auto"/>
                <w:sz w:val="21"/>
                <w:szCs w:val="21"/>
                <w:highlight w:val="none"/>
              </w:rPr>
              <w:t>文档资料管理、</w:t>
            </w:r>
            <w:r>
              <w:rPr>
                <w:rFonts w:hint="eastAsia" w:ascii="宋体" w:hAnsi="宋体" w:cs="宋体"/>
                <w:color w:val="auto"/>
                <w:sz w:val="21"/>
                <w:szCs w:val="21"/>
                <w:highlight w:val="none"/>
                <w:lang w:val="en-US" w:eastAsia="zh-CN"/>
              </w:rPr>
              <w:t>⑧</w:t>
            </w:r>
            <w:r>
              <w:rPr>
                <w:rFonts w:hint="eastAsia" w:ascii="宋体" w:hAnsi="宋体" w:cs="宋体"/>
                <w:color w:val="auto"/>
                <w:sz w:val="21"/>
                <w:szCs w:val="21"/>
                <w:highlight w:val="none"/>
              </w:rPr>
              <w:t>验收标准</w:t>
            </w:r>
            <w:r>
              <w:rPr>
                <w:rFonts w:hint="eastAsia" w:ascii="宋体" w:hAnsi="宋体" w:cs="宋体"/>
                <w:color w:val="auto"/>
                <w:sz w:val="21"/>
                <w:szCs w:val="21"/>
                <w:highlight w:val="none"/>
                <w:lang w:eastAsia="zh-CN"/>
              </w:rPr>
              <w:t>）。</w:t>
            </w:r>
          </w:p>
          <w:p w14:paraId="2E68DF7C">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对运维服务整体需求理解全面、深入，描述准确具体，总体服务方案科学合理，能结合项目特点制定服务方案，能很好的满足采购需求的，计</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w:t>
            </w:r>
          </w:p>
          <w:p w14:paraId="336874AB">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对运维服务整体需求理解比较全面，描述比较准确具体，总体服务方案较科学合理，较能结合项目特点制定服务方案，能较好的满足采购需求的，计</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p>
          <w:p w14:paraId="346A45C4">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对运维服务整体需求理解和描述内容完整，有具体措施描述，但操作性和针对性不够强的，计</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p>
          <w:p w14:paraId="6E8BD6B3">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对运维服务整体需求理解和描述内容仅简单重复（响应）采购需求的，计1分；</w:t>
            </w:r>
          </w:p>
          <w:p w14:paraId="2F16C437">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未提供的不计分。</w:t>
            </w:r>
          </w:p>
        </w:tc>
        <w:tc>
          <w:tcPr>
            <w:tcW w:w="750" w:type="dxa"/>
            <w:shd w:val="clear" w:color="auto" w:fill="auto"/>
            <w:vAlign w:val="center"/>
          </w:tcPr>
          <w:p w14:paraId="066581B3">
            <w:pPr>
              <w:contextualSpacing/>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w:t>
            </w:r>
          </w:p>
        </w:tc>
      </w:tr>
      <w:tr w14:paraId="1809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76" w:type="dxa"/>
            <w:vAlign w:val="center"/>
          </w:tcPr>
          <w:p w14:paraId="78E02697">
            <w:pPr>
              <w:spacing w:line="320" w:lineRule="exact"/>
              <w:jc w:val="center"/>
              <w:rPr>
                <w:rFonts w:ascii="宋体" w:hAnsi="宋体" w:cs="宋体"/>
                <w:sz w:val="21"/>
                <w:szCs w:val="21"/>
                <w:highlight w:val="none"/>
              </w:rPr>
            </w:pPr>
            <w:r>
              <w:rPr>
                <w:rFonts w:ascii="宋体" w:hAnsi="宋体" w:cs="宋体"/>
                <w:sz w:val="21"/>
                <w:szCs w:val="21"/>
                <w:highlight w:val="none"/>
              </w:rPr>
              <w:t>4</w:t>
            </w:r>
          </w:p>
        </w:tc>
        <w:tc>
          <w:tcPr>
            <w:tcW w:w="1161" w:type="dxa"/>
            <w:vMerge w:val="continue"/>
          </w:tcPr>
          <w:p w14:paraId="2D0E69AA">
            <w:pPr>
              <w:spacing w:line="320" w:lineRule="exact"/>
              <w:rPr>
                <w:rFonts w:ascii="宋体" w:hAnsi="宋体" w:cs="宋体"/>
                <w:sz w:val="21"/>
                <w:szCs w:val="21"/>
                <w:highlight w:val="none"/>
              </w:rPr>
            </w:pPr>
          </w:p>
        </w:tc>
        <w:tc>
          <w:tcPr>
            <w:tcW w:w="811" w:type="dxa"/>
            <w:shd w:val="clear" w:color="auto" w:fill="auto"/>
            <w:vAlign w:val="center"/>
          </w:tcPr>
          <w:p w14:paraId="10ECE461">
            <w:pPr>
              <w:widowControl/>
              <w:contextualSpacing/>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日常运维管理方案</w:t>
            </w:r>
          </w:p>
        </w:tc>
        <w:tc>
          <w:tcPr>
            <w:tcW w:w="5899" w:type="dxa"/>
            <w:shd w:val="clear" w:color="auto" w:fill="auto"/>
            <w:vAlign w:val="center"/>
          </w:tcPr>
          <w:p w14:paraId="38ECB601">
            <w:pPr>
              <w:pStyle w:val="32"/>
              <w:ind w:firstLine="0" w:firstLineChars="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根据投标人针对本项目的日常运维管理方案内容（包括但不限于</w:t>
            </w:r>
            <w:r>
              <w:rPr>
                <w:rFonts w:hint="eastAsia" w:ascii="宋体" w:hAnsi="宋体" w:cs="宋体"/>
                <w:color w:val="auto"/>
                <w:sz w:val="21"/>
                <w:szCs w:val="21"/>
                <w:highlight w:val="none"/>
                <w:lang w:val="en-US" w:eastAsia="zh-CN"/>
              </w:rPr>
              <w:t>①</w:t>
            </w:r>
            <w:r>
              <w:rPr>
                <w:rFonts w:hint="eastAsia" w:ascii="宋体" w:hAnsi="宋体" w:cs="宋体"/>
                <w:color w:val="auto"/>
                <w:sz w:val="21"/>
                <w:szCs w:val="21"/>
                <w:highlight w:val="none"/>
              </w:rPr>
              <w:t>值班管理、</w:t>
            </w:r>
            <w:r>
              <w:rPr>
                <w:rFonts w:hint="eastAsia" w:ascii="宋体" w:hAnsi="宋体" w:cs="宋体"/>
                <w:color w:val="auto"/>
                <w:sz w:val="21"/>
                <w:szCs w:val="21"/>
                <w:highlight w:val="none"/>
                <w:lang w:val="en-US" w:eastAsia="zh-CN"/>
              </w:rPr>
              <w:t>②</w:t>
            </w:r>
            <w:r>
              <w:rPr>
                <w:rFonts w:hint="eastAsia" w:ascii="宋体" w:hAnsi="宋体" w:cs="宋体"/>
                <w:color w:val="auto"/>
                <w:sz w:val="21"/>
                <w:szCs w:val="21"/>
                <w:highlight w:val="none"/>
              </w:rPr>
              <w:t>日常维护、</w:t>
            </w:r>
            <w:r>
              <w:rPr>
                <w:rFonts w:hint="eastAsia" w:ascii="宋体" w:hAnsi="宋体" w:cs="宋体"/>
                <w:color w:val="auto"/>
                <w:sz w:val="21"/>
                <w:szCs w:val="21"/>
                <w:highlight w:val="none"/>
                <w:lang w:val="en-US" w:eastAsia="zh-CN"/>
              </w:rPr>
              <w:t>③</w:t>
            </w:r>
            <w:r>
              <w:rPr>
                <w:rFonts w:hint="eastAsia" w:ascii="宋体" w:hAnsi="宋体" w:cs="宋体"/>
                <w:color w:val="auto"/>
                <w:sz w:val="21"/>
                <w:szCs w:val="21"/>
                <w:highlight w:val="none"/>
              </w:rPr>
              <w:t>巡检策略、</w:t>
            </w:r>
            <w:r>
              <w:rPr>
                <w:rFonts w:hint="eastAsia" w:ascii="宋体" w:hAnsi="宋体" w:cs="宋体"/>
                <w:color w:val="auto"/>
                <w:sz w:val="21"/>
                <w:szCs w:val="21"/>
                <w:highlight w:val="none"/>
                <w:lang w:val="en-US" w:eastAsia="zh-CN"/>
              </w:rPr>
              <w:t>④</w:t>
            </w:r>
            <w:r>
              <w:rPr>
                <w:rFonts w:hint="eastAsia" w:ascii="宋体" w:hAnsi="宋体" w:cs="宋体"/>
                <w:color w:val="auto"/>
                <w:sz w:val="21"/>
                <w:szCs w:val="21"/>
                <w:highlight w:val="none"/>
              </w:rPr>
              <w:t>准入准出管理、</w:t>
            </w:r>
            <w:r>
              <w:rPr>
                <w:rFonts w:hint="eastAsia" w:ascii="宋体" w:hAnsi="宋体" w:cs="宋体"/>
                <w:color w:val="auto"/>
                <w:sz w:val="21"/>
                <w:szCs w:val="21"/>
                <w:highlight w:val="none"/>
                <w:lang w:val="en-US" w:eastAsia="zh-CN"/>
              </w:rPr>
              <w:t>⑤</w:t>
            </w:r>
            <w:r>
              <w:rPr>
                <w:rFonts w:hint="eastAsia" w:ascii="宋体" w:hAnsi="宋体" w:cs="宋体"/>
                <w:color w:val="auto"/>
                <w:sz w:val="21"/>
                <w:szCs w:val="21"/>
                <w:highlight w:val="none"/>
              </w:rPr>
              <w:t>实物管理、</w:t>
            </w:r>
            <w:r>
              <w:rPr>
                <w:rFonts w:hint="eastAsia" w:ascii="宋体" w:hAnsi="宋体" w:cs="宋体"/>
                <w:color w:val="auto"/>
                <w:sz w:val="21"/>
                <w:szCs w:val="21"/>
                <w:highlight w:val="none"/>
                <w:lang w:val="en-US" w:eastAsia="zh-CN"/>
              </w:rPr>
              <w:t>⑥</w:t>
            </w:r>
            <w:r>
              <w:rPr>
                <w:rFonts w:hint="eastAsia" w:ascii="宋体" w:hAnsi="宋体" w:cs="宋体"/>
                <w:color w:val="auto"/>
                <w:sz w:val="21"/>
                <w:szCs w:val="21"/>
                <w:highlight w:val="none"/>
              </w:rPr>
              <w:t>资源管理、</w:t>
            </w:r>
            <w:r>
              <w:rPr>
                <w:rFonts w:hint="eastAsia" w:ascii="宋体" w:hAnsi="宋体" w:cs="宋体"/>
                <w:color w:val="auto"/>
                <w:sz w:val="21"/>
                <w:szCs w:val="21"/>
                <w:highlight w:val="none"/>
                <w:lang w:val="en-US" w:eastAsia="zh-CN"/>
              </w:rPr>
              <w:t>⑦</w:t>
            </w:r>
            <w:r>
              <w:rPr>
                <w:rFonts w:hint="eastAsia" w:ascii="宋体" w:hAnsi="宋体" w:cs="宋体"/>
                <w:color w:val="auto"/>
                <w:sz w:val="21"/>
                <w:szCs w:val="21"/>
                <w:highlight w:val="none"/>
              </w:rPr>
              <w:t>重要时期保障措施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是否完整和详细，运维管理措施是否科学合理等进行综合评价：</w:t>
            </w:r>
          </w:p>
          <w:p w14:paraId="3A5CE856">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日常运维管理方案内容完整和详细，运维管理措施科学合理，能结合项目特点制定方案，能很好的满足采购需求的，计</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w:t>
            </w:r>
          </w:p>
          <w:p w14:paraId="48219EE0">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日常运维管理方案内容比较完整和详细，运维管理措施比较合理，较能结合项目特点制定服务方案，能较好的满足采购需求的，计</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p>
          <w:p w14:paraId="43E88290">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日常运维管理方案内容和运维管理措施内容完整，有具体措施描述，但操作性和针对性不够强的，计</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p>
          <w:p w14:paraId="1249D014">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日常运维管理方案和运维管理措施内容仅简单重复（响应）采购需求的，计</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p>
          <w:p w14:paraId="26B2DD26">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未提供的不计分。</w:t>
            </w:r>
          </w:p>
        </w:tc>
        <w:tc>
          <w:tcPr>
            <w:tcW w:w="750" w:type="dxa"/>
            <w:shd w:val="clear" w:color="auto" w:fill="auto"/>
            <w:vAlign w:val="center"/>
          </w:tcPr>
          <w:p w14:paraId="500F1D44">
            <w:pPr>
              <w:contextualSpacing/>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w:t>
            </w:r>
          </w:p>
        </w:tc>
      </w:tr>
      <w:tr w14:paraId="65F0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576" w:type="dxa"/>
            <w:vAlign w:val="center"/>
          </w:tcPr>
          <w:p w14:paraId="28A6986C">
            <w:pPr>
              <w:spacing w:line="32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p>
        </w:tc>
        <w:tc>
          <w:tcPr>
            <w:tcW w:w="1161" w:type="dxa"/>
            <w:vMerge w:val="continue"/>
          </w:tcPr>
          <w:p w14:paraId="555A4918">
            <w:pPr>
              <w:spacing w:line="320" w:lineRule="exact"/>
              <w:rPr>
                <w:rFonts w:ascii="宋体" w:hAnsi="宋体" w:cs="宋体"/>
                <w:sz w:val="21"/>
                <w:szCs w:val="21"/>
                <w:highlight w:val="none"/>
              </w:rPr>
            </w:pPr>
          </w:p>
        </w:tc>
        <w:tc>
          <w:tcPr>
            <w:tcW w:w="811" w:type="dxa"/>
            <w:shd w:val="clear" w:color="auto" w:fill="auto"/>
            <w:vAlign w:val="center"/>
          </w:tcPr>
          <w:p w14:paraId="0BB0D787">
            <w:pPr>
              <w:contextualSpacing/>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故障处置方案</w:t>
            </w:r>
          </w:p>
        </w:tc>
        <w:tc>
          <w:tcPr>
            <w:tcW w:w="5899" w:type="dxa"/>
            <w:shd w:val="clear" w:color="auto" w:fill="auto"/>
            <w:vAlign w:val="center"/>
          </w:tcPr>
          <w:p w14:paraId="28EE6249">
            <w:pPr>
              <w:pStyle w:val="32"/>
              <w:ind w:firstLine="0" w:firstLineChars="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根据投标人针对本项目的故障处置方案中故障管理方案（包括但不限于</w:t>
            </w:r>
            <w:r>
              <w:rPr>
                <w:rFonts w:hint="eastAsia" w:ascii="宋体" w:hAnsi="宋体" w:cs="宋体"/>
                <w:color w:val="auto"/>
                <w:sz w:val="21"/>
                <w:szCs w:val="21"/>
                <w:highlight w:val="none"/>
                <w:lang w:val="en-US" w:eastAsia="zh-CN"/>
              </w:rPr>
              <w:t>①</w:t>
            </w:r>
            <w:r>
              <w:rPr>
                <w:rFonts w:hint="eastAsia" w:ascii="宋体" w:hAnsi="宋体" w:cs="宋体"/>
                <w:color w:val="auto"/>
                <w:sz w:val="21"/>
                <w:szCs w:val="21"/>
                <w:highlight w:val="none"/>
              </w:rPr>
              <w:t>故障发现、</w:t>
            </w:r>
            <w:r>
              <w:rPr>
                <w:rFonts w:hint="eastAsia" w:ascii="宋体" w:hAnsi="宋体" w:cs="宋体"/>
                <w:color w:val="auto"/>
                <w:sz w:val="21"/>
                <w:szCs w:val="21"/>
                <w:highlight w:val="none"/>
                <w:lang w:val="en-US" w:eastAsia="zh-CN"/>
              </w:rPr>
              <w:t>②</w:t>
            </w:r>
            <w:r>
              <w:rPr>
                <w:rFonts w:hint="eastAsia" w:ascii="宋体" w:hAnsi="宋体" w:cs="宋体"/>
                <w:color w:val="auto"/>
                <w:sz w:val="21"/>
                <w:szCs w:val="21"/>
                <w:highlight w:val="none"/>
              </w:rPr>
              <w:t>故障排查、</w:t>
            </w:r>
            <w:r>
              <w:rPr>
                <w:rFonts w:hint="eastAsia" w:ascii="宋体" w:hAnsi="宋体" w:cs="宋体"/>
                <w:color w:val="auto"/>
                <w:sz w:val="21"/>
                <w:szCs w:val="21"/>
                <w:highlight w:val="none"/>
                <w:lang w:val="en-US" w:eastAsia="zh-CN"/>
              </w:rPr>
              <w:t>③</w:t>
            </w:r>
            <w:r>
              <w:rPr>
                <w:rFonts w:hint="eastAsia" w:ascii="宋体" w:hAnsi="宋体" w:cs="宋体"/>
                <w:color w:val="auto"/>
                <w:sz w:val="21"/>
                <w:szCs w:val="21"/>
                <w:highlight w:val="none"/>
              </w:rPr>
              <w:t>故障处理、</w:t>
            </w:r>
            <w:r>
              <w:rPr>
                <w:rFonts w:hint="eastAsia" w:ascii="宋体" w:hAnsi="宋体" w:cs="宋体"/>
                <w:color w:val="auto"/>
                <w:sz w:val="21"/>
                <w:szCs w:val="21"/>
                <w:highlight w:val="none"/>
                <w:lang w:val="en-US" w:eastAsia="zh-CN"/>
              </w:rPr>
              <w:t>④</w:t>
            </w:r>
            <w:r>
              <w:rPr>
                <w:rFonts w:hint="eastAsia" w:ascii="宋体" w:hAnsi="宋体" w:cs="宋体"/>
                <w:color w:val="auto"/>
                <w:sz w:val="21"/>
                <w:szCs w:val="21"/>
                <w:highlight w:val="none"/>
              </w:rPr>
              <w:t>总结改进）和应急处置方案（包括但不限于</w:t>
            </w:r>
            <w:r>
              <w:rPr>
                <w:rFonts w:hint="eastAsia" w:ascii="宋体" w:hAnsi="宋体" w:cs="宋体"/>
                <w:color w:val="auto"/>
                <w:sz w:val="21"/>
                <w:szCs w:val="21"/>
                <w:highlight w:val="none"/>
                <w:lang w:val="en-US" w:eastAsia="zh-CN"/>
              </w:rPr>
              <w:t>④</w:t>
            </w:r>
            <w:r>
              <w:rPr>
                <w:rFonts w:hint="eastAsia" w:ascii="宋体" w:hAnsi="宋体" w:cs="宋体"/>
                <w:color w:val="auto"/>
                <w:sz w:val="21"/>
                <w:szCs w:val="21"/>
                <w:highlight w:val="none"/>
              </w:rPr>
              <w:t>人员保障策略、</w:t>
            </w:r>
            <w:r>
              <w:rPr>
                <w:rFonts w:hint="eastAsia" w:ascii="宋体" w:hAnsi="宋体" w:cs="宋体"/>
                <w:color w:val="auto"/>
                <w:sz w:val="21"/>
                <w:szCs w:val="21"/>
                <w:highlight w:val="none"/>
                <w:lang w:val="en-US" w:eastAsia="zh-CN"/>
              </w:rPr>
              <w:t>⑤</w:t>
            </w:r>
            <w:r>
              <w:rPr>
                <w:rFonts w:hint="eastAsia" w:ascii="宋体" w:hAnsi="宋体" w:cs="宋体"/>
                <w:color w:val="auto"/>
                <w:sz w:val="21"/>
                <w:szCs w:val="21"/>
                <w:highlight w:val="none"/>
              </w:rPr>
              <w:t>处置流程预案、</w:t>
            </w:r>
            <w:r>
              <w:rPr>
                <w:rFonts w:hint="eastAsia" w:ascii="宋体" w:hAnsi="宋体" w:cs="宋体"/>
                <w:color w:val="auto"/>
                <w:sz w:val="21"/>
                <w:szCs w:val="21"/>
                <w:highlight w:val="none"/>
                <w:lang w:val="en-US" w:eastAsia="zh-CN"/>
              </w:rPr>
              <w:t>⑥</w:t>
            </w:r>
            <w:r>
              <w:rPr>
                <w:rFonts w:hint="eastAsia" w:ascii="宋体" w:hAnsi="宋体" w:cs="宋体"/>
                <w:color w:val="auto"/>
                <w:sz w:val="21"/>
                <w:szCs w:val="21"/>
                <w:highlight w:val="none"/>
              </w:rPr>
              <w:t>事后剖析模板和流程）内容是否完整和详细，是否科学合理等进行综合评价：</w:t>
            </w:r>
          </w:p>
          <w:p w14:paraId="7AA6CB4C">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故障处置方案内容完整和详细，处置流程科学合理，响应时间短，能结合项目特点制定方案，能很好的满足采购需求，计</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w:t>
            </w:r>
          </w:p>
          <w:p w14:paraId="2E4C026B">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故障处置方案内容比较完整和详细，处置流程较为合理，响应时间较短，较能结合项目特点制定服务方案，能较好的满足采购需求，计</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p>
          <w:p w14:paraId="59D95A30">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故障处置方案、处置流程内容完整，有具体措施描述，但操作性和针对性不够强的，计</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p>
          <w:p w14:paraId="7AF1B4FB">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故障处置方案、处置流程内容仅简单重复（响应）采购需求的，计1分；</w:t>
            </w:r>
          </w:p>
          <w:p w14:paraId="55740FBA">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未提供的不计分。</w:t>
            </w:r>
          </w:p>
        </w:tc>
        <w:tc>
          <w:tcPr>
            <w:tcW w:w="750" w:type="dxa"/>
            <w:shd w:val="clear" w:color="auto" w:fill="auto"/>
            <w:vAlign w:val="center"/>
          </w:tcPr>
          <w:p w14:paraId="65A51095">
            <w:pPr>
              <w:contextualSpacing/>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w:t>
            </w:r>
          </w:p>
        </w:tc>
      </w:tr>
      <w:tr w14:paraId="29A1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dxa"/>
            <w:vAlign w:val="center"/>
          </w:tcPr>
          <w:p w14:paraId="736F25C7">
            <w:pPr>
              <w:spacing w:line="32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p>
        </w:tc>
        <w:tc>
          <w:tcPr>
            <w:tcW w:w="1161" w:type="dxa"/>
            <w:vMerge w:val="continue"/>
          </w:tcPr>
          <w:p w14:paraId="5B75D7FF">
            <w:pPr>
              <w:spacing w:line="320" w:lineRule="exact"/>
              <w:rPr>
                <w:rFonts w:ascii="宋体" w:hAnsi="宋体" w:cs="宋体"/>
                <w:sz w:val="21"/>
                <w:szCs w:val="21"/>
                <w:highlight w:val="none"/>
              </w:rPr>
            </w:pPr>
          </w:p>
        </w:tc>
        <w:tc>
          <w:tcPr>
            <w:tcW w:w="811" w:type="dxa"/>
            <w:shd w:val="clear" w:color="auto" w:fill="auto"/>
            <w:vAlign w:val="center"/>
          </w:tcPr>
          <w:p w14:paraId="2C14CFB1">
            <w:pPr>
              <w:widowControl/>
              <w:contextualSpacing/>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服务团队管理方案</w:t>
            </w:r>
          </w:p>
        </w:tc>
        <w:tc>
          <w:tcPr>
            <w:tcW w:w="5899" w:type="dxa"/>
            <w:shd w:val="clear" w:color="auto" w:fill="auto"/>
            <w:vAlign w:val="center"/>
          </w:tcPr>
          <w:p w14:paraId="6F0EFE5D">
            <w:pPr>
              <w:pStyle w:val="32"/>
              <w:ind w:firstLine="0" w:firstLineChars="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根据投标人针对本项目的服务团队管理方案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包括但不限于①</w:t>
            </w:r>
            <w:r>
              <w:rPr>
                <w:rFonts w:hint="eastAsia" w:ascii="宋体" w:hAnsi="宋体" w:cs="宋体"/>
                <w:color w:val="auto"/>
                <w:sz w:val="21"/>
                <w:szCs w:val="21"/>
                <w:highlight w:val="none"/>
              </w:rPr>
              <w:t>组织结构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管理</w:t>
            </w:r>
            <w:r>
              <w:rPr>
                <w:rFonts w:hint="eastAsia" w:ascii="宋体" w:hAnsi="宋体" w:cs="宋体"/>
                <w:color w:val="auto"/>
                <w:sz w:val="21"/>
                <w:szCs w:val="21"/>
                <w:highlight w:val="none"/>
                <w:lang w:val="en-US" w:eastAsia="zh-CN"/>
              </w:rPr>
              <w:t>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②</w:t>
            </w:r>
            <w:r>
              <w:rPr>
                <w:rFonts w:hint="eastAsia" w:ascii="宋体" w:hAnsi="宋体" w:cs="宋体"/>
                <w:color w:val="auto"/>
                <w:sz w:val="21"/>
                <w:szCs w:val="21"/>
                <w:highlight w:val="none"/>
              </w:rPr>
              <w:t>奖惩机制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③信息保密、④廉洁制度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内容是否全面，是否合理，是否先进，否清晰等进行综合评分：</w:t>
            </w:r>
          </w:p>
          <w:p w14:paraId="1CF56C4A">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服务团队管理方案内容全面，组织结构合理，管理手段先进，奖惩机制清晰，能结合项目特点制定方案，能很好的满足采购需求的，计</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w:t>
            </w:r>
          </w:p>
          <w:p w14:paraId="2106AC78">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服务团队管理方案内容比较全面，组织结构比较合理，管理手段比较先进，奖惩机制比较清晰，较能结合项目特点制定服务方案，能较好的满足采购需求的，计</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p>
          <w:p w14:paraId="24987825">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服务团队管理方案内容完整，有具体措施描述，但操作性和针对性不够强的，计</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p>
          <w:p w14:paraId="65336EB9">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服务团队管理方案内容仅简单重复（响应）采购需求的，计</w:t>
            </w:r>
            <w:r>
              <w:rPr>
                <w:rFonts w:hint="eastAsia" w:ascii="宋体" w:hAnsi="宋体"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en-US" w:eastAsia="zh-CN" w:bidi="ar-SA"/>
              </w:rPr>
              <w:t>分；</w:t>
            </w:r>
          </w:p>
          <w:p w14:paraId="027A4882">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未提供的不计分。</w:t>
            </w:r>
          </w:p>
        </w:tc>
        <w:tc>
          <w:tcPr>
            <w:tcW w:w="750" w:type="dxa"/>
            <w:shd w:val="clear" w:color="auto" w:fill="auto"/>
            <w:vAlign w:val="center"/>
          </w:tcPr>
          <w:p w14:paraId="698F4ECB">
            <w:pPr>
              <w:contextualSpacing/>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p>
        </w:tc>
      </w:tr>
      <w:tr w14:paraId="7997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dxa"/>
            <w:vAlign w:val="center"/>
          </w:tcPr>
          <w:p w14:paraId="7CAD497D">
            <w:pPr>
              <w:spacing w:line="32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1161" w:type="dxa"/>
            <w:vMerge w:val="continue"/>
          </w:tcPr>
          <w:p w14:paraId="44DFCF54">
            <w:pPr>
              <w:spacing w:line="320" w:lineRule="exact"/>
              <w:rPr>
                <w:rFonts w:ascii="宋体" w:hAnsi="宋体" w:cs="宋体"/>
                <w:sz w:val="21"/>
                <w:szCs w:val="21"/>
                <w:highlight w:val="none"/>
              </w:rPr>
            </w:pPr>
          </w:p>
        </w:tc>
        <w:tc>
          <w:tcPr>
            <w:tcW w:w="811" w:type="dxa"/>
            <w:shd w:val="clear" w:color="auto" w:fill="auto"/>
            <w:vAlign w:val="center"/>
          </w:tcPr>
          <w:p w14:paraId="169A0E3B">
            <w:pPr>
              <w:widowControl/>
              <w:contextualSpacing/>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备品备件管理方案</w:t>
            </w:r>
          </w:p>
        </w:tc>
        <w:tc>
          <w:tcPr>
            <w:tcW w:w="5899" w:type="dxa"/>
            <w:shd w:val="clear" w:color="auto" w:fill="auto"/>
            <w:vAlign w:val="center"/>
          </w:tcPr>
          <w:p w14:paraId="7A70FB4A">
            <w:pPr>
              <w:pStyle w:val="32"/>
              <w:ind w:firstLine="0" w:firstLineChars="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根据投标人针对本项目的备品备件管理</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包括但不限于包括①</w:t>
            </w:r>
            <w:r>
              <w:rPr>
                <w:rFonts w:hint="eastAsia" w:ascii="宋体" w:hAnsi="宋体" w:cs="宋体"/>
                <w:color w:val="auto"/>
                <w:sz w:val="21"/>
                <w:szCs w:val="21"/>
                <w:highlight w:val="none"/>
              </w:rPr>
              <w:t>备品备件管理、</w:t>
            </w:r>
            <w:r>
              <w:rPr>
                <w:rFonts w:hint="eastAsia" w:ascii="宋体" w:hAnsi="宋体" w:cs="宋体"/>
                <w:color w:val="auto"/>
                <w:sz w:val="21"/>
                <w:szCs w:val="21"/>
                <w:highlight w:val="none"/>
                <w:lang w:val="en-US" w:eastAsia="zh-CN"/>
              </w:rPr>
              <w:t>②</w:t>
            </w:r>
            <w:r>
              <w:rPr>
                <w:rFonts w:hint="eastAsia" w:ascii="宋体" w:hAnsi="宋体" w:cs="宋体"/>
                <w:color w:val="auto"/>
                <w:sz w:val="21"/>
                <w:szCs w:val="21"/>
                <w:highlight w:val="none"/>
              </w:rPr>
              <w:t>规范操作</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③</w:t>
            </w:r>
            <w:r>
              <w:rPr>
                <w:rFonts w:hint="eastAsia" w:ascii="宋体" w:hAnsi="宋体" w:cs="宋体"/>
                <w:color w:val="auto"/>
                <w:sz w:val="21"/>
                <w:szCs w:val="21"/>
                <w:highlight w:val="none"/>
              </w:rPr>
              <w:t>更换要求的理解</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是否完整和详细，是否科学合理等进行综合评价：</w:t>
            </w:r>
          </w:p>
          <w:p w14:paraId="478FD1EF">
            <w:pPr>
              <w:pStyle w:val="32"/>
              <w:widowControl w:val="0"/>
              <w:ind w:firstLine="0" w:firstLineChars="0"/>
              <w:contextualSpacing/>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根据投标人针对本项目的备品备件管理方案（包括但不限于包括①备品备件管理、②规范操作、③更换要求的理解）是否完整和详细，是否科学合理等进行综合评价：</w:t>
            </w:r>
          </w:p>
          <w:p w14:paraId="78793ED6">
            <w:pPr>
              <w:pStyle w:val="32"/>
              <w:widowControl w:val="0"/>
              <w:ind w:firstLine="0" w:firstLineChars="0"/>
              <w:contextualSpacing/>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备品备件管理方案内容完整和详细，处置流程科学合理，响应时间短，能结合项目特点制定方案，能很好的满足采购需求的，计3分；</w:t>
            </w:r>
          </w:p>
          <w:p w14:paraId="7B1A226B">
            <w:pPr>
              <w:pStyle w:val="32"/>
              <w:widowControl w:val="0"/>
              <w:ind w:firstLine="0" w:firstLineChars="0"/>
              <w:contextualSpacing/>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备品备件管理方案内容比较全面，处置流程较为合理，响应时间较短，较能结合项目特点制定服务方案，能较好的满足采购需求，计2分；</w:t>
            </w:r>
          </w:p>
          <w:p w14:paraId="7DA9427A">
            <w:pPr>
              <w:pStyle w:val="32"/>
              <w:widowControl w:val="0"/>
              <w:ind w:firstLine="0" w:firstLineChars="0"/>
              <w:contextualSpacing/>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备品备件管理方案内容完整，有具体措施描述，但操作性和针对性不够强的，计1分；</w:t>
            </w:r>
          </w:p>
          <w:p w14:paraId="3EE45196">
            <w:pPr>
              <w:pStyle w:val="32"/>
              <w:widowControl w:val="0"/>
              <w:ind w:firstLine="0" w:firstLineChars="0"/>
              <w:contextualSpacing/>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备品备件管理方案内容仅简单重复（响应）采购需求的，计0.5分；</w:t>
            </w:r>
          </w:p>
          <w:p w14:paraId="130412D6">
            <w:pPr>
              <w:pStyle w:val="32"/>
              <w:ind w:firstLine="0" w:firstLineChars="0"/>
              <w:contextualSpacing/>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未提供的不计分。</w:t>
            </w:r>
          </w:p>
        </w:tc>
        <w:tc>
          <w:tcPr>
            <w:tcW w:w="750" w:type="dxa"/>
            <w:shd w:val="clear" w:color="auto" w:fill="auto"/>
            <w:vAlign w:val="center"/>
          </w:tcPr>
          <w:p w14:paraId="2A1A90F5">
            <w:pPr>
              <w:contextualSpacing/>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p>
        </w:tc>
      </w:tr>
      <w:tr w14:paraId="4225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576" w:type="dxa"/>
            <w:vAlign w:val="center"/>
          </w:tcPr>
          <w:p w14:paraId="6623D241">
            <w:pPr>
              <w:spacing w:line="32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p>
        </w:tc>
        <w:tc>
          <w:tcPr>
            <w:tcW w:w="1161" w:type="dxa"/>
            <w:vMerge w:val="continue"/>
          </w:tcPr>
          <w:p w14:paraId="1A3C2806">
            <w:pPr>
              <w:spacing w:line="320" w:lineRule="exact"/>
              <w:rPr>
                <w:rFonts w:ascii="宋体" w:hAnsi="宋体" w:cs="宋体"/>
                <w:sz w:val="21"/>
                <w:szCs w:val="21"/>
                <w:highlight w:val="none"/>
              </w:rPr>
            </w:pPr>
          </w:p>
        </w:tc>
        <w:tc>
          <w:tcPr>
            <w:tcW w:w="811" w:type="dxa"/>
            <w:shd w:val="clear" w:color="auto" w:fill="auto"/>
            <w:vAlign w:val="center"/>
          </w:tcPr>
          <w:p w14:paraId="7594AFE6">
            <w:pPr>
              <w:widowControl/>
              <w:contextualSpacing/>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监控工作管理方案</w:t>
            </w:r>
          </w:p>
        </w:tc>
        <w:tc>
          <w:tcPr>
            <w:tcW w:w="5899" w:type="dxa"/>
            <w:shd w:val="clear" w:color="auto" w:fill="auto"/>
            <w:vAlign w:val="center"/>
          </w:tcPr>
          <w:p w14:paraId="369C9B9D">
            <w:pPr>
              <w:pStyle w:val="32"/>
              <w:ind w:firstLine="0" w:firstLineChars="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根据投标人针对本项目的监控工作管理要求</w:t>
            </w:r>
            <w:r>
              <w:rPr>
                <w:rFonts w:hint="eastAsia" w:ascii="宋体" w:hAnsi="宋体" w:cs="宋体"/>
                <w:color w:val="auto"/>
                <w:sz w:val="21"/>
                <w:szCs w:val="21"/>
                <w:highlight w:val="none"/>
                <w:lang w:val="en-US" w:eastAsia="zh-CN"/>
              </w:rPr>
              <w:t>方案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包括但不限于①</w:t>
            </w:r>
            <w:r>
              <w:rPr>
                <w:rFonts w:hint="eastAsia" w:ascii="宋体" w:hAnsi="宋体" w:cs="宋体"/>
                <w:color w:val="auto"/>
                <w:sz w:val="21"/>
                <w:szCs w:val="21"/>
                <w:highlight w:val="none"/>
              </w:rPr>
              <w:t>监控范围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②</w:t>
            </w:r>
            <w:r>
              <w:rPr>
                <w:rFonts w:hint="eastAsia" w:ascii="宋体" w:hAnsi="宋体" w:cs="宋体"/>
                <w:color w:val="auto"/>
                <w:sz w:val="21"/>
                <w:szCs w:val="21"/>
                <w:highlight w:val="none"/>
              </w:rPr>
              <w:t>监控方式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③</w:t>
            </w:r>
            <w:r>
              <w:rPr>
                <w:rFonts w:hint="eastAsia" w:ascii="宋体" w:hAnsi="宋体" w:cs="宋体"/>
                <w:color w:val="auto"/>
                <w:sz w:val="21"/>
                <w:szCs w:val="21"/>
                <w:highlight w:val="none"/>
              </w:rPr>
              <w:t>岗位职责</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是否清晰、是否合理、是否满足要求等内容的理解是否完整和详细，是否能分析项目监控工作的重要性和全面理解项目监控工作的需要，是否科学合理等进行综合评价：</w:t>
            </w:r>
          </w:p>
          <w:p w14:paraId="57D37E5C">
            <w:pPr>
              <w:pStyle w:val="32"/>
              <w:widowControl w:val="0"/>
              <w:ind w:firstLine="0" w:firstLineChars="0"/>
              <w:contextualSpacing/>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监控工作管理方案内容完整和详细，处置流程科学合理，能结合项目特</w:t>
            </w:r>
            <w:r>
              <w:rPr>
                <w:rFonts w:hint="eastAsia" w:ascii="宋体" w:hAnsi="宋体" w:eastAsia="宋体" w:cs="宋体"/>
                <w:color w:val="auto"/>
                <w:kern w:val="2"/>
                <w:sz w:val="21"/>
                <w:szCs w:val="21"/>
                <w:highlight w:val="none"/>
                <w:lang w:val="en-US" w:eastAsia="zh-CN" w:bidi="ar-SA"/>
              </w:rPr>
              <w:t>点制定方案，能很好的满足采购需求的，计3分；</w:t>
            </w:r>
          </w:p>
          <w:p w14:paraId="67F925CD">
            <w:pPr>
              <w:pStyle w:val="32"/>
              <w:widowControl w:val="0"/>
              <w:ind w:firstLine="0" w:firstLineChars="0"/>
              <w:contextualSpacing/>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监控工作管理方案</w:t>
            </w:r>
            <w:r>
              <w:rPr>
                <w:rFonts w:hint="eastAsia" w:ascii="宋体" w:hAnsi="宋体" w:eastAsia="宋体" w:cs="宋体"/>
                <w:color w:val="auto"/>
                <w:kern w:val="2"/>
                <w:sz w:val="21"/>
                <w:szCs w:val="21"/>
                <w:highlight w:val="none"/>
                <w:lang w:val="en-US" w:eastAsia="zh-CN" w:bidi="ar-SA"/>
              </w:rPr>
              <w:t>内容比较全面，处置流程较为合理，较能结合项目特点制定服务方案，能较好的满足采购需求，计2分；</w:t>
            </w:r>
          </w:p>
          <w:p w14:paraId="3779EEB3">
            <w:pPr>
              <w:pStyle w:val="32"/>
              <w:widowControl w:val="0"/>
              <w:ind w:firstLine="0" w:firstLineChars="0"/>
              <w:contextualSpacing/>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备品备件管理方案内容完整，有具体措施描述，但操作性和针对性不够强的，计</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p>
          <w:p w14:paraId="08CB8B92">
            <w:pPr>
              <w:pStyle w:val="32"/>
              <w:widowControl w:val="0"/>
              <w:ind w:firstLine="0" w:firstLineChars="0"/>
              <w:contextualSpacing/>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监控工作管理方案方案内容仅简单重复（响应）采购需求的，计</w:t>
            </w:r>
            <w:r>
              <w:rPr>
                <w:rFonts w:hint="eastAsia" w:ascii="宋体" w:hAnsi="宋体" w:cs="宋体"/>
                <w:color w:val="auto"/>
                <w:kern w:val="2"/>
                <w:sz w:val="21"/>
                <w:szCs w:val="21"/>
                <w:highlight w:val="none"/>
                <w:lang w:val="en-US" w:eastAsia="zh-CN" w:bidi="ar-SA"/>
              </w:rPr>
              <w:t>0.5</w:t>
            </w:r>
            <w:r>
              <w:rPr>
                <w:rFonts w:hint="eastAsia" w:ascii="宋体" w:hAnsi="宋体" w:eastAsia="宋体" w:cs="宋体"/>
                <w:color w:val="auto"/>
                <w:kern w:val="2"/>
                <w:sz w:val="21"/>
                <w:szCs w:val="21"/>
                <w:highlight w:val="none"/>
                <w:lang w:val="en-US" w:eastAsia="zh-CN" w:bidi="ar-SA"/>
              </w:rPr>
              <w:t>分；</w:t>
            </w:r>
          </w:p>
          <w:p w14:paraId="48E49DE6">
            <w:pPr>
              <w:pStyle w:val="32"/>
              <w:widowControl w:val="0"/>
              <w:ind w:firstLine="0" w:firstLineChars="0"/>
              <w:contextualSpacing/>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未提供的不计分。</w:t>
            </w:r>
          </w:p>
        </w:tc>
        <w:tc>
          <w:tcPr>
            <w:tcW w:w="750" w:type="dxa"/>
            <w:shd w:val="clear" w:color="auto" w:fill="auto"/>
            <w:vAlign w:val="center"/>
          </w:tcPr>
          <w:p w14:paraId="40B73F91">
            <w:pPr>
              <w:contextualSpacing/>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p>
        </w:tc>
      </w:tr>
      <w:tr w14:paraId="5EA4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576" w:type="dxa"/>
            <w:vAlign w:val="center"/>
          </w:tcPr>
          <w:p w14:paraId="219A43EC">
            <w:pPr>
              <w:spacing w:line="320" w:lineRule="exact"/>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9</w:t>
            </w:r>
          </w:p>
        </w:tc>
        <w:tc>
          <w:tcPr>
            <w:tcW w:w="1161" w:type="dxa"/>
            <w:vMerge w:val="restart"/>
            <w:vAlign w:val="center"/>
          </w:tcPr>
          <w:p w14:paraId="32E2D676">
            <w:pPr>
              <w:spacing w:line="320" w:lineRule="exact"/>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rPr>
              <w:t>商务</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33%</w:t>
            </w:r>
            <w:r>
              <w:rPr>
                <w:rFonts w:hint="eastAsia" w:ascii="宋体" w:hAnsi="宋体" w:cs="宋体"/>
                <w:sz w:val="21"/>
                <w:szCs w:val="21"/>
                <w:highlight w:val="none"/>
                <w:lang w:eastAsia="zh-CN"/>
              </w:rPr>
              <w:t>）</w:t>
            </w:r>
          </w:p>
        </w:tc>
        <w:tc>
          <w:tcPr>
            <w:tcW w:w="811" w:type="dxa"/>
            <w:shd w:val="clear" w:color="auto" w:fill="auto"/>
            <w:vAlign w:val="center"/>
          </w:tcPr>
          <w:p w14:paraId="4D1356F3">
            <w:pPr>
              <w:shd w:val="clear" w:color="auto" w:fill="FFFFFF"/>
              <w:contextualSpacing/>
              <w:jc w:val="center"/>
              <w:rPr>
                <w:rFonts w:hint="eastAsia" w:ascii="宋体" w:hAnsi="宋体" w:eastAsia="宋体" w:cs="宋体"/>
                <w:kern w:val="2"/>
                <w:sz w:val="21"/>
                <w:szCs w:val="21"/>
                <w:highlight w:val="none"/>
                <w:lang w:val="en-US" w:eastAsia="zh-CN" w:bidi="ar-SA"/>
              </w:rPr>
            </w:pPr>
            <w:r>
              <w:rPr>
                <w:rFonts w:hint="eastAsia" w:ascii="宋体" w:hAnsi="宋体" w:cs="宋体"/>
                <w:color w:val="auto"/>
                <w:kern w:val="0"/>
                <w:sz w:val="21"/>
                <w:szCs w:val="21"/>
                <w:highlight w:val="none"/>
              </w:rPr>
              <w:t>类似业绩</w:t>
            </w:r>
          </w:p>
        </w:tc>
        <w:tc>
          <w:tcPr>
            <w:tcW w:w="5899" w:type="dxa"/>
            <w:shd w:val="clear" w:color="auto" w:fill="auto"/>
            <w:vAlign w:val="center"/>
          </w:tcPr>
          <w:p w14:paraId="6FB63828">
            <w:pPr>
              <w:pStyle w:val="32"/>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 w:val="21"/>
                <w:szCs w:val="21"/>
                <w:highlight w:val="none"/>
              </w:rPr>
              <w:t>投标人202</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年11月以来（以合同签订时间为准）与本项目相类似（信息系统运维或信息集成类的项目）的业绩，每个计1分，计满5分为止。（提供相应的合同复印件，并加盖投标人公章，否则不计分</w:t>
            </w:r>
            <w:r>
              <w:rPr>
                <w:rFonts w:hint="eastAsia" w:ascii="宋体" w:hAnsi="宋体" w:cs="宋体"/>
                <w:b/>
                <w:bCs/>
                <w:color w:val="auto"/>
                <w:sz w:val="21"/>
                <w:szCs w:val="21"/>
                <w:highlight w:val="none"/>
              </w:rPr>
              <w:t>。</w:t>
            </w:r>
            <w:r>
              <w:rPr>
                <w:rFonts w:hint="eastAsia" w:ascii="宋体" w:hAnsi="宋体" w:cs="宋体"/>
                <w:color w:val="auto"/>
                <w:sz w:val="21"/>
                <w:szCs w:val="21"/>
                <w:highlight w:val="none"/>
              </w:rPr>
              <w:t>）</w:t>
            </w:r>
          </w:p>
        </w:tc>
        <w:tc>
          <w:tcPr>
            <w:tcW w:w="750" w:type="dxa"/>
            <w:shd w:val="clear" w:color="auto" w:fill="auto"/>
            <w:vAlign w:val="center"/>
          </w:tcPr>
          <w:p w14:paraId="6A1CFDEE">
            <w:pPr>
              <w:shd w:val="clear" w:color="auto" w:fill="FFFFFF"/>
              <w:contextualSpacing/>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5</w:t>
            </w:r>
          </w:p>
        </w:tc>
      </w:tr>
      <w:tr w14:paraId="0E98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576" w:type="dxa"/>
            <w:vAlign w:val="center"/>
          </w:tcPr>
          <w:p w14:paraId="67A9EDE4">
            <w:pPr>
              <w:spacing w:line="32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c>
          <w:tcPr>
            <w:tcW w:w="1161" w:type="dxa"/>
            <w:vMerge w:val="continue"/>
            <w:vAlign w:val="center"/>
          </w:tcPr>
          <w:p w14:paraId="2486CD9E">
            <w:pPr>
              <w:spacing w:line="320" w:lineRule="exact"/>
              <w:jc w:val="center"/>
              <w:rPr>
                <w:rFonts w:hint="eastAsia" w:ascii="宋体" w:hAnsi="宋体" w:eastAsia="宋体" w:cs="宋体"/>
                <w:sz w:val="21"/>
                <w:szCs w:val="21"/>
                <w:highlight w:val="none"/>
                <w:lang w:eastAsia="zh-CN"/>
              </w:rPr>
            </w:pPr>
          </w:p>
        </w:tc>
        <w:tc>
          <w:tcPr>
            <w:tcW w:w="811" w:type="dxa"/>
            <w:shd w:val="clear" w:color="auto" w:fill="auto"/>
            <w:vAlign w:val="center"/>
          </w:tcPr>
          <w:p w14:paraId="52E9AD6C">
            <w:pPr>
              <w:shd w:val="clear" w:color="auto" w:fill="FFFFFF"/>
              <w:contextualSpacing/>
              <w:jc w:val="center"/>
              <w:rPr>
                <w:rFonts w:hint="eastAsia" w:ascii="宋体" w:hAnsi="宋体" w:eastAsia="宋体" w:cs="宋体"/>
                <w:kern w:val="2"/>
                <w:sz w:val="21"/>
                <w:szCs w:val="21"/>
                <w:highlight w:val="none"/>
                <w:lang w:val="en-US" w:eastAsia="zh-CN" w:bidi="ar-SA"/>
              </w:rPr>
            </w:pPr>
            <w:r>
              <w:rPr>
                <w:rFonts w:hint="eastAsia" w:ascii="宋体" w:hAnsi="宋体" w:cs="宋体"/>
                <w:color w:val="auto"/>
                <w:sz w:val="21"/>
                <w:szCs w:val="21"/>
                <w:highlight w:val="none"/>
              </w:rPr>
              <w:t>企业实力</w:t>
            </w:r>
          </w:p>
        </w:tc>
        <w:tc>
          <w:tcPr>
            <w:tcW w:w="5899" w:type="dxa"/>
            <w:shd w:val="clear" w:color="auto" w:fill="auto"/>
            <w:vAlign w:val="center"/>
          </w:tcPr>
          <w:p w14:paraId="7652E5AB">
            <w:pPr>
              <w:pStyle w:val="32"/>
              <w:ind w:firstLine="0" w:firstLineChars="0"/>
              <w:contextualSpacing/>
              <w:rPr>
                <w:rFonts w:ascii="宋体" w:hAnsi="宋体" w:cs="宋体"/>
                <w:color w:val="auto"/>
                <w:sz w:val="21"/>
                <w:szCs w:val="21"/>
                <w:highlight w:val="none"/>
              </w:rPr>
            </w:pPr>
            <w:r>
              <w:rPr>
                <w:rFonts w:hint="eastAsia" w:ascii="宋体" w:hAnsi="宋体" w:cs="宋体"/>
                <w:color w:val="auto"/>
                <w:sz w:val="21"/>
                <w:szCs w:val="21"/>
                <w:highlight w:val="none"/>
              </w:rPr>
              <w:t>1、投标人具有信息技术服务管理体系认证证书，计</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p w14:paraId="1E75E609">
            <w:pPr>
              <w:pStyle w:val="32"/>
              <w:ind w:firstLine="0" w:firstLineChars="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2、投标人具有信息安全管理体系认证证书，计</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p w14:paraId="1A5F4BB2">
            <w:pPr>
              <w:pStyle w:val="32"/>
              <w:ind w:firstLine="0" w:firstLineChars="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3、投标人具有质量管理体系认证证书，计</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p w14:paraId="1973986B">
            <w:pPr>
              <w:pStyle w:val="32"/>
              <w:ind w:firstLine="0" w:firstLineChars="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、投标人具备中国电子工业标准化技术协会颁发的信息技术服务运行维护标准符合性证书（ITSS）四级或三级的，计</w:t>
            </w:r>
            <w:r>
              <w:rPr>
                <w:rFonts w:hint="eastAsia" w:ascii="宋体" w:hAnsi="宋体" w:cs="宋体"/>
                <w:color w:val="auto"/>
                <w:sz w:val="21"/>
                <w:szCs w:val="21"/>
                <w:highlight w:val="none"/>
                <w:lang w:val="en-US" w:eastAsia="zh-CN"/>
              </w:rPr>
              <w:t>0.5</w:t>
            </w:r>
            <w:r>
              <w:rPr>
                <w:rFonts w:hint="eastAsia" w:ascii="宋体" w:hAnsi="宋体" w:cs="宋体"/>
                <w:color w:val="auto"/>
                <w:sz w:val="21"/>
                <w:szCs w:val="21"/>
                <w:highlight w:val="none"/>
              </w:rPr>
              <w:t>分；二级及以上的，计</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分，本项最高计</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p w14:paraId="64F0902D">
            <w:pPr>
              <w:pStyle w:val="32"/>
              <w:ind w:firstLine="0" w:firstLineChars="0"/>
              <w:contextualSpacing/>
              <w:rPr>
                <w:rFonts w:hint="default" w:ascii="宋体" w:hAnsi="宋体" w:cs="宋体" w:eastAsiaTheme="minorEastAsia"/>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 xml:space="preserve"> 投标人具备</w:t>
            </w:r>
            <w:r>
              <w:rPr>
                <w:rFonts w:hint="eastAsia" w:ascii="宋体" w:hAnsi="宋体" w:cs="宋体"/>
                <w:color w:val="auto"/>
                <w:sz w:val="21"/>
                <w:szCs w:val="21"/>
                <w:highlight w:val="none"/>
                <w:lang w:val="en-US" w:eastAsia="zh-CN"/>
              </w:rPr>
              <w:t>中国网络安全审查和认证中心</w:t>
            </w:r>
            <w:r>
              <w:rPr>
                <w:rFonts w:hint="eastAsia" w:ascii="宋体" w:hAnsi="宋体" w:cs="宋体"/>
                <w:color w:val="auto"/>
                <w:sz w:val="21"/>
                <w:szCs w:val="21"/>
                <w:highlight w:val="none"/>
              </w:rPr>
              <w:t>颁发的</w:t>
            </w:r>
            <w:r>
              <w:rPr>
                <w:rFonts w:hint="eastAsia" w:ascii="宋体" w:hAnsi="宋体" w:cs="宋体"/>
                <w:color w:val="auto"/>
                <w:sz w:val="21"/>
                <w:szCs w:val="21"/>
                <w:highlight w:val="none"/>
                <w:lang w:val="en-US" w:eastAsia="zh-CN"/>
              </w:rPr>
              <w:t>信息安全服务资质认证证书，其中提供信息系统安全集成服务三级或以上、信息系统安全运维服务三级或以上、信息安全风险评估服务三级或以上、信息安全应急处理服务三级或以上四项证书的</w:t>
            </w:r>
            <w:r>
              <w:rPr>
                <w:rFonts w:hint="eastAsia" w:ascii="宋体" w:hAnsi="宋体" w:cs="宋体"/>
                <w:color w:val="auto"/>
                <w:sz w:val="21"/>
                <w:szCs w:val="21"/>
                <w:highlight w:val="none"/>
              </w:rPr>
              <w:t>计</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提供其中三项证书的计3分；提供其中两项证书的计2分；提供其中一项证书的计1分；没有提供的不计分；</w:t>
            </w:r>
          </w:p>
          <w:p w14:paraId="001B7CAF">
            <w:pPr>
              <w:pStyle w:val="32"/>
              <w:ind w:firstLine="0" w:firstLineChars="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、投标人具备由中国电子信息行业联合会颁发的信息系统建设和服务能力等级证书，能力达到CS1级的，计</w:t>
            </w:r>
            <w:r>
              <w:rPr>
                <w:rFonts w:hint="eastAsia" w:ascii="宋体" w:hAnsi="宋体" w:cs="宋体"/>
                <w:color w:val="auto"/>
                <w:sz w:val="21"/>
                <w:szCs w:val="21"/>
                <w:highlight w:val="none"/>
                <w:lang w:val="en-US" w:eastAsia="zh-CN"/>
              </w:rPr>
              <w:t>0.5</w:t>
            </w:r>
            <w:r>
              <w:rPr>
                <w:rFonts w:hint="eastAsia" w:ascii="宋体" w:hAnsi="宋体" w:cs="宋体"/>
                <w:color w:val="auto"/>
                <w:sz w:val="21"/>
                <w:szCs w:val="21"/>
                <w:highlight w:val="none"/>
              </w:rPr>
              <w:t>分；能力达到CS2级及以上的，计</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分，本项最高计</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p w14:paraId="113FE230">
            <w:pPr>
              <w:pStyle w:val="32"/>
              <w:ind w:firstLine="0" w:firstLineChars="0"/>
              <w:contextualSpacing/>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rPr>
              <w:t>（上述提供有效期内相关证书的复印件并加盖投标人公章，否则不计分</w:t>
            </w:r>
            <w:r>
              <w:rPr>
                <w:rFonts w:hint="eastAsia" w:ascii="宋体" w:hAnsi="宋体" w:cs="宋体"/>
                <w:b/>
                <w:bCs/>
                <w:color w:val="auto"/>
                <w:sz w:val="21"/>
                <w:szCs w:val="21"/>
                <w:highlight w:val="none"/>
              </w:rPr>
              <w:t>。</w:t>
            </w:r>
            <w:r>
              <w:rPr>
                <w:rFonts w:hint="eastAsia" w:ascii="宋体" w:hAnsi="宋体" w:cs="宋体"/>
                <w:color w:val="auto"/>
                <w:sz w:val="21"/>
                <w:szCs w:val="21"/>
                <w:highlight w:val="none"/>
              </w:rPr>
              <w:t>）</w:t>
            </w:r>
          </w:p>
        </w:tc>
        <w:tc>
          <w:tcPr>
            <w:tcW w:w="750" w:type="dxa"/>
            <w:shd w:val="clear" w:color="auto" w:fill="auto"/>
            <w:vAlign w:val="center"/>
          </w:tcPr>
          <w:p w14:paraId="4CE39289">
            <w:pPr>
              <w:shd w:val="clear" w:color="auto" w:fill="FFFFFF"/>
              <w:contextualSpacing/>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9</w:t>
            </w:r>
          </w:p>
        </w:tc>
      </w:tr>
      <w:tr w14:paraId="72CB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6" w:type="dxa"/>
            <w:vAlign w:val="center"/>
          </w:tcPr>
          <w:p w14:paraId="7A7E7D6C">
            <w:pPr>
              <w:spacing w:line="320" w:lineRule="exact"/>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11</w:t>
            </w:r>
          </w:p>
        </w:tc>
        <w:tc>
          <w:tcPr>
            <w:tcW w:w="1161" w:type="dxa"/>
            <w:vMerge w:val="continue"/>
            <w:vAlign w:val="center"/>
          </w:tcPr>
          <w:p w14:paraId="0F19D64E">
            <w:pPr>
              <w:spacing w:line="320" w:lineRule="exact"/>
              <w:jc w:val="center"/>
              <w:rPr>
                <w:rFonts w:hint="eastAsia" w:ascii="宋体" w:hAnsi="宋体" w:cs="宋体"/>
                <w:sz w:val="21"/>
                <w:szCs w:val="21"/>
                <w:highlight w:val="none"/>
              </w:rPr>
            </w:pPr>
          </w:p>
        </w:tc>
        <w:tc>
          <w:tcPr>
            <w:tcW w:w="811" w:type="dxa"/>
            <w:shd w:val="clear" w:color="auto" w:fill="auto"/>
            <w:vAlign w:val="center"/>
          </w:tcPr>
          <w:p w14:paraId="04099068">
            <w:pPr>
              <w:shd w:val="clear" w:color="auto" w:fill="FFFFFF"/>
              <w:contextualSpacing/>
              <w:jc w:val="center"/>
              <w:rPr>
                <w:rFonts w:hint="default" w:ascii="宋体" w:hAnsi="宋体" w:eastAsia="宋体" w:cs="宋体"/>
                <w:kern w:val="2"/>
                <w:sz w:val="21"/>
                <w:szCs w:val="21"/>
                <w:highlight w:val="none"/>
                <w:lang w:val="en-US" w:eastAsia="zh-CN" w:bidi="ar-SA"/>
              </w:rPr>
            </w:pPr>
            <w:r>
              <w:rPr>
                <w:rFonts w:hint="eastAsia" w:ascii="宋体" w:hAnsi="宋体" w:cs="宋体"/>
                <w:color w:val="auto"/>
                <w:sz w:val="21"/>
                <w:szCs w:val="21"/>
                <w:highlight w:val="none"/>
              </w:rPr>
              <w:t>运维团队</w:t>
            </w:r>
          </w:p>
        </w:tc>
        <w:tc>
          <w:tcPr>
            <w:tcW w:w="5899" w:type="dxa"/>
            <w:shd w:val="clear" w:color="auto" w:fill="auto"/>
            <w:vAlign w:val="center"/>
          </w:tcPr>
          <w:p w14:paraId="6FCA2C2A">
            <w:pPr>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投标人针对本项目拟派遣的服务团队中：</w:t>
            </w:r>
          </w:p>
          <w:p w14:paraId="718CFAD0">
            <w:pPr>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1、项目经理：具有信息系统项目管理师证书</w:t>
            </w:r>
            <w:r>
              <w:rPr>
                <w:rFonts w:hint="eastAsia" w:ascii="宋体" w:hAnsi="宋体" w:cs="宋体"/>
                <w:color w:val="auto"/>
                <w:sz w:val="21"/>
                <w:szCs w:val="21"/>
                <w:highlight w:val="none"/>
                <w:lang w:val="en-US" w:eastAsia="zh-CN"/>
              </w:rPr>
              <w:t>或系统集成项目管理工程师证书</w:t>
            </w:r>
            <w:r>
              <w:rPr>
                <w:rFonts w:hint="eastAsia" w:ascii="宋体" w:hAnsi="宋体" w:cs="宋体"/>
                <w:color w:val="auto"/>
                <w:sz w:val="21"/>
                <w:szCs w:val="21"/>
                <w:highlight w:val="none"/>
              </w:rPr>
              <w:t>的，计</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p>
          <w:p w14:paraId="4140083F">
            <w:pPr>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2、驻场经理：具有ITSS服务项目经理证书的，计</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p>
          <w:p w14:paraId="03BCFC6C">
            <w:pPr>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3、运维工程师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除项目经理和驻场经理外的人员</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：具有ITSS服务工程师证书的，每提供一个计</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分，最多计</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p>
          <w:p w14:paraId="018FF4A5">
            <w:pPr>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4、服务器技术支持岗：具有RHCA（红帽认证架构师）</w:t>
            </w:r>
            <w:r>
              <w:rPr>
                <w:rFonts w:hint="eastAsia" w:ascii="宋体" w:hAnsi="宋体" w:cs="宋体"/>
                <w:color w:val="auto"/>
                <w:sz w:val="21"/>
                <w:szCs w:val="21"/>
                <w:highlight w:val="none"/>
                <w:lang w:val="en-US" w:eastAsia="zh-CN"/>
              </w:rPr>
              <w:t>或以上级别</w:t>
            </w:r>
            <w:r>
              <w:rPr>
                <w:rFonts w:hint="eastAsia" w:ascii="宋体" w:hAnsi="宋体" w:cs="宋体"/>
                <w:color w:val="auto"/>
                <w:sz w:val="21"/>
                <w:szCs w:val="21"/>
                <w:highlight w:val="none"/>
              </w:rPr>
              <w:t>证书的，计</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p>
          <w:p w14:paraId="102DB5A3">
            <w:pPr>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5、虚拟化技术支持岗：</w:t>
            </w:r>
            <w:r>
              <w:rPr>
                <w:rFonts w:hint="eastAsia" w:ascii="Times New Roman" w:hAnsi="Times New Roman" w:cs="Times New Roman"/>
                <w:bCs/>
                <w:sz w:val="21"/>
                <w:szCs w:val="22"/>
                <w:highlight w:val="none"/>
              </w:rPr>
              <w:t>具有</w:t>
            </w:r>
            <w:r>
              <w:rPr>
                <w:rFonts w:ascii="Times New Roman" w:hAnsi="Times New Roman" w:cs="Times New Roman"/>
                <w:bCs/>
                <w:sz w:val="21"/>
                <w:szCs w:val="22"/>
                <w:highlight w:val="none"/>
              </w:rPr>
              <w:t>VCAP</w:t>
            </w:r>
            <w:r>
              <w:rPr>
                <w:rFonts w:hint="eastAsia" w:ascii="Times New Roman" w:hAnsi="Times New Roman" w:cs="Times New Roman"/>
                <w:bCs/>
                <w:sz w:val="21"/>
                <w:szCs w:val="22"/>
                <w:highlight w:val="none"/>
              </w:rPr>
              <w:t>（认证高级专家）或华为颁发的cloud(云)方面的</w:t>
            </w:r>
            <w:r>
              <w:rPr>
                <w:rFonts w:ascii="Times New Roman" w:hAnsi="Times New Roman" w:cs="Times New Roman"/>
                <w:bCs/>
                <w:kern w:val="0"/>
                <w:sz w:val="21"/>
                <w:szCs w:val="22"/>
                <w:highlight w:val="none"/>
              </w:rPr>
              <w:t>HCIP</w:t>
            </w:r>
            <w:r>
              <w:rPr>
                <w:rFonts w:hint="eastAsia" w:ascii="Times New Roman" w:hAnsi="Times New Roman" w:cs="Times New Roman"/>
                <w:bCs/>
                <w:kern w:val="0"/>
                <w:sz w:val="21"/>
                <w:szCs w:val="22"/>
                <w:highlight w:val="none"/>
              </w:rPr>
              <w:t>（认证ICT高级工程师）</w:t>
            </w:r>
            <w:r>
              <w:rPr>
                <w:rFonts w:hint="eastAsia" w:ascii="Times New Roman" w:hAnsi="Times New Roman" w:cs="Times New Roman"/>
                <w:bCs/>
                <w:sz w:val="21"/>
                <w:szCs w:val="22"/>
                <w:highlight w:val="none"/>
              </w:rPr>
              <w:t>或华三颁发的cloud(云)方面的</w:t>
            </w:r>
            <w:r>
              <w:rPr>
                <w:rFonts w:ascii="Times New Roman" w:hAnsi="Times New Roman" w:cs="Times New Roman"/>
                <w:bCs/>
                <w:kern w:val="0"/>
                <w:sz w:val="21"/>
                <w:szCs w:val="22"/>
                <w:highlight w:val="none"/>
              </w:rPr>
              <w:t>H3CNE</w:t>
            </w:r>
            <w:r>
              <w:rPr>
                <w:rFonts w:hint="eastAsia" w:ascii="Times New Roman" w:hAnsi="Times New Roman" w:cs="Times New Roman"/>
                <w:bCs/>
                <w:kern w:val="0"/>
                <w:sz w:val="21"/>
                <w:szCs w:val="22"/>
                <w:highlight w:val="none"/>
              </w:rPr>
              <w:t>（H</w:t>
            </w:r>
            <w:r>
              <w:rPr>
                <w:rFonts w:ascii="Times New Roman" w:hAnsi="Times New Roman" w:cs="Times New Roman"/>
                <w:bCs/>
                <w:kern w:val="0"/>
                <w:sz w:val="21"/>
                <w:szCs w:val="22"/>
                <w:highlight w:val="none"/>
              </w:rPr>
              <w:t>3C</w:t>
            </w:r>
            <w:r>
              <w:rPr>
                <w:rFonts w:hint="eastAsia" w:ascii="Times New Roman" w:hAnsi="Times New Roman" w:cs="Times New Roman"/>
                <w:bCs/>
                <w:kern w:val="0"/>
                <w:sz w:val="21"/>
                <w:szCs w:val="22"/>
                <w:highlight w:val="none"/>
              </w:rPr>
              <w:t>认证</w:t>
            </w:r>
            <w:r>
              <w:rPr>
                <w:rFonts w:ascii="Times New Roman" w:hAnsi="Times New Roman" w:cs="Times New Roman"/>
                <w:bCs/>
                <w:kern w:val="0"/>
                <w:sz w:val="21"/>
                <w:szCs w:val="22"/>
                <w:highlight w:val="none"/>
              </w:rPr>
              <w:t>网络</w:t>
            </w:r>
            <w:r>
              <w:rPr>
                <w:rFonts w:hint="eastAsia" w:ascii="Times New Roman" w:hAnsi="Times New Roman" w:cs="Times New Roman"/>
                <w:bCs/>
                <w:kern w:val="0"/>
                <w:sz w:val="21"/>
                <w:szCs w:val="22"/>
                <w:highlight w:val="none"/>
              </w:rPr>
              <w:t>工程师），或前述证书</w:t>
            </w:r>
            <w:r>
              <w:rPr>
                <w:rFonts w:hint="eastAsia" w:ascii="Times New Roman" w:hAnsi="Times New Roman" w:cs="Times New Roman"/>
                <w:bCs/>
                <w:sz w:val="21"/>
                <w:szCs w:val="22"/>
                <w:highlight w:val="none"/>
              </w:rPr>
              <w:t>以上级别证书</w:t>
            </w:r>
            <w:r>
              <w:rPr>
                <w:rFonts w:hint="eastAsia" w:ascii="宋体" w:hAnsi="宋体" w:cs="宋体"/>
                <w:color w:val="auto"/>
                <w:sz w:val="21"/>
                <w:szCs w:val="21"/>
                <w:highlight w:val="none"/>
              </w:rPr>
              <w:t>，计</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p>
          <w:p w14:paraId="37367E84">
            <w:pPr>
              <w:widowControl w:val="0"/>
              <w:contextualSpacing/>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6、存储技术支持岗：具有华为颁发的HCIE（认证ICT</w:t>
            </w:r>
            <w:r>
              <w:rPr>
                <w:rFonts w:hint="eastAsia" w:ascii="宋体" w:hAnsi="宋体" w:cs="宋体"/>
                <w:color w:val="auto"/>
                <w:kern w:val="2"/>
                <w:sz w:val="21"/>
                <w:szCs w:val="21"/>
                <w:highlight w:val="none"/>
                <w:lang w:val="en-US" w:eastAsia="zh-CN"/>
              </w:rPr>
              <w:t>高级工程师</w:t>
            </w:r>
            <w:r>
              <w:rPr>
                <w:rFonts w:hint="eastAsia" w:ascii="宋体" w:hAnsi="宋体" w:cs="宋体"/>
                <w:color w:val="auto"/>
                <w:kern w:val="2"/>
                <w:sz w:val="21"/>
                <w:szCs w:val="21"/>
                <w:highlight w:val="none"/>
              </w:rPr>
              <w:t>）证书的，计</w:t>
            </w:r>
            <w:r>
              <w:rPr>
                <w:rFonts w:hint="eastAsia" w:ascii="宋体" w:hAnsi="宋体" w:cs="宋体"/>
                <w:color w:val="auto"/>
                <w:kern w:val="2"/>
                <w:sz w:val="21"/>
                <w:szCs w:val="21"/>
                <w:highlight w:val="none"/>
                <w:lang w:val="en-US" w:eastAsia="zh-CN"/>
              </w:rPr>
              <w:t>2</w:t>
            </w:r>
            <w:r>
              <w:rPr>
                <w:rFonts w:hint="eastAsia" w:ascii="宋体" w:hAnsi="宋体" w:cs="宋体"/>
                <w:color w:val="auto"/>
                <w:kern w:val="2"/>
                <w:sz w:val="21"/>
                <w:szCs w:val="21"/>
                <w:highlight w:val="none"/>
              </w:rPr>
              <w:t>分；</w:t>
            </w:r>
          </w:p>
          <w:p w14:paraId="4B3DB26B">
            <w:pPr>
              <w:widowControl w:val="0"/>
              <w:contextualSpacing/>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7、小型机技术支持岗：具有P系列CATE证书的，计1分。</w:t>
            </w:r>
          </w:p>
          <w:p w14:paraId="7176BDC9">
            <w:pPr>
              <w:contextualSpacing/>
              <w:rPr>
                <w:rFonts w:hint="default" w:ascii="Calibri" w:hAnsi="Calibri"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rPr>
              <w:t>（提供上述相关人员的证书复印件或证明材料，加盖投标人公章，否则不计分，如原件为电子原件，需提供官方查验链接。</w:t>
            </w:r>
            <w:r>
              <w:rPr>
                <w:rFonts w:hint="eastAsia"/>
                <w:color w:val="auto"/>
                <w:sz w:val="21"/>
                <w:szCs w:val="21"/>
                <w:highlight w:val="none"/>
              </w:rPr>
              <w:t>同一人不重复计分。</w:t>
            </w:r>
            <w:r>
              <w:rPr>
                <w:rFonts w:hint="eastAsia" w:ascii="宋体" w:hAnsi="宋体" w:cs="宋体"/>
                <w:color w:val="auto"/>
                <w:sz w:val="21"/>
                <w:szCs w:val="21"/>
                <w:highlight w:val="none"/>
              </w:rPr>
              <w:t>）</w:t>
            </w:r>
          </w:p>
        </w:tc>
        <w:tc>
          <w:tcPr>
            <w:tcW w:w="750" w:type="dxa"/>
            <w:shd w:val="clear" w:color="auto" w:fill="auto"/>
            <w:vAlign w:val="center"/>
          </w:tcPr>
          <w:p w14:paraId="75E88D3F">
            <w:pPr>
              <w:shd w:val="clear" w:color="auto" w:fill="FFFFFF"/>
              <w:contextualSpacing/>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13</w:t>
            </w:r>
          </w:p>
        </w:tc>
      </w:tr>
      <w:tr w14:paraId="5087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576" w:type="dxa"/>
            <w:vAlign w:val="center"/>
          </w:tcPr>
          <w:p w14:paraId="72B99442">
            <w:pPr>
              <w:spacing w:line="32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12</w:t>
            </w:r>
          </w:p>
        </w:tc>
        <w:tc>
          <w:tcPr>
            <w:tcW w:w="1161" w:type="dxa"/>
            <w:vMerge w:val="continue"/>
            <w:vAlign w:val="center"/>
          </w:tcPr>
          <w:p w14:paraId="57CA8129">
            <w:pPr>
              <w:spacing w:line="320" w:lineRule="exact"/>
              <w:jc w:val="center"/>
              <w:rPr>
                <w:rFonts w:ascii="宋体" w:hAnsi="宋体" w:cs="宋体"/>
                <w:sz w:val="21"/>
                <w:szCs w:val="21"/>
                <w:highlight w:val="none"/>
              </w:rPr>
            </w:pPr>
          </w:p>
        </w:tc>
        <w:tc>
          <w:tcPr>
            <w:tcW w:w="811" w:type="dxa"/>
            <w:vAlign w:val="center"/>
          </w:tcPr>
          <w:p w14:paraId="6DA51E66">
            <w:pPr>
              <w:shd w:val="clear" w:color="auto" w:fill="FFFFFF"/>
              <w:contextualSpacing/>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运维团队经验</w:t>
            </w:r>
          </w:p>
        </w:tc>
        <w:tc>
          <w:tcPr>
            <w:tcW w:w="5899" w:type="dxa"/>
            <w:vAlign w:val="center"/>
          </w:tcPr>
          <w:p w14:paraId="1AB4BEE1">
            <w:pPr>
              <w:contextualSpacing/>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投标人针对本项目拟派遣的服务团队中：</w:t>
            </w:r>
          </w:p>
          <w:p w14:paraId="2F3AA549">
            <w:pPr>
              <w:contextualSpacing/>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1、项目经理：具有5年</w:t>
            </w:r>
            <w:r>
              <w:rPr>
                <w:rFonts w:hint="eastAsia" w:ascii="宋体" w:hAnsi="宋体" w:cs="宋体"/>
                <w:sz w:val="21"/>
                <w:szCs w:val="21"/>
                <w:highlight w:val="none"/>
                <w:lang w:val="en-US" w:eastAsia="zh-CN"/>
              </w:rPr>
              <w:t>（含）</w:t>
            </w:r>
            <w:r>
              <w:rPr>
                <w:rFonts w:hint="eastAsia" w:ascii="宋体" w:hAnsi="宋体" w:eastAsia="宋体" w:cs="宋体"/>
                <w:sz w:val="21"/>
                <w:szCs w:val="21"/>
                <w:highlight w:val="none"/>
                <w:lang w:val="en-US" w:eastAsia="zh-CN"/>
              </w:rPr>
              <w:t>及以上数据中心运维项目经理经验的计</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分，具有</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（含）</w:t>
            </w:r>
            <w:r>
              <w:rPr>
                <w:rFonts w:hint="eastAsia" w:ascii="宋体" w:hAnsi="宋体" w:eastAsia="宋体" w:cs="宋体"/>
                <w:sz w:val="21"/>
                <w:szCs w:val="21"/>
                <w:highlight w:val="none"/>
                <w:lang w:val="en-US" w:eastAsia="zh-CN"/>
              </w:rPr>
              <w:t>及以上数据中心运维项目经理经验的计</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提供相应</w:t>
            </w:r>
            <w:r>
              <w:rPr>
                <w:rFonts w:hint="eastAsia" w:ascii="宋体" w:hAnsi="宋体" w:cs="宋体"/>
                <w:sz w:val="21"/>
                <w:szCs w:val="21"/>
                <w:highlight w:val="none"/>
                <w:lang w:val="en-US" w:eastAsia="zh-CN"/>
              </w:rPr>
              <w:t>项目</w:t>
            </w:r>
            <w:r>
              <w:rPr>
                <w:rFonts w:hint="eastAsia" w:ascii="宋体" w:hAnsi="宋体" w:eastAsia="宋体" w:cs="宋体"/>
                <w:sz w:val="21"/>
                <w:szCs w:val="21"/>
                <w:highlight w:val="none"/>
                <w:lang w:val="en-US" w:eastAsia="zh-CN"/>
              </w:rPr>
              <w:t>合同复印件，合同内需体现其在该项目中担任项目经理，若合同内无法体现相关内容，</w:t>
            </w:r>
            <w:r>
              <w:rPr>
                <w:rFonts w:hint="eastAsia" w:ascii="宋体" w:hAnsi="宋体" w:cs="宋体"/>
                <w:sz w:val="21"/>
                <w:szCs w:val="21"/>
                <w:highlight w:val="none"/>
                <w:lang w:val="en-US" w:eastAsia="zh-CN"/>
              </w:rPr>
              <w:t>还须</w:t>
            </w:r>
            <w:r>
              <w:rPr>
                <w:rFonts w:hint="eastAsia" w:ascii="宋体" w:hAnsi="宋体" w:eastAsia="宋体" w:cs="宋体"/>
                <w:sz w:val="21"/>
                <w:szCs w:val="21"/>
                <w:highlight w:val="none"/>
                <w:lang w:val="en-US" w:eastAsia="zh-CN"/>
              </w:rPr>
              <w:t>提供使用</w:t>
            </w:r>
            <w:r>
              <w:rPr>
                <w:rFonts w:hint="eastAsia" w:ascii="宋体" w:hAnsi="宋体" w:cs="宋体"/>
                <w:sz w:val="21"/>
                <w:szCs w:val="21"/>
                <w:highlight w:val="none"/>
                <w:lang w:val="en-US" w:eastAsia="zh-CN"/>
              </w:rPr>
              <w:t>业主</w:t>
            </w:r>
            <w:r>
              <w:rPr>
                <w:rFonts w:hint="eastAsia" w:ascii="宋体" w:hAnsi="宋体" w:eastAsia="宋体" w:cs="宋体"/>
                <w:sz w:val="21"/>
                <w:szCs w:val="21"/>
                <w:highlight w:val="none"/>
                <w:lang w:val="en-US" w:eastAsia="zh-CN"/>
              </w:rPr>
              <w:t>盖章的证明材料。</w:t>
            </w:r>
            <w:r>
              <w:rPr>
                <w:rFonts w:hint="eastAsia" w:ascii="宋体" w:hAnsi="宋体" w:cs="宋体"/>
                <w:sz w:val="21"/>
                <w:szCs w:val="21"/>
                <w:highlight w:val="none"/>
                <w:lang w:val="en-US" w:eastAsia="zh-CN"/>
              </w:rPr>
              <w:t>未提供或提供不全的不计分。</w:t>
            </w:r>
          </w:p>
          <w:p w14:paraId="56DCDFB0">
            <w:pPr>
              <w:contextualSpacing/>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2、强电经理：具有5年</w:t>
            </w:r>
            <w:r>
              <w:rPr>
                <w:rFonts w:hint="eastAsia" w:ascii="宋体" w:hAnsi="宋体" w:cs="宋体"/>
                <w:sz w:val="21"/>
                <w:szCs w:val="21"/>
                <w:highlight w:val="none"/>
                <w:lang w:val="en-US" w:eastAsia="zh-CN"/>
              </w:rPr>
              <w:t>（含）</w:t>
            </w:r>
            <w:r>
              <w:rPr>
                <w:rFonts w:hint="eastAsia" w:ascii="宋体" w:hAnsi="宋体" w:eastAsia="宋体" w:cs="宋体"/>
                <w:sz w:val="21"/>
                <w:szCs w:val="21"/>
                <w:highlight w:val="none"/>
                <w:lang w:val="en-US" w:eastAsia="zh-CN"/>
              </w:rPr>
              <w:t>及以上数据中心强电项目管理经验的计</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分，具有</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年及以上数据中心强电项目管理经验的计</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提供相应</w:t>
            </w:r>
            <w:r>
              <w:rPr>
                <w:rFonts w:hint="eastAsia" w:ascii="宋体" w:hAnsi="宋体" w:cs="宋体"/>
                <w:sz w:val="21"/>
                <w:szCs w:val="21"/>
                <w:highlight w:val="none"/>
                <w:lang w:val="en-US" w:eastAsia="zh-CN"/>
              </w:rPr>
              <w:t>项目</w:t>
            </w:r>
            <w:r>
              <w:rPr>
                <w:rFonts w:hint="eastAsia" w:ascii="宋体" w:hAnsi="宋体" w:eastAsia="宋体" w:cs="宋体"/>
                <w:sz w:val="21"/>
                <w:szCs w:val="21"/>
                <w:highlight w:val="none"/>
                <w:lang w:val="en-US" w:eastAsia="zh-CN"/>
              </w:rPr>
              <w:t>合同复印件，合同内需体现其在该项目中担任强电项目管理者，若合同内无法体现相关内容，</w:t>
            </w:r>
            <w:r>
              <w:rPr>
                <w:rFonts w:hint="eastAsia" w:ascii="宋体" w:hAnsi="宋体" w:cs="宋体"/>
                <w:sz w:val="21"/>
                <w:szCs w:val="21"/>
                <w:highlight w:val="none"/>
                <w:lang w:val="en-US" w:eastAsia="zh-CN"/>
              </w:rPr>
              <w:t>还须</w:t>
            </w:r>
            <w:r>
              <w:rPr>
                <w:rFonts w:hint="eastAsia" w:ascii="宋体" w:hAnsi="宋体" w:eastAsia="宋体" w:cs="宋体"/>
                <w:sz w:val="21"/>
                <w:szCs w:val="21"/>
                <w:highlight w:val="none"/>
                <w:lang w:val="en-US" w:eastAsia="zh-CN"/>
              </w:rPr>
              <w:t>提供使用单位盖章的证明材料。</w:t>
            </w:r>
            <w:r>
              <w:rPr>
                <w:rFonts w:hint="eastAsia" w:ascii="宋体" w:hAnsi="宋体" w:cs="宋体"/>
                <w:sz w:val="21"/>
                <w:szCs w:val="21"/>
                <w:highlight w:val="none"/>
                <w:lang w:val="en-US" w:eastAsia="zh-CN"/>
              </w:rPr>
              <w:t>未提供或提供不全的不计分。</w:t>
            </w:r>
          </w:p>
          <w:p w14:paraId="1271FEEB">
            <w:pPr>
              <w:contextualSpacing/>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3、驻场经理：具有5年</w:t>
            </w:r>
            <w:r>
              <w:rPr>
                <w:rFonts w:hint="eastAsia" w:ascii="宋体" w:hAnsi="宋体" w:cs="宋体"/>
                <w:sz w:val="21"/>
                <w:szCs w:val="21"/>
                <w:highlight w:val="none"/>
                <w:lang w:val="en-US" w:eastAsia="zh-CN"/>
              </w:rPr>
              <w:t>（含）</w:t>
            </w:r>
            <w:r>
              <w:rPr>
                <w:rFonts w:hint="eastAsia" w:ascii="宋体" w:hAnsi="宋体" w:eastAsia="宋体" w:cs="宋体"/>
                <w:sz w:val="21"/>
                <w:szCs w:val="21"/>
                <w:highlight w:val="none"/>
                <w:lang w:val="en-US" w:eastAsia="zh-CN"/>
              </w:rPr>
              <w:t>及以上数据中心运维项目管理经验的计</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分，具有</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（含）</w:t>
            </w:r>
            <w:r>
              <w:rPr>
                <w:rFonts w:hint="eastAsia" w:ascii="宋体" w:hAnsi="宋体" w:eastAsia="宋体" w:cs="宋体"/>
                <w:sz w:val="21"/>
                <w:szCs w:val="21"/>
                <w:highlight w:val="none"/>
                <w:lang w:val="en-US" w:eastAsia="zh-CN"/>
              </w:rPr>
              <w:t>及以上数据中心运维项目管理经验的计</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提供相应</w:t>
            </w:r>
            <w:r>
              <w:rPr>
                <w:rFonts w:hint="eastAsia" w:ascii="宋体" w:hAnsi="宋体" w:cs="宋体"/>
                <w:sz w:val="21"/>
                <w:szCs w:val="21"/>
                <w:highlight w:val="none"/>
                <w:lang w:val="en-US" w:eastAsia="zh-CN"/>
              </w:rPr>
              <w:t>项目</w:t>
            </w:r>
            <w:r>
              <w:rPr>
                <w:rFonts w:hint="eastAsia" w:ascii="宋体" w:hAnsi="宋体" w:eastAsia="宋体" w:cs="宋体"/>
                <w:sz w:val="21"/>
                <w:szCs w:val="21"/>
                <w:highlight w:val="none"/>
                <w:lang w:val="en-US" w:eastAsia="zh-CN"/>
              </w:rPr>
              <w:t>合同复印件，合同内需体现其在该项目中担任运维项目管理者，若合同内无法体现相关内容，</w:t>
            </w:r>
            <w:r>
              <w:rPr>
                <w:rFonts w:hint="eastAsia" w:ascii="宋体" w:hAnsi="宋体" w:cs="宋体"/>
                <w:sz w:val="21"/>
                <w:szCs w:val="21"/>
                <w:highlight w:val="none"/>
                <w:lang w:val="en-US" w:eastAsia="zh-CN"/>
              </w:rPr>
              <w:t>还须</w:t>
            </w:r>
            <w:r>
              <w:rPr>
                <w:rFonts w:hint="eastAsia" w:ascii="宋体" w:hAnsi="宋体" w:eastAsia="宋体" w:cs="宋体"/>
                <w:sz w:val="21"/>
                <w:szCs w:val="21"/>
                <w:highlight w:val="none"/>
                <w:lang w:val="en-US" w:eastAsia="zh-CN"/>
              </w:rPr>
              <w:t>提供使用单位盖章的证明材料。</w:t>
            </w:r>
            <w:r>
              <w:rPr>
                <w:rFonts w:hint="eastAsia" w:ascii="宋体" w:hAnsi="宋体" w:cs="宋体"/>
                <w:sz w:val="21"/>
                <w:szCs w:val="21"/>
                <w:highlight w:val="none"/>
                <w:lang w:val="en-US" w:eastAsia="zh-CN"/>
              </w:rPr>
              <w:t>未提供或提供不全的不计分。</w:t>
            </w:r>
          </w:p>
          <w:p w14:paraId="7571BBFD">
            <w:pPr>
              <w:contextualSpacing/>
              <w:rPr>
                <w:rFonts w:hint="eastAsia" w:eastAsia="宋体"/>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cs="宋体"/>
                <w:sz w:val="21"/>
                <w:szCs w:val="21"/>
                <w:highlight w:val="none"/>
                <w:lang w:val="en-US" w:eastAsia="zh-CN"/>
              </w:rPr>
              <w:t>服务经验年限</w:t>
            </w:r>
            <w:r>
              <w:rPr>
                <w:rFonts w:hint="eastAsia" w:ascii="宋体" w:hAnsi="宋体" w:eastAsia="宋体" w:cs="宋体"/>
                <w:sz w:val="21"/>
                <w:szCs w:val="21"/>
                <w:highlight w:val="none"/>
                <w:lang w:val="en-US" w:eastAsia="zh-CN"/>
              </w:rPr>
              <w:t>以</w:t>
            </w:r>
            <w:r>
              <w:rPr>
                <w:rFonts w:hint="eastAsia" w:ascii="宋体" w:hAnsi="宋体" w:cs="宋体"/>
                <w:sz w:val="21"/>
                <w:szCs w:val="21"/>
                <w:highlight w:val="none"/>
                <w:lang w:val="en-US" w:eastAsia="zh-CN"/>
              </w:rPr>
              <w:t>投标人</w:t>
            </w:r>
            <w:r>
              <w:rPr>
                <w:rFonts w:hint="eastAsia" w:ascii="宋体" w:hAnsi="宋体" w:eastAsia="宋体" w:cs="宋体"/>
                <w:sz w:val="21"/>
                <w:szCs w:val="21"/>
                <w:highlight w:val="none"/>
                <w:lang w:val="en-US" w:eastAsia="zh-CN"/>
              </w:rPr>
              <w:t>提供所有</w:t>
            </w:r>
            <w:r>
              <w:rPr>
                <w:rFonts w:hint="eastAsia" w:ascii="宋体" w:hAnsi="宋体" w:cs="宋体"/>
                <w:sz w:val="21"/>
                <w:szCs w:val="21"/>
                <w:highlight w:val="none"/>
                <w:lang w:val="en-US" w:eastAsia="zh-CN"/>
              </w:rPr>
              <w:t>有效的</w:t>
            </w:r>
            <w:r>
              <w:rPr>
                <w:rFonts w:hint="eastAsia" w:ascii="宋体" w:hAnsi="宋体" w:eastAsia="宋体" w:cs="宋体"/>
                <w:sz w:val="21"/>
                <w:szCs w:val="21"/>
                <w:highlight w:val="none"/>
                <w:lang w:val="en-US" w:eastAsia="zh-CN"/>
              </w:rPr>
              <w:t>合同服务期限累加计算</w:t>
            </w:r>
            <w:r>
              <w:rPr>
                <w:rFonts w:hint="eastAsia" w:ascii="宋体" w:hAnsi="宋体" w:cs="宋体"/>
                <w:sz w:val="21"/>
                <w:szCs w:val="21"/>
                <w:highlight w:val="none"/>
                <w:lang w:val="en-US" w:eastAsia="zh-CN"/>
              </w:rPr>
              <w:t>,投标时应明确说明所工作的数据中心的名称和位置，未提供或提供不全的不计分。</w:t>
            </w:r>
          </w:p>
        </w:tc>
        <w:tc>
          <w:tcPr>
            <w:tcW w:w="750" w:type="dxa"/>
            <w:vAlign w:val="center"/>
          </w:tcPr>
          <w:p w14:paraId="630044EB">
            <w:pPr>
              <w:shd w:val="clear" w:color="auto" w:fill="FFFFFF"/>
              <w:contextualSpacing/>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r>
      <w:tr w14:paraId="2162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47" w:type="dxa"/>
            <w:gridSpan w:val="4"/>
            <w:vAlign w:val="center"/>
          </w:tcPr>
          <w:p w14:paraId="00836AE7">
            <w:pPr>
              <w:spacing w:line="320" w:lineRule="exact"/>
              <w:jc w:val="center"/>
              <w:rPr>
                <w:rFonts w:ascii="宋体" w:hAnsi="宋体" w:cs="宋体"/>
                <w:sz w:val="21"/>
                <w:szCs w:val="21"/>
                <w:highlight w:val="none"/>
              </w:rPr>
            </w:pPr>
            <w:r>
              <w:rPr>
                <w:rFonts w:hint="eastAsia" w:ascii="宋体" w:hAnsi="宋体" w:cs="宋体"/>
                <w:sz w:val="21"/>
                <w:szCs w:val="21"/>
                <w:highlight w:val="none"/>
              </w:rPr>
              <w:t>合计</w:t>
            </w:r>
          </w:p>
        </w:tc>
        <w:tc>
          <w:tcPr>
            <w:tcW w:w="750" w:type="dxa"/>
            <w:vAlign w:val="center"/>
          </w:tcPr>
          <w:p w14:paraId="03AA5660">
            <w:pPr>
              <w:spacing w:line="320" w:lineRule="exact"/>
              <w:jc w:val="center"/>
              <w:rPr>
                <w:rFonts w:ascii="宋体" w:hAnsi="宋体" w:cs="宋体"/>
                <w:sz w:val="21"/>
                <w:szCs w:val="21"/>
                <w:highlight w:val="none"/>
              </w:rPr>
            </w:pPr>
            <w:r>
              <w:rPr>
                <w:rFonts w:hint="eastAsia" w:ascii="宋体" w:hAnsi="宋体" w:cs="宋体"/>
                <w:sz w:val="21"/>
                <w:szCs w:val="21"/>
                <w:highlight w:val="none"/>
              </w:rPr>
              <w:t>100</w:t>
            </w:r>
          </w:p>
        </w:tc>
      </w:tr>
    </w:tbl>
    <w:p w14:paraId="78A8CC62">
      <w:pPr>
        <w:rPr>
          <w:rFonts w:hint="eastAsia"/>
          <w:highlight w:val="none"/>
        </w:rPr>
      </w:pPr>
    </w:p>
    <w:p w14:paraId="71C4F942">
      <w:pPr>
        <w:rPr>
          <w:rFonts w:hint="eastAsia" w:ascii="宋体" w:hAnsi="宋体" w:cs="宋体"/>
          <w:b/>
          <w:bCs/>
          <w:sz w:val="28"/>
          <w:szCs w:val="28"/>
          <w:highlight w:val="none"/>
        </w:rPr>
      </w:pPr>
      <w:r>
        <w:rPr>
          <w:rFonts w:hint="eastAsia" w:ascii="宋体" w:hAnsi="宋体" w:cs="宋体"/>
          <w:b/>
          <w:bCs/>
          <w:sz w:val="28"/>
          <w:szCs w:val="28"/>
          <w:highlight w:val="none"/>
        </w:rPr>
        <w:br w:type="page"/>
      </w:r>
    </w:p>
    <w:p w14:paraId="2897AB1D">
      <w:pPr>
        <w:topLinePunct/>
        <w:autoSpaceDE w:val="0"/>
        <w:autoSpaceDN w:val="0"/>
        <w:spacing w:before="120" w:beforeLines="50" w:line="360" w:lineRule="auto"/>
        <w:ind w:firstLine="420" w:firstLineChars="200"/>
        <w:rPr>
          <w:rFonts w:hint="default" w:ascii="宋体" w:hAnsi="宋体" w:eastAsia="宋体" w:cs="宋体"/>
          <w:color w:val="FF0000"/>
          <w:sz w:val="24"/>
          <w:highlight w:val="none"/>
          <w:lang w:val="en-US" w:eastAsia="zh-CN"/>
        </w:rPr>
      </w:pPr>
      <w:r>
        <w:rPr>
          <w:rFonts w:hint="eastAsia" w:ascii="宋体" w:hAnsi="宋体" w:cs="宋体"/>
          <w:szCs w:val="21"/>
          <w:highlight w:val="none"/>
        </w:rPr>
        <w:t>2.3 落实政府采购政策进行价格调整的规则：</w:t>
      </w:r>
    </w:p>
    <w:tbl>
      <w:tblPr>
        <w:tblStyle w:val="25"/>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6"/>
        <w:gridCol w:w="3589"/>
        <w:gridCol w:w="4394"/>
      </w:tblGrid>
      <w:tr w14:paraId="48E67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226" w:type="dxa"/>
            <w:vAlign w:val="center"/>
          </w:tcPr>
          <w:p w14:paraId="197B736D">
            <w:pPr>
              <w:pStyle w:val="35"/>
              <w:widowControl w:val="0"/>
              <w:spacing w:line="340" w:lineRule="exact"/>
              <w:jc w:val="center"/>
              <w:rPr>
                <w:rFonts w:hint="default" w:ascii="宋体" w:hAnsi="宋体" w:cs="宋体"/>
                <w:b/>
                <w:kern w:val="2"/>
                <w:sz w:val="21"/>
                <w:szCs w:val="21"/>
                <w:highlight w:val="none"/>
              </w:rPr>
            </w:pPr>
            <w:r>
              <w:rPr>
                <w:rFonts w:ascii="宋体" w:hAnsi="宋体" w:cs="宋体"/>
                <w:b/>
                <w:kern w:val="2"/>
                <w:sz w:val="21"/>
                <w:szCs w:val="21"/>
                <w:highlight w:val="none"/>
              </w:rPr>
              <w:t>政府采购政策</w:t>
            </w:r>
          </w:p>
        </w:tc>
        <w:tc>
          <w:tcPr>
            <w:tcW w:w="3589" w:type="dxa"/>
            <w:vAlign w:val="center"/>
          </w:tcPr>
          <w:p w14:paraId="55E2B445">
            <w:pPr>
              <w:pStyle w:val="35"/>
              <w:widowControl w:val="0"/>
              <w:spacing w:line="340" w:lineRule="exact"/>
              <w:ind w:firstLine="422"/>
              <w:jc w:val="center"/>
              <w:rPr>
                <w:rFonts w:hint="default" w:ascii="宋体" w:hAnsi="宋体" w:cs="宋体"/>
                <w:b/>
                <w:kern w:val="2"/>
                <w:sz w:val="21"/>
                <w:szCs w:val="21"/>
                <w:highlight w:val="none"/>
              </w:rPr>
            </w:pPr>
            <w:r>
              <w:rPr>
                <w:rFonts w:ascii="宋体" w:hAnsi="宋体" w:cs="宋体"/>
                <w:b/>
                <w:kern w:val="2"/>
                <w:sz w:val="21"/>
                <w:szCs w:val="21"/>
                <w:highlight w:val="none"/>
              </w:rPr>
              <w:t>价格扣除规则</w:t>
            </w:r>
          </w:p>
        </w:tc>
        <w:tc>
          <w:tcPr>
            <w:tcW w:w="4394" w:type="dxa"/>
            <w:vAlign w:val="center"/>
          </w:tcPr>
          <w:p w14:paraId="7B10BF65">
            <w:pPr>
              <w:pStyle w:val="35"/>
              <w:widowControl w:val="0"/>
              <w:spacing w:line="340" w:lineRule="exact"/>
              <w:ind w:firstLine="422"/>
              <w:jc w:val="center"/>
              <w:rPr>
                <w:rFonts w:hint="default" w:ascii="宋体" w:hAnsi="宋体" w:cs="宋体"/>
                <w:b/>
                <w:kern w:val="2"/>
                <w:sz w:val="21"/>
                <w:szCs w:val="21"/>
                <w:highlight w:val="none"/>
              </w:rPr>
            </w:pPr>
            <w:r>
              <w:rPr>
                <w:rFonts w:ascii="宋体" w:hAnsi="宋体" w:cs="宋体"/>
                <w:b/>
                <w:kern w:val="2"/>
                <w:sz w:val="21"/>
                <w:szCs w:val="21"/>
                <w:highlight w:val="none"/>
              </w:rPr>
              <w:t>享受价格扣除的条件</w:t>
            </w:r>
          </w:p>
        </w:tc>
      </w:tr>
      <w:tr w14:paraId="4798C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6" w:type="dxa"/>
            <w:vAlign w:val="center"/>
          </w:tcPr>
          <w:p w14:paraId="0C9D975B">
            <w:pPr>
              <w:pStyle w:val="35"/>
              <w:widowControl w:val="0"/>
              <w:spacing w:line="340" w:lineRule="exact"/>
              <w:jc w:val="center"/>
              <w:rPr>
                <w:rFonts w:hint="default" w:ascii="宋体" w:hAnsi="宋体" w:cs="宋体"/>
                <w:kern w:val="2"/>
                <w:sz w:val="21"/>
                <w:szCs w:val="21"/>
                <w:highlight w:val="none"/>
              </w:rPr>
            </w:pPr>
            <w:r>
              <w:rPr>
                <w:rFonts w:ascii="宋体" w:hAnsi="宋体" w:cs="宋体"/>
                <w:kern w:val="2"/>
                <w:sz w:val="21"/>
                <w:szCs w:val="21"/>
                <w:highlight w:val="none"/>
              </w:rPr>
              <w:t>节约能源政策</w:t>
            </w:r>
          </w:p>
        </w:tc>
        <w:tc>
          <w:tcPr>
            <w:tcW w:w="3589" w:type="dxa"/>
            <w:vAlign w:val="center"/>
          </w:tcPr>
          <w:p w14:paraId="356D65D1">
            <w:pPr>
              <w:pStyle w:val="35"/>
              <w:widowControl w:val="0"/>
              <w:spacing w:line="340" w:lineRule="exact"/>
              <w:jc w:val="center"/>
              <w:rPr>
                <w:rFonts w:hint="default" w:ascii="宋体" w:hAnsi="宋体" w:cs="宋体"/>
                <w:kern w:val="2"/>
                <w:sz w:val="21"/>
                <w:szCs w:val="21"/>
                <w:highlight w:val="none"/>
              </w:rPr>
            </w:pPr>
            <w:r>
              <w:rPr>
                <w:rFonts w:ascii="宋体" w:hAnsi="宋体"/>
                <w:color w:val="000000"/>
                <w:szCs w:val="21"/>
                <w:highlight w:val="none"/>
              </w:rPr>
              <w:t>本项目的扣除比例为：</w:t>
            </w:r>
            <w:r>
              <w:rPr>
                <w:rFonts w:hint="eastAsia" w:ascii="宋体" w:hAnsi="宋体"/>
                <w:color w:val="000000"/>
                <w:szCs w:val="21"/>
                <w:highlight w:val="none"/>
                <w:u w:val="single"/>
                <w:lang w:val="en-US" w:eastAsia="zh-CN"/>
              </w:rPr>
              <w:t>/</w:t>
            </w:r>
            <w:r>
              <w:rPr>
                <w:rFonts w:ascii="宋体" w:hAnsi="宋体"/>
                <w:color w:val="000000"/>
                <w:szCs w:val="21"/>
                <w:highlight w:val="none"/>
                <w:u w:val="single"/>
              </w:rPr>
              <w:t xml:space="preserve"> %</w:t>
            </w:r>
          </w:p>
        </w:tc>
        <w:tc>
          <w:tcPr>
            <w:tcW w:w="4394" w:type="dxa"/>
            <w:vAlign w:val="center"/>
          </w:tcPr>
          <w:p w14:paraId="308F1D62">
            <w:pPr>
              <w:pStyle w:val="35"/>
              <w:widowControl w:val="0"/>
              <w:spacing w:line="340" w:lineRule="exact"/>
              <w:ind w:firstLine="400"/>
              <w:rPr>
                <w:rFonts w:hint="default" w:ascii="宋体" w:hAnsi="宋体" w:cs="宋体"/>
                <w:kern w:val="2"/>
                <w:sz w:val="21"/>
                <w:szCs w:val="21"/>
                <w:highlight w:val="none"/>
              </w:rPr>
            </w:pPr>
            <w:r>
              <w:rPr>
                <w:rFonts w:hAnsi="宋体" w:cs="宋体"/>
                <w:highlight w:val="none"/>
              </w:rPr>
              <w:t>供应商所投产品中，如有</w:t>
            </w:r>
            <w:r>
              <w:rPr>
                <w:rFonts w:ascii="宋体" w:hAnsi="宋体"/>
                <w:color w:val="000000"/>
                <w:szCs w:val="21"/>
                <w:highlight w:val="none"/>
              </w:rPr>
              <w:t>属于“节能产品政府采购品目清单”范围的，依据国家确定的认证机构出具的、处于有效期之内的节能产品认证证书，实施优先采购，在评审时予以价格扣除，用扣除后的价格参与评审。</w:t>
            </w:r>
            <w:r>
              <w:rPr>
                <w:rFonts w:hAnsi="宋体" w:cs="宋体"/>
                <w:highlight w:val="none"/>
              </w:rPr>
              <w:t>供应商须在投标文件中同时提供有效期内的“节能产品政府采购品目清单”及国家确定的认证机构出具的、处于有效期之内的节能产品认证证书的复印件（需要加盖投标人公章），否则在评审时将不给予价格扣除或加分。</w:t>
            </w:r>
          </w:p>
        </w:tc>
      </w:tr>
      <w:tr w14:paraId="5DEAA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6" w:type="dxa"/>
            <w:vAlign w:val="center"/>
          </w:tcPr>
          <w:p w14:paraId="6233ED8F">
            <w:pPr>
              <w:pStyle w:val="35"/>
              <w:widowControl w:val="0"/>
              <w:spacing w:line="340" w:lineRule="exact"/>
              <w:jc w:val="center"/>
              <w:rPr>
                <w:rFonts w:hint="default" w:ascii="宋体" w:hAnsi="宋体" w:cs="宋体"/>
                <w:kern w:val="2"/>
                <w:sz w:val="21"/>
                <w:szCs w:val="21"/>
                <w:highlight w:val="none"/>
              </w:rPr>
            </w:pPr>
            <w:r>
              <w:rPr>
                <w:rFonts w:ascii="宋体" w:hAnsi="宋体" w:cs="宋体"/>
                <w:kern w:val="2"/>
                <w:sz w:val="21"/>
                <w:szCs w:val="21"/>
                <w:highlight w:val="none"/>
              </w:rPr>
              <w:t>保护环境政策</w:t>
            </w:r>
          </w:p>
        </w:tc>
        <w:tc>
          <w:tcPr>
            <w:tcW w:w="3589" w:type="dxa"/>
            <w:vAlign w:val="center"/>
          </w:tcPr>
          <w:p w14:paraId="5FE42028">
            <w:pPr>
              <w:pStyle w:val="35"/>
              <w:widowControl w:val="0"/>
              <w:spacing w:line="340" w:lineRule="exact"/>
              <w:jc w:val="center"/>
              <w:rPr>
                <w:rFonts w:hint="default" w:ascii="宋体" w:hAnsi="宋体" w:cs="宋体"/>
                <w:color w:val="auto"/>
                <w:kern w:val="2"/>
                <w:sz w:val="21"/>
                <w:szCs w:val="21"/>
                <w:highlight w:val="none"/>
              </w:rPr>
            </w:pPr>
            <w:r>
              <w:rPr>
                <w:rFonts w:ascii="宋体" w:hAnsi="宋体"/>
                <w:color w:val="auto"/>
                <w:sz w:val="21"/>
                <w:szCs w:val="21"/>
                <w:highlight w:val="none"/>
              </w:rPr>
              <w:t>本项目的扣除比例为：</w:t>
            </w:r>
            <w:r>
              <w:rPr>
                <w:rFonts w:hint="eastAsia" w:ascii="宋体" w:hAnsi="宋体"/>
                <w:color w:val="auto"/>
                <w:sz w:val="21"/>
                <w:szCs w:val="21"/>
                <w:highlight w:val="none"/>
                <w:u w:val="single"/>
                <w:lang w:val="en-US" w:eastAsia="zh-CN"/>
              </w:rPr>
              <w:t>/</w:t>
            </w:r>
            <w:r>
              <w:rPr>
                <w:rFonts w:ascii="宋体" w:hAnsi="宋体"/>
                <w:color w:val="auto"/>
                <w:sz w:val="21"/>
                <w:szCs w:val="21"/>
                <w:highlight w:val="none"/>
                <w:u w:val="single"/>
              </w:rPr>
              <w:t xml:space="preserve"> %</w:t>
            </w:r>
          </w:p>
        </w:tc>
        <w:tc>
          <w:tcPr>
            <w:tcW w:w="4394" w:type="dxa"/>
            <w:vAlign w:val="center"/>
          </w:tcPr>
          <w:p w14:paraId="1F8F88B6">
            <w:pPr>
              <w:adjustRightInd w:val="0"/>
              <w:snapToGrid w:val="0"/>
              <w:spacing w:line="340" w:lineRule="exact"/>
              <w:rPr>
                <w:rFonts w:ascii="宋体" w:hAnsi="宋体" w:cs="宋体"/>
                <w:color w:val="auto"/>
                <w:szCs w:val="21"/>
                <w:highlight w:val="none"/>
              </w:rPr>
            </w:pPr>
            <w:r>
              <w:rPr>
                <w:rFonts w:hint="eastAsia" w:hAnsi="宋体" w:cs="宋体"/>
                <w:color w:val="auto"/>
                <w:highlight w:val="none"/>
              </w:rPr>
              <w:t>供应商所投产品中，如有</w:t>
            </w:r>
            <w:r>
              <w:rPr>
                <w:rFonts w:hint="eastAsia" w:ascii="宋体" w:hAnsi="宋体"/>
                <w:color w:val="auto"/>
                <w:szCs w:val="21"/>
                <w:highlight w:val="none"/>
              </w:rPr>
              <w:t>属于“环境标志产品政府采购品目清单”范围的，依据国家确定的认证机构出具的、处于有效期之内的环境标志产品认证证书，实施优先采购，在评审时予以价格扣除，用扣除后的价格参与评审。供应商</w:t>
            </w:r>
            <w:r>
              <w:rPr>
                <w:rFonts w:hint="eastAsia" w:hAnsi="宋体" w:cs="宋体"/>
                <w:color w:val="auto"/>
                <w:highlight w:val="none"/>
              </w:rPr>
              <w:t>须在投标文件中同时提供有效期内的“环境标志产品政府采购品目清单”及国家确定的认证机构出具的、处于有效期之内的环境标志产品认证证书的复印件</w:t>
            </w:r>
            <w:r>
              <w:rPr>
                <w:rFonts w:hAnsi="宋体" w:cs="宋体"/>
                <w:color w:val="auto"/>
                <w:highlight w:val="none"/>
              </w:rPr>
              <w:t>（</w:t>
            </w:r>
            <w:r>
              <w:rPr>
                <w:rFonts w:hint="eastAsia" w:hAnsi="宋体" w:cs="宋体"/>
                <w:color w:val="auto"/>
                <w:highlight w:val="none"/>
              </w:rPr>
              <w:t>需要加盖投标人公章</w:t>
            </w:r>
            <w:r>
              <w:rPr>
                <w:rFonts w:hAnsi="宋体" w:cs="宋体"/>
                <w:color w:val="auto"/>
                <w:highlight w:val="none"/>
              </w:rPr>
              <w:t>）</w:t>
            </w:r>
            <w:r>
              <w:rPr>
                <w:rFonts w:hint="eastAsia" w:hAnsi="宋体" w:cs="宋体"/>
                <w:color w:val="auto"/>
                <w:highlight w:val="none"/>
              </w:rPr>
              <w:t>，否则在评审时将不给予价格扣除或加分。</w:t>
            </w:r>
          </w:p>
        </w:tc>
      </w:tr>
      <w:tr w14:paraId="7D6EB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6" w:type="dxa"/>
            <w:vAlign w:val="center"/>
          </w:tcPr>
          <w:p w14:paraId="16DF7699">
            <w:pPr>
              <w:pStyle w:val="35"/>
              <w:widowControl w:val="0"/>
              <w:spacing w:line="340" w:lineRule="exact"/>
              <w:jc w:val="center"/>
              <w:rPr>
                <w:rFonts w:hint="default" w:ascii="宋体" w:hAnsi="宋体" w:cs="宋体"/>
                <w:kern w:val="2"/>
                <w:sz w:val="21"/>
                <w:szCs w:val="21"/>
                <w:highlight w:val="none"/>
              </w:rPr>
            </w:pPr>
            <w:r>
              <w:rPr>
                <w:rFonts w:ascii="宋体" w:hAnsi="宋体" w:cs="宋体"/>
                <w:kern w:val="2"/>
                <w:sz w:val="21"/>
                <w:szCs w:val="21"/>
                <w:highlight w:val="none"/>
              </w:rPr>
              <w:t>促进中小企业发展政策</w:t>
            </w:r>
          </w:p>
        </w:tc>
        <w:tc>
          <w:tcPr>
            <w:tcW w:w="3589" w:type="dxa"/>
            <w:vAlign w:val="center"/>
          </w:tcPr>
          <w:p w14:paraId="13717107">
            <w:pPr>
              <w:pStyle w:val="16"/>
              <w:spacing w:line="360" w:lineRule="exact"/>
              <w:jc w:val="left"/>
              <w:rPr>
                <w:rFonts w:hint="eastAsia" w:hAnsi="宋体" w:eastAsia="宋体" w:cs="宋体"/>
                <w:color w:val="auto"/>
                <w:highlight w:val="none"/>
                <w:lang w:eastAsia="zh-CN"/>
              </w:rPr>
            </w:pPr>
            <w:r>
              <w:rPr>
                <w:rFonts w:hAnsi="宋体" w:cs="宋体"/>
                <w:color w:val="auto"/>
                <w:highlight w:val="none"/>
              </w:rPr>
              <w:t>本项目采购标的对应的中小企业划分标准所属行业为：</w:t>
            </w:r>
            <w:r>
              <w:rPr>
                <w:rFonts w:hint="eastAsia" w:hAnsi="宋体" w:cs="宋体"/>
                <w:color w:val="auto"/>
                <w:highlight w:val="none"/>
                <w:u w:val="single"/>
                <w:lang w:val="zh-CN" w:eastAsia="zh-CN"/>
              </w:rPr>
              <w:t>软件和信息技术服务业</w:t>
            </w:r>
          </w:p>
          <w:p w14:paraId="76C8FB55">
            <w:pPr>
              <w:pStyle w:val="16"/>
              <w:spacing w:line="360" w:lineRule="exact"/>
              <w:jc w:val="left"/>
              <w:rPr>
                <w:rFonts w:hAnsi="宋体" w:cs="宋体"/>
                <w:color w:val="auto"/>
                <w:highlight w:val="none"/>
              </w:rPr>
            </w:pPr>
            <w:r>
              <w:rPr>
                <w:rFonts w:hAnsi="宋体" w:cs="宋体"/>
                <w:color w:val="auto"/>
                <w:position w:val="2"/>
                <w:highlight w:val="none"/>
              </w:rPr>
              <w:fldChar w:fldCharType="begin"/>
            </w:r>
            <w:r>
              <w:rPr>
                <w:rFonts w:hAnsi="宋体" w:cs="宋体"/>
                <w:color w:val="auto"/>
                <w:position w:val="2"/>
                <w:highlight w:val="none"/>
              </w:rPr>
              <w:instrText xml:space="preserve">eq \o\ac(□</w:instrText>
            </w:r>
            <w:r>
              <w:rPr>
                <w:rFonts w:hint="eastAsia" w:hAnsi="宋体" w:cs="宋体"/>
                <w:color w:val="auto"/>
                <w:position w:val="2"/>
                <w:highlight w:val="none"/>
                <w:lang w:eastAsia="zh-CN"/>
              </w:rPr>
              <w:instrText xml:space="preserve">,</w:instrText>
            </w:r>
            <w:r>
              <w:rPr>
                <w:rFonts w:hint="eastAsia" w:hAnsi="宋体" w:cs="宋体"/>
                <w:color w:val="auto"/>
                <w:position w:val="4"/>
                <w:sz w:val="13"/>
                <w:highlight w:val="none"/>
                <w:lang w:eastAsia="zh-CN"/>
              </w:rPr>
              <w:instrText xml:space="preserve">√</w:instrText>
            </w:r>
            <w:r>
              <w:rPr>
                <w:rFonts w:hAnsi="宋体" w:cs="宋体"/>
                <w:color w:val="auto"/>
                <w:position w:val="2"/>
                <w:highlight w:val="none"/>
              </w:rPr>
              <w:instrText xml:space="preserve">)</w:instrText>
            </w:r>
            <w:r>
              <w:rPr>
                <w:rFonts w:hAnsi="宋体" w:cs="宋体"/>
                <w:color w:val="auto"/>
                <w:position w:val="2"/>
                <w:highlight w:val="none"/>
              </w:rPr>
              <w:fldChar w:fldCharType="end"/>
            </w:r>
            <w:r>
              <w:rPr>
                <w:rFonts w:hAnsi="宋体" w:cs="宋体"/>
                <w:color w:val="auto"/>
                <w:highlight w:val="none"/>
              </w:rPr>
              <w:t xml:space="preserve"> 专门面向中小企业采购项目</w:t>
            </w:r>
          </w:p>
          <w:p w14:paraId="39ECD6E5">
            <w:pPr>
              <w:pStyle w:val="16"/>
              <w:spacing w:line="360" w:lineRule="exact"/>
              <w:jc w:val="left"/>
              <w:rPr>
                <w:rFonts w:hAnsi="宋体" w:cs="宋体"/>
                <w:color w:val="auto"/>
                <w:highlight w:val="none"/>
              </w:rPr>
            </w:pPr>
            <w:r>
              <w:rPr>
                <w:rFonts w:hint="eastAsia" w:hAnsi="宋体"/>
                <w:color w:val="auto"/>
                <w:position w:val="2"/>
                <w:highlight w:val="none"/>
              </w:rPr>
              <w:fldChar w:fldCharType="begin"/>
            </w:r>
            <w:r>
              <w:rPr>
                <w:rFonts w:hint="eastAsia" w:hAnsi="宋体"/>
                <w:color w:val="auto"/>
                <w:position w:val="2"/>
                <w:highlight w:val="none"/>
              </w:rPr>
              <w:instrText xml:space="preserve">eq \o\ac(□</w:instrText>
            </w:r>
            <w:r>
              <w:rPr>
                <w:rFonts w:hAnsi="宋体"/>
                <w:color w:val="auto"/>
                <w:position w:val="2"/>
                <w:highlight w:val="none"/>
              </w:rPr>
              <w:instrText xml:space="preserve">)</w:instrText>
            </w:r>
            <w:r>
              <w:rPr>
                <w:rFonts w:hint="eastAsia" w:hAnsi="宋体"/>
                <w:color w:val="auto"/>
                <w:position w:val="2"/>
                <w:highlight w:val="none"/>
              </w:rPr>
              <w:fldChar w:fldCharType="end"/>
            </w:r>
            <w:r>
              <w:rPr>
                <w:rFonts w:hAnsi="宋体" w:cs="宋体"/>
                <w:color w:val="auto"/>
                <w:highlight w:val="none"/>
              </w:rPr>
              <w:t xml:space="preserve"> 非专门面向中小企业采购项目（价格扣除）：</w:t>
            </w:r>
          </w:p>
          <w:p w14:paraId="064BD8E3">
            <w:pPr>
              <w:pStyle w:val="16"/>
              <w:autoSpaceDE w:val="0"/>
              <w:spacing w:line="340" w:lineRule="exact"/>
              <w:jc w:val="left"/>
              <w:rPr>
                <w:rFonts w:hAnsi="宋体" w:cs="宋体"/>
                <w:color w:val="auto"/>
                <w:highlight w:val="none"/>
              </w:rPr>
            </w:pPr>
            <w:r>
              <w:rPr>
                <w:rFonts w:hint="eastAsia" w:hAnsi="宋体" w:cs="宋体"/>
                <w:color w:val="auto"/>
                <w:highlight w:val="none"/>
              </w:rPr>
              <w:t>（1）对小型和微型企业产品的价格给予10%～20%的扣除，用扣除后的价格参与评审。本项目的扣除比例为：小型企业扣除</w:t>
            </w:r>
            <w:r>
              <w:rPr>
                <w:rFonts w:hint="eastAsia" w:hAnsi="宋体" w:cs="宋体"/>
                <w:color w:val="auto"/>
                <w:highlight w:val="none"/>
                <w:u w:val="single"/>
              </w:rPr>
              <w:t xml:space="preserve"> </w:t>
            </w:r>
            <w:r>
              <w:rPr>
                <w:rFonts w:hint="eastAsia" w:hAnsi="宋体" w:cs="宋体"/>
                <w:color w:val="auto"/>
                <w:highlight w:val="none"/>
                <w:u w:val="single"/>
                <w:lang w:val="en-US" w:eastAsia="zh-CN"/>
              </w:rPr>
              <w:t>/</w:t>
            </w:r>
            <w:r>
              <w:rPr>
                <w:rFonts w:hint="eastAsia" w:hAnsi="宋体" w:cs="宋体"/>
                <w:color w:val="auto"/>
                <w:highlight w:val="none"/>
                <w:u w:val="single"/>
              </w:rPr>
              <w:t>%</w:t>
            </w:r>
            <w:r>
              <w:rPr>
                <w:rFonts w:hint="eastAsia" w:hAnsi="宋体" w:cs="宋体"/>
                <w:color w:val="auto"/>
                <w:highlight w:val="none"/>
              </w:rPr>
              <w:t>，微型企业扣除</w:t>
            </w:r>
            <w:r>
              <w:rPr>
                <w:rFonts w:hint="eastAsia" w:hAnsi="宋体" w:cs="宋体"/>
                <w:color w:val="auto"/>
                <w:highlight w:val="none"/>
                <w:u w:val="single"/>
                <w:lang w:val="en-US" w:eastAsia="zh-CN"/>
              </w:rPr>
              <w:t>/</w:t>
            </w:r>
            <w:r>
              <w:rPr>
                <w:rFonts w:hint="eastAsia" w:hAnsi="宋体" w:cs="宋体"/>
                <w:color w:val="auto"/>
                <w:highlight w:val="none"/>
                <w:u w:val="single"/>
              </w:rPr>
              <w:t xml:space="preserve"> </w:t>
            </w:r>
            <w:r>
              <w:rPr>
                <w:rFonts w:hint="eastAsia" w:hAnsi="宋体" w:cs="宋体"/>
                <w:color w:val="auto"/>
                <w:highlight w:val="none"/>
              </w:rPr>
              <w:t>%。以联合体形式参加政府采购活动(若项目接受联合体投标)，联合体各方均为中小企业的，联合体视为中小企业。其中，联合体各方均为小微企业的，联合体视为小微企业。</w:t>
            </w:r>
          </w:p>
          <w:p w14:paraId="7D65E378">
            <w:pPr>
              <w:pStyle w:val="16"/>
              <w:spacing w:line="360" w:lineRule="exact"/>
              <w:jc w:val="left"/>
              <w:rPr>
                <w:rFonts w:hAnsi="宋体" w:cs="宋体"/>
                <w:color w:val="auto"/>
                <w:highlight w:val="none"/>
              </w:rPr>
            </w:pPr>
            <w:r>
              <w:rPr>
                <w:rFonts w:hint="eastAsia" w:hAnsi="宋体" w:cs="宋体"/>
                <w:color w:val="auto"/>
                <w:highlight w:val="none"/>
              </w:rPr>
              <w:t>（2）本项目接受联合体投标的，供应商为大中型企业和其他自然人、法人或者其他组织与小型、微型企业组成的联合体(若项目接受联合体投标)，且联合体协议中约定小型、微型企业的协议合同金额(必须为小型或微型企业产品)占到联合体协议合同总金额30%以上的，可给予联合体4%～6%的扣除，用扣除后的价格参与评审。本项目的扣除比例为：</w:t>
            </w:r>
            <w:r>
              <w:rPr>
                <w:rFonts w:hint="eastAsia" w:hAnsi="宋体" w:cs="宋体"/>
                <w:color w:val="auto"/>
                <w:highlight w:val="none"/>
                <w:u w:val="single"/>
              </w:rPr>
              <w:t xml:space="preserve"> / </w:t>
            </w:r>
            <w:r>
              <w:rPr>
                <w:rFonts w:hint="eastAsia" w:hAnsi="宋体" w:cs="宋体"/>
                <w:color w:val="auto"/>
                <w:highlight w:val="none"/>
              </w:rPr>
              <w:t>%。</w:t>
            </w:r>
          </w:p>
          <w:p w14:paraId="315E902C">
            <w:pPr>
              <w:pStyle w:val="35"/>
              <w:widowControl w:val="0"/>
              <w:spacing w:line="340" w:lineRule="exact"/>
              <w:rPr>
                <w:rFonts w:hint="default" w:ascii="宋体" w:hAnsi="宋体" w:cs="宋体"/>
                <w:color w:val="auto"/>
                <w:kern w:val="2"/>
                <w:sz w:val="21"/>
                <w:szCs w:val="21"/>
                <w:highlight w:val="none"/>
              </w:rPr>
            </w:pPr>
            <w:r>
              <w:rPr>
                <w:rFonts w:hAnsi="宋体" w:cs="宋体"/>
                <w:color w:val="auto"/>
                <w:highlight w:val="none"/>
              </w:rPr>
              <w:t>□ 非专门面向中小企业采购项目（其他优惠）：</w:t>
            </w:r>
            <w:r>
              <w:rPr>
                <w:rFonts w:hAnsi="宋体" w:cs="宋体"/>
                <w:color w:val="auto"/>
                <w:highlight w:val="none"/>
                <w:u w:val="single"/>
              </w:rPr>
              <w:t xml:space="preserve">  </w:t>
            </w:r>
            <w:r>
              <w:rPr>
                <w:rFonts w:ascii="宋体" w:hAnsi="宋体" w:cs="宋体"/>
                <w:color w:val="auto"/>
                <w:highlight w:val="none"/>
                <w:u w:val="single"/>
              </w:rPr>
              <w:t xml:space="preserve">/ </w:t>
            </w:r>
          </w:p>
        </w:tc>
        <w:tc>
          <w:tcPr>
            <w:tcW w:w="4394" w:type="dxa"/>
            <w:vAlign w:val="center"/>
          </w:tcPr>
          <w:p w14:paraId="57E888DC">
            <w:pPr>
              <w:pStyle w:val="16"/>
              <w:spacing w:line="380" w:lineRule="exact"/>
              <w:rPr>
                <w:color w:val="auto"/>
                <w:highlight w:val="none"/>
              </w:rPr>
            </w:pPr>
            <w:r>
              <w:rPr>
                <w:color w:val="auto"/>
                <w:highlight w:val="none"/>
              </w:rPr>
              <w:t>（</w:t>
            </w:r>
            <w:r>
              <w:rPr>
                <w:rFonts w:hint="eastAsia"/>
                <w:color w:val="auto"/>
                <w:highlight w:val="none"/>
              </w:rPr>
              <w:t>1</w:t>
            </w:r>
            <w:r>
              <w:rPr>
                <w:color w:val="auto"/>
                <w:highlight w:val="none"/>
              </w:rPr>
              <w:t>）在货物采购项目中，</w:t>
            </w:r>
            <w:r>
              <w:rPr>
                <w:rFonts w:hint="eastAsia"/>
                <w:color w:val="auto"/>
                <w:highlight w:val="none"/>
              </w:rPr>
              <w:t>所有</w:t>
            </w:r>
            <w:r>
              <w:rPr>
                <w:color w:val="auto"/>
                <w:highlight w:val="none"/>
              </w:rPr>
              <w:t>货物</w:t>
            </w:r>
            <w:r>
              <w:rPr>
                <w:rFonts w:hint="eastAsia"/>
                <w:color w:val="auto"/>
                <w:highlight w:val="none"/>
              </w:rPr>
              <w:t>均</w:t>
            </w:r>
            <w:r>
              <w:rPr>
                <w:color w:val="auto"/>
                <w:highlight w:val="none"/>
              </w:rPr>
              <w:t>由中小企业制造，即</w:t>
            </w:r>
            <w:r>
              <w:rPr>
                <w:rFonts w:hint="eastAsia"/>
                <w:color w:val="auto"/>
                <w:highlight w:val="none"/>
              </w:rPr>
              <w:t>所有</w:t>
            </w:r>
            <w:r>
              <w:rPr>
                <w:color w:val="auto"/>
                <w:highlight w:val="none"/>
              </w:rPr>
              <w:t>货物</w:t>
            </w:r>
            <w:r>
              <w:rPr>
                <w:rFonts w:hint="eastAsia"/>
                <w:color w:val="auto"/>
                <w:highlight w:val="none"/>
              </w:rPr>
              <w:t>均</w:t>
            </w:r>
            <w:r>
              <w:rPr>
                <w:color w:val="auto"/>
                <w:highlight w:val="none"/>
              </w:rPr>
              <w:t>由中小企业生产且使用该中小企业商号或者注册商标；</w:t>
            </w:r>
          </w:p>
          <w:p w14:paraId="553DD1A9">
            <w:pPr>
              <w:pStyle w:val="16"/>
              <w:spacing w:line="380" w:lineRule="exact"/>
              <w:rPr>
                <w:color w:val="auto"/>
                <w:highlight w:val="none"/>
              </w:rPr>
            </w:pPr>
            <w:r>
              <w:rPr>
                <w:color w:val="auto"/>
                <w:highlight w:val="none"/>
              </w:rPr>
              <w:t>（</w:t>
            </w:r>
            <w:r>
              <w:rPr>
                <w:rFonts w:hint="eastAsia"/>
                <w:color w:val="auto"/>
                <w:highlight w:val="none"/>
              </w:rPr>
              <w:t>2</w:t>
            </w:r>
            <w:r>
              <w:rPr>
                <w:color w:val="auto"/>
                <w:highlight w:val="none"/>
              </w:rPr>
              <w:t>）在工程采购项目中，工程由中小企业承建，即工程施工单位为中小企业；</w:t>
            </w:r>
          </w:p>
          <w:p w14:paraId="20A912E4">
            <w:pPr>
              <w:pStyle w:val="16"/>
              <w:spacing w:line="380" w:lineRule="exact"/>
              <w:rPr>
                <w:color w:val="auto"/>
                <w:highlight w:val="none"/>
              </w:rPr>
            </w:pPr>
            <w:r>
              <w:rPr>
                <w:color w:val="auto"/>
                <w:highlight w:val="none"/>
              </w:rPr>
              <w:t>（</w:t>
            </w:r>
            <w:r>
              <w:rPr>
                <w:rFonts w:hint="eastAsia"/>
                <w:color w:val="auto"/>
                <w:highlight w:val="none"/>
              </w:rPr>
              <w:t>3</w:t>
            </w:r>
            <w:r>
              <w:rPr>
                <w:color w:val="auto"/>
                <w:highlight w:val="none"/>
              </w:rPr>
              <w:t>）在服务采购项目中，服务由中小企业承接，即提供服务的人员为中小企业依照《中华人民共和国劳动合同法》订立劳动合同的从业人员。</w:t>
            </w:r>
          </w:p>
          <w:p w14:paraId="6487A80B">
            <w:pPr>
              <w:pStyle w:val="16"/>
              <w:spacing w:line="380" w:lineRule="exact"/>
              <w:rPr>
                <w:rFonts w:hAnsi="宋体" w:cs="宋体"/>
                <w:color w:val="auto"/>
                <w:highlight w:val="none"/>
              </w:rPr>
            </w:pPr>
            <w:r>
              <w:rPr>
                <w:rFonts w:hint="eastAsia"/>
                <w:color w:val="auto"/>
                <w:highlight w:val="none"/>
              </w:rPr>
              <w:t>（4）</w:t>
            </w:r>
            <w:r>
              <w:rPr>
                <w:color w:val="auto"/>
                <w:highlight w:val="none"/>
              </w:rPr>
              <w:t>以联合体形式</w:t>
            </w:r>
            <w:r>
              <w:rPr>
                <w:rFonts w:hint="eastAsia" w:hAnsi="宋体" w:cs="宋体"/>
                <w:color w:val="auto"/>
                <w:highlight w:val="none"/>
              </w:rPr>
              <w:t>（若项目允许联合体报价响应的情况下）</w:t>
            </w:r>
            <w:r>
              <w:rPr>
                <w:color w:val="auto"/>
                <w:highlight w:val="none"/>
              </w:rPr>
              <w:t>参加政府采购活动，联合体各方均为中小企业的，联合体视同中小企业。其中，联合体各方均为小微企业的，联合体视同小微企业。</w:t>
            </w:r>
          </w:p>
          <w:p w14:paraId="4CB2D794">
            <w:pPr>
              <w:pStyle w:val="16"/>
              <w:spacing w:line="380" w:lineRule="exact"/>
              <w:rPr>
                <w:rFonts w:hAnsi="宋体" w:cs="宋体"/>
                <w:color w:val="auto"/>
                <w:highlight w:val="none"/>
              </w:rPr>
            </w:pPr>
            <w:r>
              <w:rPr>
                <w:rFonts w:hint="eastAsia" w:hAnsi="宋体" w:cs="宋体"/>
                <w:color w:val="auto"/>
                <w:highlight w:val="none"/>
              </w:rPr>
              <w:t>（5</w:t>
            </w:r>
            <w:r>
              <w:rPr>
                <w:rFonts w:hAnsi="宋体" w:cs="宋体"/>
                <w:color w:val="auto"/>
                <w:highlight w:val="none"/>
              </w:rPr>
              <w:t>）</w:t>
            </w:r>
            <w:r>
              <w:rPr>
                <w:rFonts w:hint="eastAsia" w:hAnsi="宋体" w:cs="宋体"/>
                <w:color w:val="auto"/>
                <w:highlight w:val="none"/>
              </w:rPr>
              <w:t>供应商须在投标文件中提供《中小企业声明函》（格式见“第五章　投标文件格式”）及其要求的证明文件，否则在评审时将不给予价格扣除。</w:t>
            </w:r>
          </w:p>
        </w:tc>
      </w:tr>
      <w:tr w14:paraId="146B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6" w:type="dxa"/>
            <w:vAlign w:val="center"/>
          </w:tcPr>
          <w:p w14:paraId="349CD266">
            <w:pPr>
              <w:pStyle w:val="35"/>
              <w:widowControl w:val="0"/>
              <w:spacing w:line="340" w:lineRule="exact"/>
              <w:jc w:val="center"/>
              <w:rPr>
                <w:rFonts w:hint="default" w:ascii="宋体" w:hAnsi="宋体" w:cs="宋体"/>
                <w:kern w:val="2"/>
                <w:sz w:val="21"/>
                <w:szCs w:val="21"/>
                <w:highlight w:val="none"/>
              </w:rPr>
            </w:pPr>
            <w:r>
              <w:rPr>
                <w:rFonts w:ascii="宋体" w:hAnsi="宋体" w:cs="宋体"/>
                <w:kern w:val="2"/>
                <w:sz w:val="21"/>
                <w:szCs w:val="21"/>
                <w:highlight w:val="none"/>
              </w:rPr>
              <w:t>促进残疾人就业政策</w:t>
            </w:r>
          </w:p>
        </w:tc>
        <w:tc>
          <w:tcPr>
            <w:tcW w:w="3589" w:type="dxa"/>
            <w:vAlign w:val="center"/>
          </w:tcPr>
          <w:p w14:paraId="3D944702">
            <w:pPr>
              <w:pStyle w:val="35"/>
              <w:widowControl w:val="0"/>
              <w:spacing w:line="340" w:lineRule="exact"/>
              <w:rPr>
                <w:rFonts w:hint="default" w:ascii="宋体" w:hAnsi="宋体" w:cs="宋体"/>
                <w:color w:val="auto"/>
                <w:kern w:val="2"/>
                <w:sz w:val="21"/>
                <w:szCs w:val="21"/>
                <w:highlight w:val="none"/>
              </w:rPr>
            </w:pPr>
            <w:r>
              <w:rPr>
                <w:rFonts w:ascii="宋体" w:hAnsi="宋体" w:cs="宋体"/>
                <w:color w:val="auto"/>
                <w:sz w:val="21"/>
                <w:szCs w:val="21"/>
                <w:highlight w:val="none"/>
              </w:rPr>
              <w:t>残疾人福利性单位视同小微企业。残疾人福利性单位承接服务的投标价格给予10%-20%的扣除，用扣除后的价格参与评审，本项目具体扣除比例为：价格部分</w:t>
            </w:r>
            <w:r>
              <w:rPr>
                <w:rFonts w:hint="eastAsia" w:ascii="宋体" w:hAnsi="宋体" w:cs="宋体"/>
                <w:color w:val="auto"/>
                <w:sz w:val="21"/>
                <w:szCs w:val="21"/>
                <w:highlight w:val="none"/>
                <w:u w:val="single"/>
                <w:lang w:val="en-US" w:eastAsia="zh-CN"/>
              </w:rPr>
              <w:t>/</w:t>
            </w:r>
            <w:r>
              <w:rPr>
                <w:rFonts w:ascii="宋体" w:hAnsi="宋体" w:cs="宋体"/>
                <w:color w:val="auto"/>
                <w:sz w:val="21"/>
                <w:szCs w:val="21"/>
                <w:highlight w:val="none"/>
                <w:u w:val="single"/>
              </w:rPr>
              <w:t xml:space="preserve"> </w:t>
            </w:r>
            <w:r>
              <w:rPr>
                <w:rFonts w:ascii="宋体" w:hAnsi="宋体" w:cs="宋体"/>
                <w:color w:val="auto"/>
                <w:sz w:val="21"/>
                <w:szCs w:val="21"/>
                <w:highlight w:val="none"/>
              </w:rPr>
              <w:t>%。</w:t>
            </w:r>
          </w:p>
        </w:tc>
        <w:tc>
          <w:tcPr>
            <w:tcW w:w="4394" w:type="dxa"/>
            <w:vAlign w:val="center"/>
          </w:tcPr>
          <w:p w14:paraId="65C86D1C">
            <w:pPr>
              <w:adjustRightInd w:val="0"/>
              <w:snapToGrid w:val="0"/>
              <w:spacing w:line="340" w:lineRule="exact"/>
              <w:rPr>
                <w:rFonts w:ascii="宋体" w:hAnsi="宋体" w:cs="宋体"/>
                <w:color w:val="auto"/>
                <w:szCs w:val="21"/>
                <w:highlight w:val="none"/>
              </w:rPr>
            </w:pPr>
            <w:r>
              <w:rPr>
                <w:rFonts w:hint="eastAsia" w:ascii="宋体" w:hAnsi="宋体" w:cs="宋体"/>
                <w:color w:val="auto"/>
                <w:kern w:val="0"/>
                <w:szCs w:val="21"/>
                <w:highlight w:val="none"/>
              </w:rPr>
              <w:t>供应商如提供残疾人福利性单位生产的产品，</w:t>
            </w:r>
            <w:r>
              <w:rPr>
                <w:rFonts w:hint="eastAsia" w:hAnsi="宋体" w:cs="宋体"/>
                <w:color w:val="auto"/>
                <w:highlight w:val="none"/>
              </w:rPr>
              <w:t>供应商须在投标文件中提供</w:t>
            </w:r>
            <w:r>
              <w:rPr>
                <w:rFonts w:hint="eastAsia" w:ascii="宋体" w:hAnsi="宋体" w:cs="宋体"/>
                <w:color w:val="auto"/>
                <w:kern w:val="0"/>
                <w:szCs w:val="21"/>
                <w:highlight w:val="none"/>
              </w:rPr>
              <w:t>“享受政府采购政策优惠的证明材料”</w:t>
            </w:r>
            <w:r>
              <w:rPr>
                <w:rFonts w:hint="eastAsia" w:hAnsi="宋体" w:cs="宋体"/>
                <w:color w:val="auto"/>
                <w:highlight w:val="none"/>
              </w:rPr>
              <w:t>（格式见“第五章　投标文件格式”），否则在评审时将不给予价格扣除。</w:t>
            </w:r>
          </w:p>
        </w:tc>
      </w:tr>
      <w:tr w14:paraId="7BA24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6" w:type="dxa"/>
            <w:vAlign w:val="center"/>
          </w:tcPr>
          <w:p w14:paraId="77054BCD">
            <w:pPr>
              <w:pStyle w:val="35"/>
              <w:widowControl w:val="0"/>
              <w:spacing w:line="340" w:lineRule="exact"/>
              <w:jc w:val="center"/>
              <w:rPr>
                <w:rFonts w:hint="default" w:ascii="宋体" w:hAnsi="宋体" w:cs="宋体"/>
                <w:kern w:val="2"/>
                <w:sz w:val="21"/>
                <w:szCs w:val="21"/>
                <w:highlight w:val="none"/>
              </w:rPr>
            </w:pPr>
            <w:r>
              <w:rPr>
                <w:rFonts w:ascii="宋体" w:hAnsi="宋体" w:cs="宋体"/>
                <w:kern w:val="2"/>
                <w:sz w:val="21"/>
                <w:szCs w:val="21"/>
                <w:highlight w:val="none"/>
              </w:rPr>
              <w:t>支持监狱企业发展政策</w:t>
            </w:r>
          </w:p>
        </w:tc>
        <w:tc>
          <w:tcPr>
            <w:tcW w:w="3589" w:type="dxa"/>
            <w:vAlign w:val="center"/>
          </w:tcPr>
          <w:p w14:paraId="406CCA48">
            <w:pPr>
              <w:pStyle w:val="35"/>
              <w:widowControl w:val="0"/>
              <w:spacing w:line="340" w:lineRule="exact"/>
              <w:rPr>
                <w:rFonts w:hint="default" w:ascii="宋体" w:hAnsi="宋体" w:cs="宋体"/>
                <w:color w:val="auto"/>
                <w:kern w:val="2"/>
                <w:sz w:val="21"/>
                <w:szCs w:val="21"/>
                <w:highlight w:val="none"/>
              </w:rPr>
            </w:pPr>
            <w:r>
              <w:rPr>
                <w:rFonts w:ascii="宋体" w:hAnsi="宋体" w:cs="宋体"/>
                <w:color w:val="auto"/>
                <w:sz w:val="21"/>
                <w:szCs w:val="21"/>
                <w:highlight w:val="none"/>
              </w:rPr>
              <w:t>监狱企业视同小微企业。监狱企业承接服务的投标价格给予10%-20%的扣除，用扣除后的价格参与评审，本项目具体扣除比例为：价格部分</w:t>
            </w:r>
            <w:r>
              <w:rPr>
                <w:rFonts w:hint="eastAsia" w:ascii="宋体" w:hAnsi="宋体" w:cs="宋体"/>
                <w:color w:val="auto"/>
                <w:sz w:val="21"/>
                <w:szCs w:val="21"/>
                <w:highlight w:val="none"/>
                <w:u w:val="single"/>
                <w:lang w:val="en-US" w:eastAsia="zh-CN"/>
              </w:rPr>
              <w:t>/</w:t>
            </w:r>
            <w:r>
              <w:rPr>
                <w:rFonts w:ascii="宋体" w:hAnsi="宋体" w:cs="宋体"/>
                <w:color w:val="auto"/>
                <w:sz w:val="21"/>
                <w:szCs w:val="21"/>
                <w:highlight w:val="none"/>
              </w:rPr>
              <w:t>%。</w:t>
            </w:r>
          </w:p>
        </w:tc>
        <w:tc>
          <w:tcPr>
            <w:tcW w:w="4394" w:type="dxa"/>
            <w:vAlign w:val="center"/>
          </w:tcPr>
          <w:p w14:paraId="1CF10DC6">
            <w:pPr>
              <w:adjustRightInd w:val="0"/>
              <w:snapToGrid w:val="0"/>
              <w:spacing w:line="340" w:lineRule="exact"/>
              <w:rPr>
                <w:rFonts w:ascii="宋体" w:hAnsi="宋体" w:cs="宋体"/>
                <w:color w:val="auto"/>
                <w:szCs w:val="21"/>
                <w:highlight w:val="none"/>
              </w:rPr>
            </w:pPr>
            <w:r>
              <w:rPr>
                <w:rFonts w:hint="eastAsia" w:ascii="宋体" w:hAnsi="宋体" w:cs="宋体"/>
                <w:color w:val="auto"/>
                <w:kern w:val="0"/>
                <w:szCs w:val="21"/>
                <w:highlight w:val="none"/>
              </w:rPr>
              <w:t>投标人如提供监狱企业生产的产品，</w:t>
            </w:r>
            <w:r>
              <w:rPr>
                <w:rFonts w:hint="eastAsia" w:hAnsi="宋体" w:cs="宋体"/>
                <w:color w:val="auto"/>
                <w:highlight w:val="none"/>
              </w:rPr>
              <w:t>供应商须在投标文件中提供</w:t>
            </w:r>
            <w:r>
              <w:rPr>
                <w:rFonts w:hint="eastAsia" w:ascii="宋体" w:hAnsi="宋体" w:cs="宋体"/>
                <w:color w:val="auto"/>
                <w:kern w:val="0"/>
                <w:szCs w:val="21"/>
                <w:highlight w:val="none"/>
              </w:rPr>
              <w:t>“享受政府采购政策优惠的证明材料”</w:t>
            </w:r>
            <w:r>
              <w:rPr>
                <w:rFonts w:hint="eastAsia" w:hAnsi="宋体" w:cs="宋体"/>
                <w:color w:val="auto"/>
                <w:highlight w:val="none"/>
              </w:rPr>
              <w:t>（格式见“第五章　投标文件格式”），否则在评审时将不给予价格扣除。</w:t>
            </w:r>
          </w:p>
        </w:tc>
      </w:tr>
      <w:tr w14:paraId="27EA5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6" w:type="dxa"/>
            <w:vAlign w:val="center"/>
          </w:tcPr>
          <w:p w14:paraId="2764F7D0">
            <w:pPr>
              <w:pStyle w:val="35"/>
              <w:widowControl w:val="0"/>
              <w:spacing w:line="340" w:lineRule="exact"/>
              <w:jc w:val="center"/>
              <w:rPr>
                <w:rFonts w:hint="default"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政策规定说明</w:t>
            </w:r>
          </w:p>
        </w:tc>
        <w:tc>
          <w:tcPr>
            <w:tcW w:w="7983" w:type="dxa"/>
            <w:gridSpan w:val="2"/>
            <w:vAlign w:val="center"/>
          </w:tcPr>
          <w:p w14:paraId="3B690C95">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（1）投标产品取得两个及以上优先采购产品认证的，评审时只有其中一项能享受优先采购优惠（投标人自行选择，并在投标文件中填报相关信息及数据）。</w:t>
            </w:r>
          </w:p>
          <w:p w14:paraId="75848FD3">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（2）投标人同时符合小型、微型企业及监狱企业、残疾人福利性单位要求的，评审时只有一种类型享受价格评审优惠政策。</w:t>
            </w:r>
          </w:p>
          <w:p w14:paraId="09AC5717">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（3）小型和微型企业的价格评审优惠可以与同时属于“节能产品”、“环境标志产品”中的一项优先采购优惠累加计算。</w:t>
            </w:r>
          </w:p>
          <w:p w14:paraId="7DCF85A4">
            <w:pPr>
              <w:widowControl/>
              <w:spacing w:line="320" w:lineRule="exact"/>
              <w:rPr>
                <w:color w:val="auto"/>
                <w:szCs w:val="21"/>
                <w:highlight w:val="none"/>
              </w:rPr>
            </w:pPr>
            <w:r>
              <w:rPr>
                <w:rFonts w:hint="eastAsia" w:ascii="宋体" w:hAnsi="宋体"/>
                <w:color w:val="auto"/>
                <w:szCs w:val="21"/>
                <w:highlight w:val="none"/>
              </w:rPr>
              <w:t>（4）投标人提供的投标产品只有部分属于小型、微型企业制造的产品，</w:t>
            </w:r>
            <w:r>
              <w:rPr>
                <w:rFonts w:hint="eastAsia"/>
                <w:color w:val="auto"/>
                <w:szCs w:val="21"/>
                <w:highlight w:val="none"/>
              </w:rPr>
              <w:t>评审时不予对投标报价实行价格扣除。</w:t>
            </w:r>
          </w:p>
          <w:p w14:paraId="0C1995C3">
            <w:pPr>
              <w:pStyle w:val="35"/>
              <w:widowControl w:val="0"/>
              <w:spacing w:line="340" w:lineRule="exact"/>
              <w:rPr>
                <w:rFonts w:hint="default" w:ascii="宋体" w:hAnsi="宋体" w:cs="宋体"/>
                <w:color w:val="auto"/>
                <w:kern w:val="2"/>
                <w:sz w:val="21"/>
                <w:szCs w:val="21"/>
                <w:highlight w:val="none"/>
              </w:rPr>
            </w:pPr>
            <w:r>
              <w:rPr>
                <w:rFonts w:ascii="宋体" w:hAnsi="宋体"/>
                <w:color w:val="auto"/>
                <w:sz w:val="21"/>
                <w:szCs w:val="21"/>
                <w:highlight w:val="none"/>
              </w:rPr>
              <w:t>（5）投标人提供的投标产品只有部分</w:t>
            </w:r>
            <w:r>
              <w:rPr>
                <w:color w:val="auto"/>
                <w:sz w:val="21"/>
                <w:szCs w:val="21"/>
                <w:highlight w:val="none"/>
              </w:rPr>
              <w:t>属于优先采购的，评审时只对该部分产品的报价实行价格扣除。</w:t>
            </w:r>
          </w:p>
        </w:tc>
      </w:tr>
    </w:tbl>
    <w:p w14:paraId="482F4291">
      <w:pPr>
        <w:pStyle w:val="35"/>
        <w:widowControl w:val="0"/>
        <w:spacing w:before="120" w:beforeLines="50" w:line="360" w:lineRule="auto"/>
        <w:ind w:firstLine="420" w:firstLineChars="200"/>
        <w:jc w:val="both"/>
        <w:rPr>
          <w:rFonts w:hint="default"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2.4推荐中标候选人</w:t>
      </w:r>
    </w:p>
    <w:p w14:paraId="669902C3">
      <w:pPr>
        <w:widowControl/>
        <w:topLinePunct/>
        <w:autoSpaceDE w:val="0"/>
        <w:autoSpaceDN w:val="0"/>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2.4.1按评审后得分由高到低顺序排列。得分相同的，按投标报价由低到高顺序排列。得分且投标报价相同的并列。</w:t>
      </w:r>
    </w:p>
    <w:p w14:paraId="5CB87F70">
      <w:pPr>
        <w:widowControl/>
        <w:topLinePunct/>
        <w:autoSpaceDE w:val="0"/>
        <w:autoSpaceDN w:val="0"/>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2.4.2本采购</w:t>
      </w:r>
      <w:r>
        <w:rPr>
          <w:rFonts w:hint="eastAsia" w:ascii="宋体" w:hAnsi="宋体" w:cs="宋体"/>
          <w:color w:val="000000" w:themeColor="text1"/>
          <w:szCs w:val="21"/>
          <w:highlight w:val="none"/>
          <w:lang w:val="en-US" w:eastAsia="zh-CN"/>
          <w14:textFill>
            <w14:solidFill>
              <w14:schemeClr w14:val="tx1"/>
            </w14:solidFill>
          </w14:textFill>
        </w:rPr>
        <w:t>项目</w:t>
      </w:r>
      <w:r>
        <w:rPr>
          <w:rFonts w:hint="eastAsia" w:ascii="宋体" w:hAnsi="宋体" w:cs="宋体"/>
          <w:color w:val="000000" w:themeColor="text1"/>
          <w:szCs w:val="21"/>
          <w:highlight w:val="none"/>
          <w14:textFill>
            <w14:solidFill>
              <w14:schemeClr w14:val="tx1"/>
            </w14:solidFill>
          </w14:textFill>
        </w:rPr>
        <w:t>推荐中标候选人的数量：</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家。</w:t>
      </w:r>
    </w:p>
    <w:p w14:paraId="6E3396AA">
      <w:pPr>
        <w:widowControl/>
        <w:topLinePunct/>
        <w:autoSpaceDE w:val="0"/>
        <w:autoSpaceDN w:val="0"/>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2.4.3本采购</w:t>
      </w:r>
      <w:r>
        <w:rPr>
          <w:rFonts w:hint="eastAsia" w:ascii="宋体" w:hAnsi="宋体" w:cs="宋体"/>
          <w:color w:val="000000" w:themeColor="text1"/>
          <w:szCs w:val="21"/>
          <w:highlight w:val="none"/>
          <w:lang w:val="en-US" w:eastAsia="zh-CN"/>
          <w14:textFill>
            <w14:solidFill>
              <w14:schemeClr w14:val="tx1"/>
            </w14:solidFill>
          </w14:textFill>
        </w:rPr>
        <w:t>项目</w:t>
      </w:r>
      <w:r>
        <w:rPr>
          <w:rFonts w:hint="eastAsia" w:ascii="宋体" w:hAnsi="宋体" w:cs="宋体"/>
          <w:color w:val="000000" w:themeColor="text1"/>
          <w:szCs w:val="21"/>
          <w:highlight w:val="none"/>
          <w14:textFill>
            <w14:solidFill>
              <w14:schemeClr w14:val="tx1"/>
            </w14:solidFill>
          </w14:textFill>
        </w:rPr>
        <w:t>中标人数量：</w:t>
      </w:r>
      <w:r>
        <w:rPr>
          <w:rFonts w:hint="eastAsia" w:ascii="宋体" w:hAnsi="宋体" w:cs="宋体"/>
          <w:color w:val="000000" w:themeColor="text1"/>
          <w:szCs w:val="21"/>
          <w:highlight w:val="none"/>
          <w:u w:val="single"/>
          <w14:textFill>
            <w14:solidFill>
              <w14:schemeClr w14:val="tx1"/>
            </w14:solidFill>
          </w14:textFill>
        </w:rPr>
        <w:t xml:space="preserve"> 1 </w:t>
      </w:r>
      <w:r>
        <w:rPr>
          <w:rFonts w:hint="eastAsia" w:ascii="宋体" w:hAnsi="宋体" w:cs="宋体"/>
          <w:color w:val="000000" w:themeColor="text1"/>
          <w:szCs w:val="21"/>
          <w:highlight w:val="none"/>
          <w14:textFill>
            <w14:solidFill>
              <w14:schemeClr w14:val="tx1"/>
            </w14:solidFill>
          </w14:textFill>
        </w:rPr>
        <w:t>家。</w:t>
      </w:r>
    </w:p>
    <w:p w14:paraId="19501AF8">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中标候选人并列的，按照</w:t>
      </w:r>
      <w:r>
        <w:rPr>
          <w:rFonts w:hint="eastAsia" w:ascii="宋体" w:hAnsi="宋体"/>
          <w:color w:val="000000" w:themeColor="text1"/>
          <w:szCs w:val="21"/>
          <w:highlight w:val="none"/>
          <w14:textFill>
            <w14:solidFill>
              <w14:schemeClr w14:val="tx1"/>
            </w14:solidFill>
          </w14:textFill>
        </w:rPr>
        <w:t>技术评审得分由高到低顺序确定中标人。</w:t>
      </w:r>
      <w:r>
        <w:rPr>
          <w:rFonts w:hint="eastAsia" w:ascii="宋体" w:hAnsi="宋体" w:cs="宋体"/>
          <w:color w:val="000000" w:themeColor="text1"/>
          <w:szCs w:val="21"/>
          <w:highlight w:val="none"/>
          <w14:textFill>
            <w14:solidFill>
              <w14:schemeClr w14:val="tx1"/>
            </w14:solidFill>
          </w14:textFill>
        </w:rPr>
        <w:t>招标文件未规定的，采取随机抽取的方式确定。</w:t>
      </w:r>
    </w:p>
    <w:p w14:paraId="5DFEA045">
      <w:pPr>
        <w:rPr>
          <w:rFonts w:ascii="宋体" w:hAnsi="宋体" w:cs="宋体"/>
          <w:szCs w:val="21"/>
          <w:highlight w:val="none"/>
        </w:rPr>
        <w:sectPr>
          <w:pgSz w:w="11907" w:h="16839"/>
          <w:pgMar w:top="1440" w:right="1334" w:bottom="1440" w:left="1332" w:header="851" w:footer="992" w:gutter="0"/>
          <w:pgBorders>
            <w:top w:val="none" w:sz="0" w:space="0"/>
            <w:left w:val="none" w:sz="0" w:space="0"/>
            <w:bottom w:val="none" w:sz="0" w:space="0"/>
            <w:right w:val="none" w:sz="0" w:space="0"/>
          </w:pgBorders>
          <w:cols w:space="720" w:num="1"/>
          <w:titlePg/>
          <w:docGrid w:linePitch="312" w:charSpace="0"/>
        </w:sectPr>
      </w:pPr>
    </w:p>
    <w:p w14:paraId="3E3734DB">
      <w:pPr>
        <w:spacing w:before="240" w:after="240"/>
        <w:jc w:val="center"/>
        <w:outlineLvl w:val="0"/>
        <w:rPr>
          <w:rFonts w:ascii="宋体" w:hAnsi="宋体" w:cs="宋体"/>
          <w:b/>
          <w:bCs/>
          <w:sz w:val="32"/>
          <w:szCs w:val="32"/>
          <w:highlight w:val="none"/>
        </w:rPr>
      </w:pPr>
      <w:bookmarkStart w:id="40" w:name="_Toc21595"/>
      <w:r>
        <w:rPr>
          <w:rFonts w:hint="eastAsia" w:ascii="宋体" w:hAnsi="宋体" w:cs="宋体"/>
          <w:b/>
          <w:bCs/>
          <w:sz w:val="32"/>
          <w:szCs w:val="32"/>
          <w:highlight w:val="none"/>
        </w:rPr>
        <w:t>第四章 政府采购合同文本</w:t>
      </w:r>
      <w:bookmarkEnd w:id="40"/>
    </w:p>
    <w:p w14:paraId="2C3F4959">
      <w:pPr>
        <w:pStyle w:val="9"/>
        <w:spacing w:before="240" w:after="120"/>
        <w:ind w:firstLine="480"/>
        <w:rPr>
          <w:highlight w:val="none"/>
        </w:rPr>
      </w:pPr>
    </w:p>
    <w:p w14:paraId="44375A7C">
      <w:pPr>
        <w:pStyle w:val="9"/>
        <w:spacing w:before="240" w:after="120"/>
        <w:ind w:firstLine="480"/>
        <w:rPr>
          <w:highlight w:val="none"/>
        </w:rPr>
      </w:pPr>
    </w:p>
    <w:p w14:paraId="60C512EB">
      <w:pPr>
        <w:pStyle w:val="16"/>
        <w:spacing w:before="120" w:after="120"/>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合 同 书</w:t>
      </w:r>
    </w:p>
    <w:p w14:paraId="7593DF53">
      <w:pPr>
        <w:pStyle w:val="16"/>
        <w:spacing w:before="240" w:after="240"/>
        <w:ind w:firstLine="640"/>
        <w:jc w:val="center"/>
        <w:rPr>
          <w:rFonts w:asciiTheme="minorEastAsia" w:hAnsiTheme="minorEastAsia" w:eastAsiaTheme="minorEastAsia" w:cstheme="minorEastAsia"/>
          <w:bCs/>
          <w:sz w:val="32"/>
          <w:szCs w:val="32"/>
          <w:highlight w:val="none"/>
        </w:rPr>
      </w:pPr>
    </w:p>
    <w:p w14:paraId="0AA9007E">
      <w:pPr>
        <w:tabs>
          <w:tab w:val="left" w:pos="540"/>
          <w:tab w:val="left" w:pos="1080"/>
          <w:tab w:val="left" w:pos="1440"/>
        </w:tabs>
        <w:snapToGrid w:val="0"/>
        <w:spacing w:before="240" w:after="120"/>
        <w:ind w:firstLine="640"/>
        <w:jc w:val="center"/>
        <w:rPr>
          <w:rFonts w:asciiTheme="minorEastAsia" w:hAnsiTheme="minorEastAsia" w:eastAsiaTheme="minorEastAsia" w:cstheme="minorEastAsia"/>
          <w:sz w:val="32"/>
          <w:szCs w:val="32"/>
          <w:highlight w:val="none"/>
        </w:rPr>
      </w:pPr>
    </w:p>
    <w:p w14:paraId="3C137637">
      <w:pPr>
        <w:tabs>
          <w:tab w:val="left" w:pos="540"/>
          <w:tab w:val="left" w:pos="1080"/>
          <w:tab w:val="left" w:pos="1440"/>
        </w:tabs>
        <w:snapToGrid w:val="0"/>
        <w:spacing w:before="240" w:after="120"/>
        <w:ind w:left="1680" w:leftChars="800" w:firstLine="640"/>
        <w:jc w:val="center"/>
        <w:rPr>
          <w:rFonts w:asciiTheme="minorEastAsia" w:hAnsiTheme="minorEastAsia" w:eastAsiaTheme="minorEastAsia" w:cstheme="minorEastAsia"/>
          <w:sz w:val="32"/>
          <w:szCs w:val="32"/>
          <w:highlight w:val="none"/>
        </w:rPr>
      </w:pPr>
    </w:p>
    <w:p w14:paraId="4E55E067">
      <w:pPr>
        <w:tabs>
          <w:tab w:val="left" w:pos="2160"/>
        </w:tabs>
        <w:topLinePunct/>
        <w:autoSpaceDE w:val="0"/>
        <w:autoSpaceDN w:val="0"/>
        <w:snapToGrid w:val="0"/>
        <w:spacing w:before="240" w:after="120" w:line="360" w:lineRule="auto"/>
        <w:ind w:left="2100" w:leftChars="1000" w:firstLine="48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项目名称：</w:t>
      </w:r>
      <w:r>
        <w:rPr>
          <w:rFonts w:hint="eastAsia" w:asciiTheme="minorEastAsia" w:hAnsiTheme="minorEastAsia" w:eastAsiaTheme="minorEastAsia" w:cstheme="minorEastAsia"/>
          <w:bCs/>
          <w:sz w:val="24"/>
          <w:szCs w:val="24"/>
          <w:highlight w:val="none"/>
          <w:u w:val="single"/>
        </w:rPr>
        <w:t xml:space="preserve">                   </w:t>
      </w:r>
    </w:p>
    <w:p w14:paraId="2FF547B9">
      <w:pPr>
        <w:tabs>
          <w:tab w:val="left" w:pos="2160"/>
        </w:tabs>
        <w:topLinePunct/>
        <w:autoSpaceDE w:val="0"/>
        <w:autoSpaceDN w:val="0"/>
        <w:snapToGrid w:val="0"/>
        <w:spacing w:before="240" w:after="120" w:line="360" w:lineRule="auto"/>
        <w:ind w:left="2100" w:leftChars="1000" w:firstLine="48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包    号：</w:t>
      </w:r>
      <w:r>
        <w:rPr>
          <w:rFonts w:hint="eastAsia" w:asciiTheme="minorEastAsia" w:hAnsiTheme="minorEastAsia" w:eastAsiaTheme="minorEastAsia" w:cstheme="minorEastAsia"/>
          <w:bCs/>
          <w:sz w:val="24"/>
          <w:szCs w:val="24"/>
          <w:highlight w:val="none"/>
          <w:u w:val="single"/>
        </w:rPr>
        <w:t xml:space="preserve">                   </w:t>
      </w:r>
    </w:p>
    <w:p w14:paraId="43849C2C">
      <w:pPr>
        <w:tabs>
          <w:tab w:val="left" w:pos="540"/>
          <w:tab w:val="left" w:pos="1080"/>
          <w:tab w:val="left" w:pos="1440"/>
        </w:tabs>
        <w:snapToGrid w:val="0"/>
        <w:spacing w:before="240" w:after="120" w:line="360" w:lineRule="auto"/>
        <w:ind w:left="2100" w:leftChars="1000" w:firstLine="48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合同编号：</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 xml:space="preserve"> </w:t>
      </w:r>
    </w:p>
    <w:p w14:paraId="228A7276">
      <w:pPr>
        <w:tabs>
          <w:tab w:val="left" w:pos="2160"/>
        </w:tabs>
        <w:topLinePunct/>
        <w:autoSpaceDE w:val="0"/>
        <w:autoSpaceDN w:val="0"/>
        <w:snapToGrid w:val="0"/>
        <w:spacing w:before="240" w:after="120" w:line="360" w:lineRule="auto"/>
        <w:ind w:left="2880" w:leftChars="800" w:hanging="1200" w:hangingChars="500"/>
        <w:rPr>
          <w:rFonts w:asciiTheme="minorEastAsia" w:hAnsiTheme="minorEastAsia" w:eastAsiaTheme="minorEastAsia" w:cstheme="minorEastAsia"/>
          <w:bCs/>
          <w:sz w:val="24"/>
          <w:szCs w:val="24"/>
          <w:highlight w:val="none"/>
        </w:rPr>
      </w:pPr>
    </w:p>
    <w:p w14:paraId="3468B23D">
      <w:pPr>
        <w:pStyle w:val="16"/>
        <w:spacing w:before="240" w:after="240" w:line="460" w:lineRule="exact"/>
        <w:ind w:firstLine="480"/>
        <w:jc w:val="center"/>
        <w:rPr>
          <w:rFonts w:asciiTheme="minorEastAsia" w:hAnsiTheme="minorEastAsia" w:eastAsiaTheme="minorEastAsia" w:cstheme="minorEastAsia"/>
          <w:bCs/>
          <w:sz w:val="24"/>
          <w:szCs w:val="24"/>
          <w:highlight w:val="none"/>
        </w:rPr>
      </w:pPr>
    </w:p>
    <w:p w14:paraId="3586A7F1">
      <w:pPr>
        <w:pStyle w:val="16"/>
        <w:tabs>
          <w:tab w:val="left" w:pos="3045"/>
        </w:tabs>
        <w:spacing w:before="240" w:after="240" w:line="460" w:lineRule="exact"/>
        <w:ind w:firstLine="48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ab/>
      </w:r>
    </w:p>
    <w:p w14:paraId="3175EF14">
      <w:pPr>
        <w:spacing w:before="240" w:after="120" w:line="300" w:lineRule="auto"/>
        <w:ind w:left="840" w:leftChars="400" w:firstLine="1298" w:firstLineChars="541"/>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甲    方： </w:t>
      </w:r>
      <w:r>
        <w:rPr>
          <w:rFonts w:hint="eastAsia" w:asciiTheme="minorEastAsia" w:hAnsiTheme="minorEastAsia" w:eastAsiaTheme="minorEastAsia" w:cstheme="minorEastAsia"/>
          <w:bCs/>
          <w:color w:val="auto"/>
          <w:sz w:val="24"/>
          <w:szCs w:val="24"/>
          <w:highlight w:val="none"/>
          <w:u w:val="single"/>
          <w:lang w:eastAsia="zh-CN"/>
        </w:rPr>
        <w:t>国家税务总局湖南省税务局</w:t>
      </w:r>
    </w:p>
    <w:p w14:paraId="5CB47BEA">
      <w:pPr>
        <w:spacing w:before="240" w:after="120" w:line="300" w:lineRule="auto"/>
        <w:ind w:left="840" w:leftChars="400" w:firstLine="1298" w:firstLineChars="541"/>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 xml:space="preserve">乙    方： </w:t>
      </w:r>
      <w:r>
        <w:rPr>
          <w:rFonts w:hint="eastAsia" w:asciiTheme="minorEastAsia" w:hAnsiTheme="minorEastAsia" w:eastAsiaTheme="minorEastAsia" w:cstheme="minorEastAsia"/>
          <w:bCs/>
          <w:sz w:val="24"/>
          <w:szCs w:val="24"/>
          <w:highlight w:val="none"/>
          <w:u w:val="single"/>
        </w:rPr>
        <w:t xml:space="preserve">                     </w:t>
      </w:r>
    </w:p>
    <w:p w14:paraId="347E0D91">
      <w:pPr>
        <w:spacing w:before="240" w:after="120" w:line="300" w:lineRule="auto"/>
        <w:ind w:left="840" w:leftChars="400" w:firstLine="1298" w:firstLineChars="541"/>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 xml:space="preserve">日    期： </w:t>
      </w:r>
      <w:r>
        <w:rPr>
          <w:rFonts w:hint="eastAsia" w:asciiTheme="minorEastAsia" w:hAnsiTheme="minorEastAsia" w:eastAsiaTheme="minorEastAsia" w:cstheme="minorEastAsia"/>
          <w:bCs/>
          <w:sz w:val="24"/>
          <w:szCs w:val="24"/>
          <w:highlight w:val="none"/>
          <w:u w:val="single"/>
        </w:rPr>
        <w:t xml:space="preserve">        年    月   日</w:t>
      </w:r>
    </w:p>
    <w:p w14:paraId="58F01C9C">
      <w:pPr>
        <w:spacing w:before="240" w:after="120" w:line="300" w:lineRule="auto"/>
        <w:ind w:firstLine="480"/>
        <w:jc w:val="center"/>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u w:val="single"/>
        </w:rPr>
        <w:br w:type="page"/>
      </w:r>
    </w:p>
    <w:p w14:paraId="68320F24">
      <w:pPr>
        <w:spacing w:before="240" w:after="120" w:line="300" w:lineRule="auto"/>
        <w:ind w:firstLine="562"/>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合同条款前附表</w:t>
      </w:r>
    </w:p>
    <w:tbl>
      <w:tblPr>
        <w:tblStyle w:val="24"/>
        <w:tblW w:w="925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9"/>
        <w:gridCol w:w="1812"/>
        <w:gridCol w:w="6374"/>
      </w:tblGrid>
      <w:tr w14:paraId="528D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655" w:type="dxa"/>
            <w:tcBorders>
              <w:top w:val="single" w:color="auto" w:sz="4" w:space="0"/>
              <w:left w:val="single" w:color="auto" w:sz="4" w:space="0"/>
              <w:bottom w:val="single" w:color="auto" w:sz="4" w:space="0"/>
              <w:right w:val="single" w:color="auto" w:sz="4" w:space="0"/>
            </w:tcBorders>
            <w:vAlign w:val="center"/>
          </w:tcPr>
          <w:p w14:paraId="2672141B">
            <w:pPr>
              <w:tabs>
                <w:tab w:val="left" w:pos="700"/>
              </w:tabs>
              <w:adjustRightInd w:val="0"/>
              <w:snapToGrid w:val="0"/>
              <w:spacing w:line="360" w:lineRule="exac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序号</w:t>
            </w:r>
          </w:p>
        </w:tc>
        <w:tc>
          <w:tcPr>
            <w:tcW w:w="8595" w:type="dxa"/>
            <w:gridSpan w:val="3"/>
            <w:tcBorders>
              <w:top w:val="single" w:color="auto" w:sz="4" w:space="0"/>
              <w:left w:val="single" w:color="auto" w:sz="4" w:space="0"/>
              <w:bottom w:val="single" w:color="auto" w:sz="4" w:space="0"/>
              <w:right w:val="single" w:color="auto" w:sz="4" w:space="0"/>
            </w:tcBorders>
            <w:vAlign w:val="center"/>
          </w:tcPr>
          <w:p w14:paraId="58146AD8">
            <w:pPr>
              <w:tabs>
                <w:tab w:val="left" w:pos="700"/>
              </w:tabs>
              <w:adjustRightInd w:val="0"/>
              <w:snapToGrid w:val="0"/>
              <w:spacing w:line="360" w:lineRule="exact"/>
              <w:ind w:firstLine="422"/>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内        容</w:t>
            </w:r>
          </w:p>
        </w:tc>
      </w:tr>
      <w:tr w14:paraId="4BF3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655" w:type="dxa"/>
            <w:tcBorders>
              <w:top w:val="single" w:color="auto" w:sz="4" w:space="0"/>
              <w:left w:val="single" w:color="auto" w:sz="4" w:space="0"/>
              <w:bottom w:val="single" w:color="auto" w:sz="4" w:space="0"/>
              <w:right w:val="single" w:color="auto" w:sz="4" w:space="0"/>
            </w:tcBorders>
            <w:vAlign w:val="center"/>
          </w:tcPr>
          <w:p w14:paraId="2A97CC01">
            <w:pPr>
              <w:tabs>
                <w:tab w:val="left" w:pos="700"/>
              </w:tabs>
              <w:adjustRightInd w:val="0"/>
              <w:snapToGrid w:val="0"/>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2333D4C2">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合同名称</w:t>
            </w:r>
          </w:p>
        </w:tc>
        <w:tc>
          <w:tcPr>
            <w:tcW w:w="6374" w:type="dxa"/>
            <w:tcBorders>
              <w:top w:val="single" w:color="auto" w:sz="4" w:space="0"/>
              <w:left w:val="single" w:color="auto" w:sz="4" w:space="0"/>
              <w:bottom w:val="single" w:color="auto" w:sz="4" w:space="0"/>
              <w:right w:val="single" w:color="auto" w:sz="4" w:space="0"/>
            </w:tcBorders>
            <w:vAlign w:val="center"/>
          </w:tcPr>
          <w:p w14:paraId="479E4F54">
            <w:pPr>
              <w:tabs>
                <w:tab w:val="left" w:pos="700"/>
              </w:tabs>
              <w:adjustRightInd w:val="0"/>
              <w:snapToGrid w:val="0"/>
              <w:spacing w:line="360" w:lineRule="exact"/>
              <w:rPr>
                <w:rFonts w:asciiTheme="minorEastAsia" w:hAnsiTheme="minorEastAsia" w:eastAsiaTheme="minorEastAsia" w:cstheme="minorEastAsia"/>
                <w:bCs/>
                <w:color w:val="auto"/>
                <w:szCs w:val="21"/>
                <w:highlight w:val="none"/>
              </w:rPr>
            </w:pPr>
          </w:p>
        </w:tc>
      </w:tr>
      <w:tr w14:paraId="3387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55" w:type="dxa"/>
            <w:tcBorders>
              <w:top w:val="single" w:color="auto" w:sz="4" w:space="0"/>
              <w:left w:val="single" w:color="auto" w:sz="4" w:space="0"/>
              <w:bottom w:val="single" w:color="auto" w:sz="4" w:space="0"/>
              <w:right w:val="single" w:color="auto" w:sz="4" w:space="0"/>
            </w:tcBorders>
            <w:vAlign w:val="center"/>
          </w:tcPr>
          <w:p w14:paraId="27B62344">
            <w:pPr>
              <w:tabs>
                <w:tab w:val="left" w:pos="700"/>
              </w:tabs>
              <w:adjustRightInd w:val="0"/>
              <w:snapToGrid w:val="0"/>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3B124908">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合同编号</w:t>
            </w:r>
          </w:p>
        </w:tc>
        <w:tc>
          <w:tcPr>
            <w:tcW w:w="6374" w:type="dxa"/>
            <w:tcBorders>
              <w:top w:val="single" w:color="auto" w:sz="4" w:space="0"/>
              <w:left w:val="single" w:color="auto" w:sz="4" w:space="0"/>
              <w:bottom w:val="single" w:color="auto" w:sz="4" w:space="0"/>
              <w:right w:val="single" w:color="auto" w:sz="4" w:space="0"/>
            </w:tcBorders>
            <w:vAlign w:val="center"/>
          </w:tcPr>
          <w:p w14:paraId="3C663B5E">
            <w:pPr>
              <w:tabs>
                <w:tab w:val="left" w:pos="2160"/>
              </w:tabs>
              <w:topLinePunct/>
              <w:autoSpaceDE w:val="0"/>
              <w:autoSpaceDN w:val="0"/>
              <w:adjustRightInd w:val="0"/>
              <w:snapToGrid w:val="0"/>
              <w:spacing w:line="360" w:lineRule="exact"/>
              <w:rPr>
                <w:rFonts w:hint="eastAsia" w:asciiTheme="minorEastAsia" w:hAnsiTheme="minorEastAsia" w:eastAsiaTheme="minorEastAsia" w:cstheme="minorEastAsia"/>
                <w:bCs/>
                <w:color w:val="auto"/>
                <w:szCs w:val="21"/>
                <w:highlight w:val="none"/>
                <w:lang w:eastAsia="zh-CN"/>
              </w:rPr>
            </w:pPr>
            <w:r>
              <w:rPr>
                <w:rFonts w:hint="eastAsia" w:ascii="宋体" w:hAnsi="宋体" w:eastAsiaTheme="minorEastAsia"/>
                <w:color w:val="auto"/>
                <w:highlight w:val="none"/>
                <w:lang w:eastAsia="zh-CN"/>
              </w:rPr>
              <w:t>TJGJCS2024-296</w:t>
            </w:r>
          </w:p>
        </w:tc>
      </w:tr>
      <w:tr w14:paraId="3A12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55" w:type="dxa"/>
            <w:tcBorders>
              <w:top w:val="single" w:color="auto" w:sz="4" w:space="0"/>
              <w:left w:val="single" w:color="auto" w:sz="4" w:space="0"/>
              <w:bottom w:val="single" w:color="auto" w:sz="4" w:space="0"/>
              <w:right w:val="single" w:color="auto" w:sz="4" w:space="0"/>
            </w:tcBorders>
            <w:vAlign w:val="center"/>
          </w:tcPr>
          <w:p w14:paraId="01ACDBF3">
            <w:pPr>
              <w:tabs>
                <w:tab w:val="left" w:pos="700"/>
              </w:tabs>
              <w:adjustRightInd w:val="0"/>
              <w:snapToGrid w:val="0"/>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5D9045B6">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合同类型</w:t>
            </w:r>
          </w:p>
        </w:tc>
        <w:tc>
          <w:tcPr>
            <w:tcW w:w="6374" w:type="dxa"/>
            <w:tcBorders>
              <w:top w:val="single" w:color="auto" w:sz="4" w:space="0"/>
              <w:left w:val="single" w:color="auto" w:sz="4" w:space="0"/>
              <w:bottom w:val="single" w:color="auto" w:sz="4" w:space="0"/>
              <w:right w:val="single" w:color="auto" w:sz="4" w:space="0"/>
            </w:tcBorders>
            <w:vAlign w:val="center"/>
          </w:tcPr>
          <w:p w14:paraId="46DFB7FD">
            <w:pPr>
              <w:tabs>
                <w:tab w:val="left" w:pos="2160"/>
              </w:tabs>
              <w:topLinePunct/>
              <w:autoSpaceDE w:val="0"/>
              <w:autoSpaceDN w:val="0"/>
              <w:adjustRightInd w:val="0"/>
              <w:snapToGrid w:val="0"/>
              <w:spacing w:line="360" w:lineRule="exact"/>
              <w:rPr>
                <w:rFonts w:ascii="宋体" w:hAnsi="宋体" w:cstheme="minorEastAsia"/>
                <w:color w:val="auto"/>
                <w:szCs w:val="21"/>
                <w:highlight w:val="none"/>
              </w:rPr>
            </w:pPr>
            <w:r>
              <w:rPr>
                <w:rFonts w:hint="eastAsia" w:ascii="宋体" w:hAnsi="宋体" w:cstheme="minorEastAsia"/>
                <w:color w:val="auto"/>
                <w:szCs w:val="21"/>
                <w:highlight w:val="none"/>
                <w:lang w:val="en-US" w:eastAsia="zh-CN"/>
              </w:rPr>
              <w:t>服务</w:t>
            </w:r>
            <w:r>
              <w:rPr>
                <w:rFonts w:hint="eastAsia" w:ascii="宋体" w:hAnsi="宋体" w:cstheme="minorEastAsia"/>
                <w:color w:val="auto"/>
                <w:szCs w:val="21"/>
                <w:highlight w:val="none"/>
              </w:rPr>
              <w:t>类项目</w:t>
            </w:r>
          </w:p>
        </w:tc>
      </w:tr>
      <w:tr w14:paraId="409A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55" w:type="dxa"/>
            <w:tcBorders>
              <w:top w:val="single" w:color="auto" w:sz="4" w:space="0"/>
              <w:left w:val="single" w:color="auto" w:sz="4" w:space="0"/>
              <w:bottom w:val="single" w:color="auto" w:sz="4" w:space="0"/>
              <w:right w:val="single" w:color="auto" w:sz="4" w:space="0"/>
            </w:tcBorders>
            <w:vAlign w:val="center"/>
          </w:tcPr>
          <w:p w14:paraId="4407C4B4">
            <w:pPr>
              <w:tabs>
                <w:tab w:val="left" w:pos="700"/>
              </w:tabs>
              <w:adjustRightInd w:val="0"/>
              <w:snapToGrid w:val="0"/>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6C10A097">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定价方式</w:t>
            </w:r>
          </w:p>
        </w:tc>
        <w:tc>
          <w:tcPr>
            <w:tcW w:w="6374" w:type="dxa"/>
            <w:tcBorders>
              <w:top w:val="single" w:color="auto" w:sz="4" w:space="0"/>
              <w:left w:val="single" w:color="auto" w:sz="4" w:space="0"/>
              <w:bottom w:val="single" w:color="auto" w:sz="4" w:space="0"/>
              <w:right w:val="single" w:color="auto" w:sz="4" w:space="0"/>
            </w:tcBorders>
            <w:vAlign w:val="center"/>
          </w:tcPr>
          <w:p w14:paraId="3DA7C5DE">
            <w:pPr>
              <w:tabs>
                <w:tab w:val="left" w:pos="2160"/>
              </w:tabs>
              <w:topLinePunct/>
              <w:autoSpaceDE w:val="0"/>
              <w:autoSpaceDN w:val="0"/>
              <w:adjustRightInd w:val="0"/>
              <w:snapToGrid w:val="0"/>
              <w:spacing w:line="360" w:lineRule="exact"/>
              <w:rPr>
                <w:rFonts w:asciiTheme="minorEastAsia" w:hAnsiTheme="minorEastAsia" w:eastAsiaTheme="minorEastAsia" w:cstheme="minorEastAsia"/>
                <w:b/>
                <w:bCs/>
                <w:color w:val="auto"/>
                <w:szCs w:val="21"/>
                <w:highlight w:val="none"/>
              </w:rPr>
            </w:pPr>
            <w:r>
              <w:rPr>
                <w:rFonts w:hint="eastAsia" w:ascii="宋体" w:hAnsi="宋体"/>
                <w:color w:val="auto"/>
                <w:highlight w:val="none"/>
              </w:rPr>
              <w:t>固定总价合同</w:t>
            </w:r>
          </w:p>
        </w:tc>
      </w:tr>
      <w:tr w14:paraId="0D33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55" w:type="dxa"/>
            <w:vMerge w:val="restart"/>
            <w:tcBorders>
              <w:top w:val="single" w:color="auto" w:sz="4" w:space="0"/>
              <w:left w:val="single" w:color="auto" w:sz="4" w:space="0"/>
              <w:right w:val="single" w:color="auto" w:sz="4" w:space="0"/>
            </w:tcBorders>
            <w:vAlign w:val="center"/>
          </w:tcPr>
          <w:p w14:paraId="2D55698C">
            <w:pPr>
              <w:tabs>
                <w:tab w:val="left" w:pos="700"/>
              </w:tabs>
              <w:adjustRightInd w:val="0"/>
              <w:snapToGrid w:val="0"/>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c>
          <w:tcPr>
            <w:tcW w:w="2221" w:type="dxa"/>
            <w:gridSpan w:val="2"/>
            <w:tcBorders>
              <w:top w:val="single" w:color="auto" w:sz="4" w:space="0"/>
              <w:left w:val="single" w:color="auto" w:sz="4" w:space="0"/>
              <w:bottom w:val="single" w:color="auto" w:sz="6" w:space="0"/>
              <w:right w:val="single" w:color="auto" w:sz="6" w:space="0"/>
            </w:tcBorders>
            <w:vAlign w:val="center"/>
          </w:tcPr>
          <w:p w14:paraId="4EB83AA5">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甲方名称</w:t>
            </w:r>
          </w:p>
        </w:tc>
        <w:tc>
          <w:tcPr>
            <w:tcW w:w="6374" w:type="dxa"/>
            <w:tcBorders>
              <w:top w:val="single" w:color="auto" w:sz="4" w:space="0"/>
              <w:left w:val="single" w:color="auto" w:sz="6" w:space="0"/>
              <w:bottom w:val="single" w:color="auto" w:sz="6" w:space="0"/>
              <w:right w:val="single" w:color="auto" w:sz="4" w:space="0"/>
            </w:tcBorders>
            <w:vAlign w:val="center"/>
          </w:tcPr>
          <w:p w14:paraId="4A4CFC36">
            <w:pPr>
              <w:tabs>
                <w:tab w:val="left" w:pos="700"/>
              </w:tabs>
              <w:adjustRightInd w:val="0"/>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 w:val="21"/>
                <w:szCs w:val="21"/>
                <w:highlight w:val="none"/>
                <w:u w:val="single"/>
                <w:lang w:eastAsia="zh-CN"/>
              </w:rPr>
              <w:t>国家税务总局湖南省税务局</w:t>
            </w:r>
          </w:p>
        </w:tc>
      </w:tr>
      <w:tr w14:paraId="52C5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55" w:type="dxa"/>
            <w:vMerge w:val="continue"/>
            <w:tcBorders>
              <w:left w:val="single" w:color="auto" w:sz="4" w:space="0"/>
              <w:right w:val="single" w:color="auto" w:sz="4" w:space="0"/>
            </w:tcBorders>
            <w:vAlign w:val="center"/>
          </w:tcPr>
          <w:p w14:paraId="50719180">
            <w:pPr>
              <w:widowControl/>
              <w:adjustRightInd w:val="0"/>
              <w:snapToGrid w:val="0"/>
              <w:spacing w:line="360" w:lineRule="exact"/>
              <w:rPr>
                <w:rFonts w:asciiTheme="minorEastAsia" w:hAnsiTheme="minorEastAsia" w:eastAsiaTheme="minorEastAsia" w:cstheme="minorEastAsia"/>
                <w:szCs w:val="21"/>
                <w:highlight w:val="none"/>
              </w:rPr>
            </w:pPr>
          </w:p>
        </w:tc>
        <w:tc>
          <w:tcPr>
            <w:tcW w:w="2221" w:type="dxa"/>
            <w:gridSpan w:val="2"/>
            <w:tcBorders>
              <w:top w:val="single" w:color="auto" w:sz="6" w:space="0"/>
              <w:left w:val="single" w:color="auto" w:sz="4" w:space="0"/>
              <w:bottom w:val="single" w:color="auto" w:sz="6" w:space="0"/>
              <w:right w:val="single" w:color="auto" w:sz="6" w:space="0"/>
            </w:tcBorders>
            <w:vAlign w:val="center"/>
          </w:tcPr>
          <w:p w14:paraId="3B62AD89">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甲方地址</w:t>
            </w:r>
          </w:p>
        </w:tc>
        <w:tc>
          <w:tcPr>
            <w:tcW w:w="6374" w:type="dxa"/>
            <w:tcBorders>
              <w:top w:val="single" w:color="auto" w:sz="6" w:space="0"/>
              <w:left w:val="single" w:color="auto" w:sz="6" w:space="0"/>
              <w:bottom w:val="single" w:color="auto" w:sz="6" w:space="0"/>
              <w:right w:val="single" w:color="auto" w:sz="4" w:space="0"/>
            </w:tcBorders>
            <w:vAlign w:val="center"/>
          </w:tcPr>
          <w:p w14:paraId="5BCDC7D2">
            <w:pPr>
              <w:tabs>
                <w:tab w:val="left" w:pos="700"/>
              </w:tabs>
              <w:adjustRightInd w:val="0"/>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 w:val="21"/>
                <w:szCs w:val="21"/>
                <w:highlight w:val="none"/>
                <w:u w:val="single"/>
                <w:lang w:eastAsia="zh-CN"/>
              </w:rPr>
              <w:t>长沙市环保西路6号</w:t>
            </w:r>
          </w:p>
        </w:tc>
      </w:tr>
      <w:tr w14:paraId="51A4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55" w:type="dxa"/>
            <w:vMerge w:val="continue"/>
            <w:tcBorders>
              <w:left w:val="single" w:color="auto" w:sz="4" w:space="0"/>
              <w:right w:val="single" w:color="auto" w:sz="4" w:space="0"/>
            </w:tcBorders>
            <w:vAlign w:val="center"/>
          </w:tcPr>
          <w:p w14:paraId="51423090">
            <w:pPr>
              <w:widowControl/>
              <w:adjustRightInd w:val="0"/>
              <w:snapToGrid w:val="0"/>
              <w:spacing w:line="360" w:lineRule="exact"/>
              <w:rPr>
                <w:rFonts w:asciiTheme="minorEastAsia" w:hAnsiTheme="minorEastAsia" w:eastAsiaTheme="minorEastAsia" w:cstheme="minorEastAsia"/>
                <w:szCs w:val="21"/>
                <w:highlight w:val="none"/>
              </w:rPr>
            </w:pPr>
          </w:p>
        </w:tc>
        <w:tc>
          <w:tcPr>
            <w:tcW w:w="409" w:type="dxa"/>
            <w:vMerge w:val="restart"/>
            <w:tcBorders>
              <w:top w:val="single" w:color="auto" w:sz="6" w:space="0"/>
              <w:left w:val="single" w:color="auto" w:sz="4" w:space="0"/>
              <w:right w:val="single" w:color="auto" w:sz="4" w:space="0"/>
            </w:tcBorders>
            <w:vAlign w:val="center"/>
          </w:tcPr>
          <w:p w14:paraId="0FDFD436">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甲方相关部门</w:t>
            </w:r>
          </w:p>
        </w:tc>
        <w:tc>
          <w:tcPr>
            <w:tcW w:w="1812" w:type="dxa"/>
            <w:tcBorders>
              <w:top w:val="single" w:color="auto" w:sz="6" w:space="0"/>
              <w:left w:val="single" w:color="auto" w:sz="4" w:space="0"/>
              <w:bottom w:val="single" w:color="auto" w:sz="6" w:space="0"/>
              <w:right w:val="single" w:color="auto" w:sz="6" w:space="0"/>
            </w:tcBorders>
            <w:vAlign w:val="center"/>
          </w:tcPr>
          <w:p w14:paraId="5CF6B213">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甲方采购部门</w:t>
            </w:r>
          </w:p>
        </w:tc>
        <w:tc>
          <w:tcPr>
            <w:tcW w:w="6374" w:type="dxa"/>
            <w:tcBorders>
              <w:top w:val="single" w:color="auto" w:sz="6" w:space="0"/>
              <w:left w:val="single" w:color="auto" w:sz="6" w:space="0"/>
              <w:bottom w:val="single" w:color="auto" w:sz="6" w:space="0"/>
              <w:right w:val="single" w:color="auto" w:sz="4" w:space="0"/>
            </w:tcBorders>
            <w:vAlign w:val="center"/>
          </w:tcPr>
          <w:p w14:paraId="0EB88998">
            <w:pPr>
              <w:tabs>
                <w:tab w:val="left" w:pos="700"/>
              </w:tabs>
              <w:adjustRightInd w:val="0"/>
              <w:snapToGrid w:val="0"/>
              <w:spacing w:line="360" w:lineRule="exact"/>
              <w:rPr>
                <w:rFonts w:asciiTheme="minorEastAsia" w:hAnsiTheme="minorEastAsia" w:eastAsiaTheme="minorEastAsia" w:cstheme="minorEastAsia"/>
                <w:color w:val="auto"/>
                <w:szCs w:val="21"/>
                <w:highlight w:val="none"/>
              </w:rPr>
            </w:pPr>
          </w:p>
        </w:tc>
      </w:tr>
      <w:tr w14:paraId="4B91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55" w:type="dxa"/>
            <w:vMerge w:val="continue"/>
            <w:tcBorders>
              <w:left w:val="single" w:color="auto" w:sz="4" w:space="0"/>
              <w:right w:val="single" w:color="auto" w:sz="4" w:space="0"/>
            </w:tcBorders>
            <w:vAlign w:val="center"/>
          </w:tcPr>
          <w:p w14:paraId="2906B3EB">
            <w:pPr>
              <w:widowControl/>
              <w:adjustRightInd w:val="0"/>
              <w:snapToGrid w:val="0"/>
              <w:spacing w:line="360" w:lineRule="exact"/>
              <w:rPr>
                <w:rFonts w:asciiTheme="minorEastAsia" w:hAnsiTheme="minorEastAsia" w:eastAsiaTheme="minorEastAsia" w:cstheme="minorEastAsia"/>
                <w:szCs w:val="21"/>
                <w:highlight w:val="none"/>
              </w:rPr>
            </w:pPr>
          </w:p>
        </w:tc>
        <w:tc>
          <w:tcPr>
            <w:tcW w:w="409" w:type="dxa"/>
            <w:vMerge w:val="continue"/>
            <w:tcBorders>
              <w:left w:val="single" w:color="auto" w:sz="4" w:space="0"/>
              <w:right w:val="single" w:color="auto" w:sz="4" w:space="0"/>
            </w:tcBorders>
            <w:vAlign w:val="center"/>
          </w:tcPr>
          <w:p w14:paraId="2F9E1649">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p>
        </w:tc>
        <w:tc>
          <w:tcPr>
            <w:tcW w:w="1812" w:type="dxa"/>
            <w:tcBorders>
              <w:top w:val="single" w:color="auto" w:sz="6" w:space="0"/>
              <w:left w:val="single" w:color="auto" w:sz="4" w:space="0"/>
              <w:bottom w:val="single" w:color="auto" w:sz="6" w:space="0"/>
              <w:right w:val="single" w:color="auto" w:sz="6" w:space="0"/>
            </w:tcBorders>
            <w:vAlign w:val="center"/>
          </w:tcPr>
          <w:p w14:paraId="69CE2994">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p>
        </w:tc>
        <w:tc>
          <w:tcPr>
            <w:tcW w:w="6374" w:type="dxa"/>
            <w:tcBorders>
              <w:top w:val="single" w:color="auto" w:sz="6" w:space="0"/>
              <w:left w:val="single" w:color="auto" w:sz="6" w:space="0"/>
              <w:bottom w:val="single" w:color="auto" w:sz="6" w:space="0"/>
              <w:right w:val="single" w:color="auto" w:sz="4" w:space="0"/>
            </w:tcBorders>
            <w:vAlign w:val="center"/>
          </w:tcPr>
          <w:p w14:paraId="61068D14">
            <w:pPr>
              <w:tabs>
                <w:tab w:val="left" w:pos="700"/>
              </w:tabs>
              <w:adjustRightInd w:val="0"/>
              <w:snapToGrid w:val="0"/>
              <w:spacing w:line="36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李先生，肖女士</w:t>
            </w:r>
          </w:p>
        </w:tc>
      </w:tr>
      <w:tr w14:paraId="0D30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55" w:type="dxa"/>
            <w:vMerge w:val="continue"/>
            <w:tcBorders>
              <w:left w:val="single" w:color="auto" w:sz="4" w:space="0"/>
              <w:right w:val="single" w:color="auto" w:sz="4" w:space="0"/>
            </w:tcBorders>
            <w:vAlign w:val="center"/>
          </w:tcPr>
          <w:p w14:paraId="32046BB3">
            <w:pPr>
              <w:widowControl/>
              <w:adjustRightInd w:val="0"/>
              <w:snapToGrid w:val="0"/>
              <w:spacing w:line="360" w:lineRule="exact"/>
              <w:rPr>
                <w:rFonts w:asciiTheme="minorEastAsia" w:hAnsiTheme="minorEastAsia" w:eastAsiaTheme="minorEastAsia" w:cstheme="minorEastAsia"/>
                <w:szCs w:val="21"/>
                <w:highlight w:val="none"/>
              </w:rPr>
            </w:pPr>
          </w:p>
        </w:tc>
        <w:tc>
          <w:tcPr>
            <w:tcW w:w="409" w:type="dxa"/>
            <w:vMerge w:val="continue"/>
            <w:tcBorders>
              <w:left w:val="single" w:color="auto" w:sz="4" w:space="0"/>
              <w:right w:val="single" w:color="auto" w:sz="4" w:space="0"/>
            </w:tcBorders>
            <w:vAlign w:val="center"/>
          </w:tcPr>
          <w:p w14:paraId="31677017">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p>
        </w:tc>
        <w:tc>
          <w:tcPr>
            <w:tcW w:w="1812" w:type="dxa"/>
            <w:tcBorders>
              <w:top w:val="single" w:color="auto" w:sz="6" w:space="0"/>
              <w:left w:val="single" w:color="auto" w:sz="4" w:space="0"/>
              <w:bottom w:val="single" w:color="auto" w:sz="4" w:space="0"/>
              <w:right w:val="single" w:color="auto" w:sz="6" w:space="0"/>
            </w:tcBorders>
            <w:vAlign w:val="center"/>
          </w:tcPr>
          <w:p w14:paraId="3C75FD90">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w:t>
            </w:r>
          </w:p>
        </w:tc>
        <w:tc>
          <w:tcPr>
            <w:tcW w:w="6374" w:type="dxa"/>
            <w:tcBorders>
              <w:top w:val="single" w:color="auto" w:sz="6" w:space="0"/>
              <w:left w:val="single" w:color="auto" w:sz="6" w:space="0"/>
              <w:bottom w:val="single" w:color="auto" w:sz="4" w:space="0"/>
              <w:right w:val="single" w:color="auto" w:sz="4" w:space="0"/>
            </w:tcBorders>
            <w:vAlign w:val="center"/>
          </w:tcPr>
          <w:p w14:paraId="6BD9FBC1">
            <w:pPr>
              <w:tabs>
                <w:tab w:val="left" w:pos="700"/>
              </w:tabs>
              <w:adjustRightInd w:val="0"/>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0731-85579076</w:t>
            </w:r>
          </w:p>
        </w:tc>
      </w:tr>
      <w:tr w14:paraId="78B4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55" w:type="dxa"/>
            <w:vMerge w:val="continue"/>
            <w:tcBorders>
              <w:left w:val="single" w:color="auto" w:sz="4" w:space="0"/>
              <w:right w:val="single" w:color="auto" w:sz="4" w:space="0"/>
            </w:tcBorders>
            <w:vAlign w:val="center"/>
          </w:tcPr>
          <w:p w14:paraId="23A88F41">
            <w:pPr>
              <w:widowControl/>
              <w:adjustRightInd w:val="0"/>
              <w:snapToGrid w:val="0"/>
              <w:spacing w:line="360" w:lineRule="exact"/>
              <w:rPr>
                <w:rFonts w:asciiTheme="minorEastAsia" w:hAnsiTheme="minorEastAsia" w:eastAsiaTheme="minorEastAsia" w:cstheme="minorEastAsia"/>
                <w:szCs w:val="21"/>
                <w:highlight w:val="none"/>
              </w:rPr>
            </w:pPr>
          </w:p>
        </w:tc>
        <w:tc>
          <w:tcPr>
            <w:tcW w:w="409" w:type="dxa"/>
            <w:vMerge w:val="continue"/>
            <w:tcBorders>
              <w:left w:val="single" w:color="auto" w:sz="4" w:space="0"/>
              <w:right w:val="single" w:color="auto" w:sz="4" w:space="0"/>
            </w:tcBorders>
            <w:vAlign w:val="center"/>
          </w:tcPr>
          <w:p w14:paraId="358E6DEA">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p>
        </w:tc>
        <w:tc>
          <w:tcPr>
            <w:tcW w:w="1812" w:type="dxa"/>
            <w:tcBorders>
              <w:top w:val="single" w:color="auto" w:sz="6" w:space="0"/>
              <w:left w:val="single" w:color="auto" w:sz="4" w:space="0"/>
              <w:bottom w:val="single" w:color="auto" w:sz="4" w:space="0"/>
              <w:right w:val="single" w:color="auto" w:sz="6" w:space="0"/>
            </w:tcBorders>
            <w:vAlign w:val="center"/>
          </w:tcPr>
          <w:p w14:paraId="297A9AE0">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甲方需求部门</w:t>
            </w:r>
          </w:p>
        </w:tc>
        <w:tc>
          <w:tcPr>
            <w:tcW w:w="6374" w:type="dxa"/>
            <w:tcBorders>
              <w:top w:val="single" w:color="auto" w:sz="6" w:space="0"/>
              <w:left w:val="single" w:color="auto" w:sz="6" w:space="0"/>
              <w:bottom w:val="single" w:color="auto" w:sz="4" w:space="0"/>
              <w:right w:val="single" w:color="auto" w:sz="4" w:space="0"/>
            </w:tcBorders>
            <w:vAlign w:val="center"/>
          </w:tcPr>
          <w:p w14:paraId="69152AC6">
            <w:pPr>
              <w:tabs>
                <w:tab w:val="left" w:pos="700"/>
              </w:tabs>
              <w:adjustRightInd w:val="0"/>
              <w:snapToGrid w:val="0"/>
              <w:spacing w:line="360" w:lineRule="exact"/>
              <w:rPr>
                <w:rFonts w:hint="default" w:asciiTheme="minorEastAsia" w:hAnsiTheme="minorEastAsia" w:eastAsiaTheme="minorEastAsia" w:cstheme="minorEastAsia"/>
                <w:color w:val="auto"/>
                <w:szCs w:val="21"/>
                <w:highlight w:val="none"/>
                <w:lang w:val="en-US" w:eastAsia="zh-CN"/>
              </w:rPr>
            </w:pPr>
          </w:p>
        </w:tc>
      </w:tr>
      <w:tr w14:paraId="5286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55" w:type="dxa"/>
            <w:vMerge w:val="continue"/>
            <w:tcBorders>
              <w:left w:val="single" w:color="auto" w:sz="4" w:space="0"/>
              <w:right w:val="single" w:color="auto" w:sz="4" w:space="0"/>
            </w:tcBorders>
            <w:vAlign w:val="center"/>
          </w:tcPr>
          <w:p w14:paraId="27EE5B48">
            <w:pPr>
              <w:widowControl/>
              <w:adjustRightInd w:val="0"/>
              <w:snapToGrid w:val="0"/>
              <w:spacing w:line="360" w:lineRule="exact"/>
              <w:rPr>
                <w:rFonts w:asciiTheme="minorEastAsia" w:hAnsiTheme="minorEastAsia" w:eastAsiaTheme="minorEastAsia" w:cstheme="minorEastAsia"/>
                <w:szCs w:val="21"/>
                <w:highlight w:val="none"/>
              </w:rPr>
            </w:pPr>
          </w:p>
        </w:tc>
        <w:tc>
          <w:tcPr>
            <w:tcW w:w="409" w:type="dxa"/>
            <w:vMerge w:val="continue"/>
            <w:tcBorders>
              <w:left w:val="single" w:color="auto" w:sz="4" w:space="0"/>
              <w:right w:val="single" w:color="auto" w:sz="4" w:space="0"/>
            </w:tcBorders>
            <w:vAlign w:val="center"/>
          </w:tcPr>
          <w:p w14:paraId="28AB1549">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p>
        </w:tc>
        <w:tc>
          <w:tcPr>
            <w:tcW w:w="1812" w:type="dxa"/>
            <w:tcBorders>
              <w:top w:val="single" w:color="auto" w:sz="6" w:space="0"/>
              <w:left w:val="single" w:color="auto" w:sz="4" w:space="0"/>
              <w:bottom w:val="single" w:color="auto" w:sz="4" w:space="0"/>
              <w:right w:val="single" w:color="auto" w:sz="6" w:space="0"/>
            </w:tcBorders>
            <w:vAlign w:val="center"/>
          </w:tcPr>
          <w:p w14:paraId="38A3780D">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p>
        </w:tc>
        <w:tc>
          <w:tcPr>
            <w:tcW w:w="6374" w:type="dxa"/>
            <w:tcBorders>
              <w:top w:val="single" w:color="auto" w:sz="6" w:space="0"/>
              <w:left w:val="single" w:color="auto" w:sz="6" w:space="0"/>
              <w:bottom w:val="single" w:color="auto" w:sz="4" w:space="0"/>
              <w:right w:val="single" w:color="auto" w:sz="4" w:space="0"/>
            </w:tcBorders>
            <w:vAlign w:val="center"/>
          </w:tcPr>
          <w:p w14:paraId="47A47437">
            <w:pPr>
              <w:tabs>
                <w:tab w:val="left" w:pos="700"/>
              </w:tabs>
              <w:adjustRightInd w:val="0"/>
              <w:snapToGrid w:val="0"/>
              <w:spacing w:line="360" w:lineRule="exact"/>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汪先生</w:t>
            </w:r>
          </w:p>
        </w:tc>
      </w:tr>
      <w:tr w14:paraId="088D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55" w:type="dxa"/>
            <w:vMerge w:val="continue"/>
            <w:tcBorders>
              <w:left w:val="single" w:color="auto" w:sz="4" w:space="0"/>
              <w:bottom w:val="single" w:color="auto" w:sz="4" w:space="0"/>
              <w:right w:val="single" w:color="auto" w:sz="4" w:space="0"/>
            </w:tcBorders>
            <w:vAlign w:val="center"/>
          </w:tcPr>
          <w:p w14:paraId="7DF6D072">
            <w:pPr>
              <w:widowControl/>
              <w:adjustRightInd w:val="0"/>
              <w:snapToGrid w:val="0"/>
              <w:spacing w:line="360" w:lineRule="exact"/>
              <w:rPr>
                <w:rFonts w:asciiTheme="minorEastAsia" w:hAnsiTheme="minorEastAsia" w:eastAsiaTheme="minorEastAsia" w:cstheme="minorEastAsia"/>
                <w:szCs w:val="21"/>
                <w:highlight w:val="none"/>
              </w:rPr>
            </w:pPr>
          </w:p>
        </w:tc>
        <w:tc>
          <w:tcPr>
            <w:tcW w:w="409" w:type="dxa"/>
            <w:vMerge w:val="continue"/>
            <w:tcBorders>
              <w:left w:val="single" w:color="auto" w:sz="4" w:space="0"/>
              <w:bottom w:val="single" w:color="auto" w:sz="4" w:space="0"/>
              <w:right w:val="single" w:color="auto" w:sz="4" w:space="0"/>
            </w:tcBorders>
            <w:vAlign w:val="center"/>
          </w:tcPr>
          <w:p w14:paraId="48A7BF53">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p>
        </w:tc>
        <w:tc>
          <w:tcPr>
            <w:tcW w:w="1812" w:type="dxa"/>
            <w:tcBorders>
              <w:top w:val="single" w:color="auto" w:sz="6" w:space="0"/>
              <w:left w:val="single" w:color="auto" w:sz="4" w:space="0"/>
              <w:bottom w:val="single" w:color="auto" w:sz="4" w:space="0"/>
              <w:right w:val="single" w:color="auto" w:sz="6" w:space="0"/>
            </w:tcBorders>
            <w:vAlign w:val="center"/>
          </w:tcPr>
          <w:p w14:paraId="5768E5AE">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w:t>
            </w:r>
          </w:p>
        </w:tc>
        <w:tc>
          <w:tcPr>
            <w:tcW w:w="6374" w:type="dxa"/>
            <w:tcBorders>
              <w:top w:val="single" w:color="auto" w:sz="6" w:space="0"/>
              <w:left w:val="single" w:color="auto" w:sz="6" w:space="0"/>
              <w:bottom w:val="single" w:color="auto" w:sz="4" w:space="0"/>
              <w:right w:val="single" w:color="auto" w:sz="4" w:space="0"/>
            </w:tcBorders>
            <w:vAlign w:val="center"/>
          </w:tcPr>
          <w:p w14:paraId="1AB96357">
            <w:pPr>
              <w:tabs>
                <w:tab w:val="left" w:pos="700"/>
              </w:tabs>
              <w:adjustRightInd w:val="0"/>
              <w:snapToGrid w:val="0"/>
              <w:spacing w:line="36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0731-85135567</w:t>
            </w:r>
          </w:p>
        </w:tc>
      </w:tr>
      <w:tr w14:paraId="1A18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55" w:type="dxa"/>
            <w:vMerge w:val="restart"/>
            <w:tcBorders>
              <w:top w:val="single" w:color="auto" w:sz="4" w:space="0"/>
              <w:left w:val="single" w:color="auto" w:sz="4" w:space="0"/>
              <w:bottom w:val="single" w:color="auto" w:sz="4" w:space="0"/>
              <w:right w:val="single" w:color="auto" w:sz="4" w:space="0"/>
            </w:tcBorders>
            <w:vAlign w:val="center"/>
          </w:tcPr>
          <w:p w14:paraId="36AB84FD">
            <w:pPr>
              <w:tabs>
                <w:tab w:val="left" w:pos="700"/>
              </w:tabs>
              <w:adjustRightInd w:val="0"/>
              <w:snapToGrid w:val="0"/>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w:t>
            </w: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75803EF2">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乙方名称</w:t>
            </w:r>
          </w:p>
        </w:tc>
        <w:tc>
          <w:tcPr>
            <w:tcW w:w="6374" w:type="dxa"/>
            <w:tcBorders>
              <w:top w:val="single" w:color="auto" w:sz="4" w:space="0"/>
              <w:left w:val="single" w:color="auto" w:sz="4" w:space="0"/>
              <w:bottom w:val="single" w:color="auto" w:sz="4" w:space="0"/>
              <w:right w:val="single" w:color="auto" w:sz="4" w:space="0"/>
            </w:tcBorders>
            <w:vAlign w:val="center"/>
          </w:tcPr>
          <w:p w14:paraId="7210FADD">
            <w:pPr>
              <w:tabs>
                <w:tab w:val="left" w:pos="700"/>
              </w:tabs>
              <w:adjustRightInd w:val="0"/>
              <w:snapToGrid w:val="0"/>
              <w:spacing w:line="360" w:lineRule="exact"/>
              <w:rPr>
                <w:rFonts w:asciiTheme="minorEastAsia" w:hAnsiTheme="minorEastAsia" w:eastAsiaTheme="minorEastAsia" w:cstheme="minorEastAsia"/>
                <w:color w:val="auto"/>
                <w:szCs w:val="21"/>
                <w:highlight w:val="none"/>
              </w:rPr>
            </w:pPr>
          </w:p>
        </w:tc>
      </w:tr>
      <w:tr w14:paraId="19E9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06DCDC9E">
            <w:pPr>
              <w:widowControl/>
              <w:adjustRightInd w:val="0"/>
              <w:snapToGrid w:val="0"/>
              <w:spacing w:line="360" w:lineRule="exact"/>
              <w:rPr>
                <w:rFonts w:asciiTheme="minorEastAsia" w:hAnsiTheme="minorEastAsia" w:eastAsiaTheme="minorEastAsia" w:cstheme="minorEastAsia"/>
                <w:szCs w:val="21"/>
                <w:highlight w:val="none"/>
              </w:rPr>
            </w:pP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79B95847">
            <w:pPr>
              <w:tabs>
                <w:tab w:val="left" w:pos="700"/>
              </w:tabs>
              <w:adjustRightInd w:val="0"/>
              <w:snapToGrid w:val="0"/>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乙方企业性质</w:t>
            </w:r>
          </w:p>
        </w:tc>
        <w:tc>
          <w:tcPr>
            <w:tcW w:w="6374" w:type="dxa"/>
            <w:tcBorders>
              <w:top w:val="single" w:color="auto" w:sz="4" w:space="0"/>
              <w:left w:val="single" w:color="auto" w:sz="4" w:space="0"/>
              <w:bottom w:val="single" w:color="auto" w:sz="4" w:space="0"/>
              <w:right w:val="single" w:color="auto" w:sz="4" w:space="0"/>
            </w:tcBorders>
            <w:vAlign w:val="center"/>
          </w:tcPr>
          <w:p w14:paraId="39585509">
            <w:pPr>
              <w:tabs>
                <w:tab w:val="left" w:pos="700"/>
              </w:tabs>
              <w:adjustRightInd w:val="0"/>
              <w:snapToGrid w:val="0"/>
              <w:spacing w:line="3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 中型企业    </w:t>
            </w: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 小型企业          </w:t>
            </w: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 微型企业    </w:t>
            </w:r>
          </w:p>
          <w:p w14:paraId="3192BBAA">
            <w:pPr>
              <w:tabs>
                <w:tab w:val="left" w:pos="700"/>
              </w:tabs>
              <w:adjustRightInd w:val="0"/>
              <w:snapToGrid w:val="0"/>
              <w:spacing w:line="3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  监狱企业   </w:t>
            </w: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 残疾人福利性单位  </w:t>
            </w: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 其他</w:t>
            </w:r>
          </w:p>
        </w:tc>
      </w:tr>
      <w:tr w14:paraId="4A7C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48E10D69">
            <w:pPr>
              <w:widowControl/>
              <w:adjustRightInd w:val="0"/>
              <w:snapToGrid w:val="0"/>
              <w:spacing w:line="360" w:lineRule="exact"/>
              <w:rPr>
                <w:rFonts w:asciiTheme="minorEastAsia" w:hAnsiTheme="minorEastAsia" w:eastAsiaTheme="minorEastAsia" w:cstheme="minorEastAsia"/>
                <w:szCs w:val="21"/>
                <w:highlight w:val="none"/>
              </w:rPr>
            </w:pP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19FEF654">
            <w:pPr>
              <w:tabs>
                <w:tab w:val="left" w:pos="700"/>
              </w:tabs>
              <w:adjustRightInd w:val="0"/>
              <w:snapToGrid w:val="0"/>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乙方地址</w:t>
            </w:r>
          </w:p>
        </w:tc>
        <w:tc>
          <w:tcPr>
            <w:tcW w:w="6374" w:type="dxa"/>
            <w:tcBorders>
              <w:top w:val="single" w:color="auto" w:sz="4" w:space="0"/>
              <w:left w:val="single" w:color="auto" w:sz="4" w:space="0"/>
              <w:bottom w:val="single" w:color="auto" w:sz="4" w:space="0"/>
              <w:right w:val="single" w:color="auto" w:sz="4" w:space="0"/>
            </w:tcBorders>
            <w:vAlign w:val="center"/>
          </w:tcPr>
          <w:p w14:paraId="56EB07C7">
            <w:pPr>
              <w:tabs>
                <w:tab w:val="left" w:pos="700"/>
              </w:tabs>
              <w:adjustRightInd w:val="0"/>
              <w:snapToGrid w:val="0"/>
              <w:spacing w:line="360" w:lineRule="exact"/>
              <w:rPr>
                <w:rFonts w:asciiTheme="minorEastAsia" w:hAnsiTheme="minorEastAsia" w:eastAsiaTheme="minorEastAsia" w:cstheme="minorEastAsia"/>
                <w:szCs w:val="21"/>
                <w:highlight w:val="none"/>
              </w:rPr>
            </w:pPr>
          </w:p>
        </w:tc>
      </w:tr>
      <w:tr w14:paraId="5C61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470E1D1A">
            <w:pPr>
              <w:widowControl/>
              <w:adjustRightInd w:val="0"/>
              <w:snapToGrid w:val="0"/>
              <w:spacing w:line="360" w:lineRule="exact"/>
              <w:rPr>
                <w:rFonts w:asciiTheme="minorEastAsia" w:hAnsiTheme="minorEastAsia" w:eastAsiaTheme="minorEastAsia" w:cstheme="minorEastAsia"/>
                <w:szCs w:val="21"/>
                <w:highlight w:val="none"/>
              </w:rPr>
            </w:pP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5E6B2E7C">
            <w:pPr>
              <w:tabs>
                <w:tab w:val="left" w:pos="700"/>
              </w:tabs>
              <w:adjustRightInd w:val="0"/>
              <w:snapToGrid w:val="0"/>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乙方联系人</w:t>
            </w:r>
          </w:p>
        </w:tc>
        <w:tc>
          <w:tcPr>
            <w:tcW w:w="6374" w:type="dxa"/>
            <w:tcBorders>
              <w:top w:val="single" w:color="auto" w:sz="4" w:space="0"/>
              <w:left w:val="single" w:color="auto" w:sz="4" w:space="0"/>
              <w:bottom w:val="single" w:color="auto" w:sz="4" w:space="0"/>
              <w:right w:val="single" w:color="auto" w:sz="4" w:space="0"/>
            </w:tcBorders>
            <w:vAlign w:val="center"/>
          </w:tcPr>
          <w:p w14:paraId="00DBFD05">
            <w:pPr>
              <w:tabs>
                <w:tab w:val="left" w:pos="700"/>
              </w:tabs>
              <w:adjustRightInd w:val="0"/>
              <w:snapToGrid w:val="0"/>
              <w:spacing w:line="360" w:lineRule="exact"/>
              <w:rPr>
                <w:rFonts w:asciiTheme="minorEastAsia" w:hAnsiTheme="minorEastAsia" w:eastAsiaTheme="minorEastAsia" w:cstheme="minorEastAsia"/>
                <w:szCs w:val="21"/>
                <w:highlight w:val="none"/>
              </w:rPr>
            </w:pPr>
          </w:p>
        </w:tc>
      </w:tr>
      <w:tr w14:paraId="7747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608FCBBF">
            <w:pPr>
              <w:widowControl/>
              <w:adjustRightInd w:val="0"/>
              <w:snapToGrid w:val="0"/>
              <w:spacing w:line="360" w:lineRule="exact"/>
              <w:rPr>
                <w:rFonts w:asciiTheme="minorEastAsia" w:hAnsiTheme="minorEastAsia" w:eastAsiaTheme="minorEastAsia" w:cstheme="minorEastAsia"/>
                <w:szCs w:val="21"/>
                <w:highlight w:val="none"/>
              </w:rPr>
            </w:pP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75AB089C">
            <w:pPr>
              <w:tabs>
                <w:tab w:val="left" w:pos="700"/>
              </w:tabs>
              <w:adjustRightInd w:val="0"/>
              <w:snapToGrid w:val="0"/>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联系电话/传真</w:t>
            </w:r>
          </w:p>
        </w:tc>
        <w:tc>
          <w:tcPr>
            <w:tcW w:w="6374" w:type="dxa"/>
            <w:tcBorders>
              <w:top w:val="single" w:color="auto" w:sz="4" w:space="0"/>
              <w:left w:val="single" w:color="auto" w:sz="4" w:space="0"/>
              <w:bottom w:val="single" w:color="auto" w:sz="4" w:space="0"/>
              <w:right w:val="single" w:color="auto" w:sz="4" w:space="0"/>
            </w:tcBorders>
            <w:vAlign w:val="center"/>
          </w:tcPr>
          <w:p w14:paraId="55F3088E">
            <w:pPr>
              <w:tabs>
                <w:tab w:val="left" w:pos="700"/>
              </w:tabs>
              <w:adjustRightInd w:val="0"/>
              <w:snapToGrid w:val="0"/>
              <w:spacing w:line="360" w:lineRule="exact"/>
              <w:rPr>
                <w:rFonts w:asciiTheme="minorEastAsia" w:hAnsiTheme="minorEastAsia" w:eastAsiaTheme="minorEastAsia" w:cstheme="minorEastAsia"/>
                <w:szCs w:val="21"/>
                <w:highlight w:val="none"/>
              </w:rPr>
            </w:pPr>
          </w:p>
        </w:tc>
      </w:tr>
      <w:tr w14:paraId="288F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1CAA4801">
            <w:pPr>
              <w:widowControl/>
              <w:adjustRightInd w:val="0"/>
              <w:snapToGrid w:val="0"/>
              <w:spacing w:line="360" w:lineRule="exact"/>
              <w:rPr>
                <w:rFonts w:asciiTheme="minorEastAsia" w:hAnsiTheme="minorEastAsia" w:eastAsiaTheme="minorEastAsia" w:cstheme="minorEastAsia"/>
                <w:szCs w:val="21"/>
                <w:highlight w:val="none"/>
              </w:rPr>
            </w:pP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28F3D195">
            <w:pPr>
              <w:tabs>
                <w:tab w:val="left" w:pos="700"/>
              </w:tabs>
              <w:adjustRightInd w:val="0"/>
              <w:snapToGrid w:val="0"/>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开户银行名称</w:t>
            </w:r>
          </w:p>
        </w:tc>
        <w:tc>
          <w:tcPr>
            <w:tcW w:w="6374" w:type="dxa"/>
            <w:tcBorders>
              <w:top w:val="single" w:color="auto" w:sz="4" w:space="0"/>
              <w:left w:val="single" w:color="auto" w:sz="4" w:space="0"/>
              <w:bottom w:val="single" w:color="auto" w:sz="4" w:space="0"/>
              <w:right w:val="single" w:color="auto" w:sz="4" w:space="0"/>
            </w:tcBorders>
            <w:vAlign w:val="center"/>
          </w:tcPr>
          <w:p w14:paraId="217D7C1B">
            <w:pPr>
              <w:tabs>
                <w:tab w:val="left" w:pos="700"/>
              </w:tabs>
              <w:adjustRightInd w:val="0"/>
              <w:snapToGrid w:val="0"/>
              <w:spacing w:line="360" w:lineRule="exact"/>
              <w:rPr>
                <w:rFonts w:asciiTheme="minorEastAsia" w:hAnsiTheme="minorEastAsia" w:eastAsiaTheme="minorEastAsia" w:cstheme="minorEastAsia"/>
                <w:szCs w:val="21"/>
                <w:highlight w:val="none"/>
              </w:rPr>
            </w:pPr>
          </w:p>
        </w:tc>
      </w:tr>
      <w:tr w14:paraId="3BE4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72EDD338">
            <w:pPr>
              <w:widowControl/>
              <w:adjustRightInd w:val="0"/>
              <w:snapToGrid w:val="0"/>
              <w:spacing w:line="360" w:lineRule="exact"/>
              <w:rPr>
                <w:rFonts w:asciiTheme="minorEastAsia" w:hAnsiTheme="minorEastAsia" w:eastAsiaTheme="minorEastAsia" w:cstheme="minorEastAsia"/>
                <w:szCs w:val="21"/>
                <w:highlight w:val="none"/>
              </w:rPr>
            </w:pP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46B01863">
            <w:pPr>
              <w:tabs>
                <w:tab w:val="left" w:pos="700"/>
              </w:tabs>
              <w:adjustRightInd w:val="0"/>
              <w:snapToGrid w:val="0"/>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银行账号</w:t>
            </w:r>
          </w:p>
        </w:tc>
        <w:tc>
          <w:tcPr>
            <w:tcW w:w="6374" w:type="dxa"/>
            <w:tcBorders>
              <w:top w:val="single" w:color="auto" w:sz="4" w:space="0"/>
              <w:left w:val="single" w:color="auto" w:sz="4" w:space="0"/>
              <w:bottom w:val="single" w:color="auto" w:sz="4" w:space="0"/>
              <w:right w:val="single" w:color="auto" w:sz="4" w:space="0"/>
            </w:tcBorders>
            <w:vAlign w:val="center"/>
          </w:tcPr>
          <w:p w14:paraId="392FBCE1">
            <w:pPr>
              <w:tabs>
                <w:tab w:val="left" w:pos="700"/>
              </w:tabs>
              <w:adjustRightInd w:val="0"/>
              <w:snapToGrid w:val="0"/>
              <w:spacing w:line="360" w:lineRule="exact"/>
              <w:rPr>
                <w:rFonts w:asciiTheme="minorEastAsia" w:hAnsiTheme="minorEastAsia" w:eastAsiaTheme="minorEastAsia" w:cstheme="minorEastAsia"/>
                <w:szCs w:val="21"/>
                <w:highlight w:val="none"/>
              </w:rPr>
            </w:pPr>
          </w:p>
        </w:tc>
      </w:tr>
      <w:tr w14:paraId="3ABD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655" w:type="dxa"/>
            <w:tcBorders>
              <w:top w:val="single" w:color="auto" w:sz="4" w:space="0"/>
              <w:left w:val="single" w:color="auto" w:sz="4" w:space="0"/>
              <w:bottom w:val="single" w:color="auto" w:sz="4" w:space="0"/>
              <w:right w:val="single" w:color="auto" w:sz="4" w:space="0"/>
            </w:tcBorders>
            <w:vAlign w:val="center"/>
          </w:tcPr>
          <w:p w14:paraId="7E63790C">
            <w:pPr>
              <w:tabs>
                <w:tab w:val="left" w:pos="700"/>
              </w:tabs>
              <w:adjustRightInd w:val="0"/>
              <w:snapToGrid w:val="0"/>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w:t>
            </w: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129A369D">
            <w:pPr>
              <w:tabs>
                <w:tab w:val="left" w:pos="700"/>
              </w:tabs>
              <w:adjustRightInd w:val="0"/>
              <w:snapToGrid w:val="0"/>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合同金额</w:t>
            </w:r>
          </w:p>
        </w:tc>
        <w:tc>
          <w:tcPr>
            <w:tcW w:w="6374" w:type="dxa"/>
            <w:tcBorders>
              <w:top w:val="single" w:color="auto" w:sz="4" w:space="0"/>
              <w:left w:val="single" w:color="auto" w:sz="4" w:space="0"/>
              <w:bottom w:val="single" w:color="auto" w:sz="4" w:space="0"/>
              <w:right w:val="single" w:color="auto" w:sz="4" w:space="0"/>
            </w:tcBorders>
            <w:vAlign w:val="center"/>
          </w:tcPr>
          <w:p w14:paraId="7CAA1134">
            <w:pPr>
              <w:tabs>
                <w:tab w:val="left" w:pos="700"/>
              </w:tabs>
              <w:adjustRightInd w:val="0"/>
              <w:snapToGrid w:val="0"/>
              <w:spacing w:line="36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人民币</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元整（¥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w:t>
            </w:r>
          </w:p>
        </w:tc>
      </w:tr>
      <w:tr w14:paraId="4C61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exact"/>
        </w:trPr>
        <w:tc>
          <w:tcPr>
            <w:tcW w:w="655" w:type="dxa"/>
            <w:tcBorders>
              <w:top w:val="single" w:color="auto" w:sz="4" w:space="0"/>
              <w:left w:val="single" w:color="auto" w:sz="4" w:space="0"/>
              <w:bottom w:val="single" w:color="auto" w:sz="4" w:space="0"/>
              <w:right w:val="single" w:color="auto" w:sz="4" w:space="0"/>
            </w:tcBorders>
            <w:vAlign w:val="center"/>
          </w:tcPr>
          <w:p w14:paraId="723961CA">
            <w:pPr>
              <w:tabs>
                <w:tab w:val="left" w:pos="700"/>
              </w:tabs>
              <w:adjustRightInd w:val="0"/>
              <w:snapToGrid w:val="0"/>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w:t>
            </w: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15DD218F">
            <w:pPr>
              <w:tabs>
                <w:tab w:val="left" w:pos="700"/>
              </w:tabs>
              <w:adjustRightInd w:val="0"/>
              <w:snapToGrid w:val="0"/>
              <w:spacing w:line="360" w:lineRule="exact"/>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服务内容</w:t>
            </w:r>
          </w:p>
        </w:tc>
        <w:tc>
          <w:tcPr>
            <w:tcW w:w="6374" w:type="dxa"/>
            <w:tcBorders>
              <w:top w:val="single" w:color="auto" w:sz="4" w:space="0"/>
              <w:left w:val="single" w:color="auto" w:sz="4" w:space="0"/>
              <w:bottom w:val="single" w:color="auto" w:sz="4" w:space="0"/>
              <w:right w:val="single" w:color="auto" w:sz="4" w:space="0"/>
            </w:tcBorders>
            <w:vAlign w:val="top"/>
          </w:tcPr>
          <w:p w14:paraId="25D5C76D">
            <w:pPr>
              <w:tabs>
                <w:tab w:val="left" w:pos="700"/>
              </w:tabs>
              <w:adjustRightInd w:val="0"/>
              <w:snapToGrid w:val="0"/>
              <w:spacing w:line="360" w:lineRule="exact"/>
              <w:jc w:val="both"/>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本合同服务内容为：</w:t>
            </w:r>
          </w:p>
        </w:tc>
      </w:tr>
      <w:tr w14:paraId="2C5A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2" w:hRule="atLeast"/>
        </w:trPr>
        <w:tc>
          <w:tcPr>
            <w:tcW w:w="655" w:type="dxa"/>
            <w:tcBorders>
              <w:top w:val="single" w:color="auto" w:sz="4" w:space="0"/>
              <w:left w:val="single" w:color="auto" w:sz="4" w:space="0"/>
              <w:bottom w:val="single" w:color="auto" w:sz="4" w:space="0"/>
              <w:right w:val="single" w:color="auto" w:sz="4" w:space="0"/>
            </w:tcBorders>
            <w:vAlign w:val="center"/>
          </w:tcPr>
          <w:p w14:paraId="3A5BBBF2">
            <w:pPr>
              <w:tabs>
                <w:tab w:val="left" w:pos="700"/>
              </w:tabs>
              <w:adjustRightInd w:val="0"/>
              <w:snapToGrid w:val="0"/>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w:t>
            </w: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1ED84DF9">
            <w:pPr>
              <w:tabs>
                <w:tab w:val="left" w:pos="700"/>
              </w:tabs>
              <w:adjustRightInd w:val="0"/>
              <w:snapToGrid w:val="0"/>
              <w:spacing w:line="36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合同付款</w:t>
            </w:r>
          </w:p>
        </w:tc>
        <w:tc>
          <w:tcPr>
            <w:tcW w:w="6374" w:type="dxa"/>
            <w:tcBorders>
              <w:top w:val="single" w:color="auto" w:sz="4" w:space="0"/>
              <w:left w:val="single" w:color="auto" w:sz="4" w:space="0"/>
              <w:bottom w:val="single" w:color="auto" w:sz="4" w:space="0"/>
              <w:right w:val="single" w:color="auto" w:sz="4" w:space="0"/>
            </w:tcBorders>
            <w:vAlign w:val="center"/>
          </w:tcPr>
          <w:p w14:paraId="17FC5735">
            <w:pPr>
              <w:pStyle w:val="36"/>
              <w:tabs>
                <w:tab w:val="left" w:pos="840"/>
              </w:tabs>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1.本项目自合同签订之日起30个日历日内预付合同款项5%；</w:t>
            </w:r>
          </w:p>
          <w:p w14:paraId="5936E29F">
            <w:pPr>
              <w:pStyle w:val="36"/>
              <w:tabs>
                <w:tab w:val="left" w:pos="840"/>
              </w:tabs>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2.初验合格之日起30个日历日内支付合同款项30%；</w:t>
            </w:r>
          </w:p>
          <w:p w14:paraId="1A3C47B9">
            <w:pPr>
              <w:pStyle w:val="36"/>
              <w:tabs>
                <w:tab w:val="left" w:pos="840"/>
              </w:tabs>
              <w:adjustRightInd w:val="0"/>
              <w:snapToGrid w:val="0"/>
              <w:spacing w:line="360" w:lineRule="exact"/>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3.终验合格之日起30个日历日内支付合同款项65%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根据考核结果，核减支付金额</w:t>
            </w:r>
            <w:r>
              <w:rPr>
                <w:rFonts w:hint="eastAsia" w:asciiTheme="minorEastAsia" w:hAnsiTheme="minorEastAsia" w:eastAsiaTheme="minorEastAsia" w:cstheme="minorEastAsia"/>
                <w:color w:val="auto"/>
                <w:sz w:val="21"/>
                <w:szCs w:val="21"/>
                <w:highlight w:val="none"/>
                <w:lang w:eastAsia="zh-CN"/>
              </w:rPr>
              <w:t>）。</w:t>
            </w:r>
          </w:p>
          <w:p w14:paraId="44A4555D">
            <w:pPr>
              <w:pStyle w:val="36"/>
              <w:tabs>
                <w:tab w:val="left" w:pos="840"/>
              </w:tabs>
              <w:adjustRightInd w:val="0"/>
              <w:snapToGrid w:val="0"/>
              <w:spacing w:line="360" w:lineRule="exact"/>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次办理付款时，乙方应提供发票、付款申请（格式另附）、合同约定的其他资料。涉及验收的，应同时提交验收意见。支付合同款项时（合同初次付款外），如属于信息化监理范围内的项目，应经实施单位、业主单位、监理单位共同签字认可；如属于需要进行中期报告的项目，应附中期报告审议意见为“通过”的文书。</w:t>
            </w:r>
          </w:p>
          <w:p w14:paraId="35F1658F">
            <w:pPr>
              <w:pStyle w:val="36"/>
              <w:tabs>
                <w:tab w:val="left" w:pos="840"/>
              </w:tabs>
              <w:adjustRightInd w:val="0"/>
              <w:snapToGrid w:val="0"/>
              <w:spacing w:line="360" w:lineRule="exact"/>
              <w:ind w:firstLine="420" w:firstLineChars="200"/>
              <w:jc w:val="lef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auto"/>
                <w:sz w:val="21"/>
                <w:szCs w:val="21"/>
                <w:highlight w:val="none"/>
              </w:rPr>
              <w:t>甲方在收到发票等合同约定资料后，进行核实。满足合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同约定支付条件的，自收到发票后30日内将资金以</w:t>
            </w:r>
            <w:r>
              <w:rPr>
                <w:rFonts w:hint="eastAsia" w:asciiTheme="minorEastAsia" w:hAnsiTheme="minorEastAsia" w:eastAsiaTheme="minorEastAsia" w:cstheme="minorEastAsia"/>
                <w:color w:val="000000" w:themeColor="text1"/>
                <w:sz w:val="21"/>
                <w:szCs w:val="21"/>
                <w:highlight w:val="none"/>
                <w:u w:val="single"/>
                <w:lang w:val="en"/>
                <w14:textFill>
                  <w14:solidFill>
                    <w14:schemeClr w14:val="tx1"/>
                  </w14:solidFill>
                </w14:textFill>
              </w:rPr>
              <w:t xml:space="preserve"> 银行转账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方式支付到乙方账户。</w:t>
            </w:r>
          </w:p>
        </w:tc>
      </w:tr>
      <w:tr w14:paraId="0DAC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trPr>
        <w:tc>
          <w:tcPr>
            <w:tcW w:w="655" w:type="dxa"/>
            <w:tcBorders>
              <w:top w:val="single" w:color="auto" w:sz="4" w:space="0"/>
              <w:left w:val="single" w:color="auto" w:sz="4" w:space="0"/>
              <w:bottom w:val="single" w:color="auto" w:sz="4" w:space="0"/>
              <w:right w:val="single" w:color="auto" w:sz="4" w:space="0"/>
            </w:tcBorders>
            <w:vAlign w:val="center"/>
          </w:tcPr>
          <w:p w14:paraId="5B27EF21">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1E86B768">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履约保证金及返还</w:t>
            </w:r>
          </w:p>
        </w:tc>
        <w:tc>
          <w:tcPr>
            <w:tcW w:w="6374" w:type="dxa"/>
            <w:tcBorders>
              <w:top w:val="single" w:color="auto" w:sz="4" w:space="0"/>
              <w:left w:val="single" w:color="auto" w:sz="4" w:space="0"/>
              <w:bottom w:val="single" w:color="auto" w:sz="4" w:space="0"/>
              <w:right w:val="single" w:color="auto" w:sz="4" w:space="0"/>
            </w:tcBorders>
            <w:vAlign w:val="center"/>
          </w:tcPr>
          <w:p w14:paraId="36412591">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本</w:t>
            </w:r>
            <w:r>
              <w:rPr>
                <w:rFonts w:hint="default" w:ascii="Times New Roman" w:hAnsi="Times New Roman" w:cs="Times New Roman"/>
                <w:color w:val="auto"/>
                <w:sz w:val="21"/>
                <w:szCs w:val="21"/>
                <w:highlight w:val="none"/>
                <w:lang w:eastAsia="zh-CN"/>
              </w:rPr>
              <w:t>项目不要求提供履约保证金。</w:t>
            </w:r>
          </w:p>
          <w:p w14:paraId="55BC14DF">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本项目要求提供履约保证金。履约保证金为合同</w:t>
            </w:r>
            <w:r>
              <w:rPr>
                <w:rFonts w:hint="default" w:ascii="Times New Roman" w:hAnsi="Times New Roman" w:cs="Times New Roman"/>
                <w:color w:val="auto"/>
                <w:sz w:val="21"/>
                <w:szCs w:val="21"/>
                <w:highlight w:val="none"/>
                <w:lang w:eastAsia="zh-CN"/>
              </w:rPr>
              <w:t>总</w:t>
            </w:r>
            <w:r>
              <w:rPr>
                <w:rFonts w:hint="default" w:ascii="Times New Roman" w:hAnsi="Times New Roman" w:cs="Times New Roman"/>
                <w:color w:val="auto"/>
                <w:sz w:val="21"/>
                <w:szCs w:val="21"/>
                <w:highlight w:val="none"/>
              </w:rPr>
              <w:t>金额</w:t>
            </w:r>
            <w:r>
              <w:rPr>
                <w:rFonts w:hint="default" w:ascii="Times New Roman" w:hAnsi="Times New Roman" w:cs="Times New Roman"/>
                <w:color w:val="auto"/>
                <w:sz w:val="21"/>
                <w:szCs w:val="21"/>
                <w:highlight w:val="none"/>
                <w:lang w:eastAsia="zh-CN"/>
              </w:rPr>
              <w:t>的</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%，即人民币</w:t>
            </w:r>
            <w:r>
              <w:rPr>
                <w:rFonts w:hint="default" w:ascii="Times New Roman" w:hAnsi="Times New Roman" w:cs="Times New Roman"/>
                <w:color w:val="auto"/>
                <w:sz w:val="21"/>
                <w:szCs w:val="21"/>
                <w:highlight w:val="none"/>
                <w:u w:val="single"/>
                <w:lang w:val="en"/>
              </w:rPr>
              <w:t xml:space="preserve">    </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lang w:val="en"/>
              </w:rPr>
              <w:t xml:space="preserve"> </w:t>
            </w:r>
            <w:r>
              <w:rPr>
                <w:rFonts w:hint="default" w:ascii="Times New Roman" w:hAnsi="Times New Roman" w:cs="Times New Roman"/>
                <w:color w:val="auto"/>
                <w:sz w:val="21"/>
                <w:szCs w:val="21"/>
                <w:highlight w:val="none"/>
                <w:u w:val="none"/>
                <w:lang w:val="en" w:eastAsia="zh-CN"/>
              </w:rPr>
              <w:t>元</w:t>
            </w:r>
            <w:r>
              <w:rPr>
                <w:rFonts w:hint="default" w:ascii="Times New Roman" w:hAnsi="Times New Roman" w:cs="Times New Roman"/>
                <w:color w:val="auto"/>
                <w:sz w:val="21"/>
                <w:szCs w:val="21"/>
                <w:highlight w:val="none"/>
              </w:rPr>
              <w:t>整（¥</w:t>
            </w:r>
            <w:r>
              <w:rPr>
                <w:rFonts w:hint="default" w:ascii="Times New Roman" w:hAnsi="Times New Roman" w:cs="Times New Roman"/>
                <w:color w:val="auto"/>
                <w:sz w:val="21"/>
                <w:szCs w:val="21"/>
                <w:highlight w:val="none"/>
                <w:u w:val="single"/>
                <w:lang w:val="en"/>
              </w:rPr>
              <w:t xml:space="preserve">     </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lang w:val="en"/>
              </w:rPr>
              <w:t xml:space="preserve"> </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乙方应在合同签订之日起 30 日内提交甲方。提交方式为银行电汇、金融机构或担保机构出具的保函。在合同履行期满，扣除应扣除的款项（如有）且双方无争议后，无息返还。</w:t>
            </w:r>
          </w:p>
          <w:p w14:paraId="43C94450">
            <w:pPr>
              <w:keepNext w:val="0"/>
              <w:keepLines w:val="0"/>
              <w:pageBreakBefore w:val="0"/>
              <w:tabs>
                <w:tab w:val="left" w:pos="700"/>
              </w:tabs>
              <w:kinsoku/>
              <w:wordWrap/>
              <w:overflowPunct/>
              <w:bidi w:val="0"/>
              <w:adjustRightInd w:val="0"/>
              <w:snapToGrid w:val="0"/>
              <w:spacing w:line="24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办理返还履约保证金时，乙方应提供履约保证金返还申请（格式另附）、</w:t>
            </w:r>
            <w:r>
              <w:rPr>
                <w:rFonts w:hint="default" w:ascii="Times New Roman" w:hAnsi="Times New Roman" w:cs="Times New Roman"/>
                <w:color w:val="auto"/>
                <w:sz w:val="21"/>
                <w:szCs w:val="21"/>
                <w:highlight w:val="none"/>
                <w:lang w:eastAsia="zh-CN"/>
              </w:rPr>
              <w:t>合同或</w:t>
            </w:r>
            <w:r>
              <w:rPr>
                <w:rFonts w:hint="default" w:ascii="Times New Roman" w:hAnsi="Times New Roman" w:cs="Times New Roman"/>
                <w:color w:val="auto"/>
                <w:sz w:val="21"/>
                <w:szCs w:val="21"/>
                <w:highlight w:val="none"/>
              </w:rPr>
              <w:t>合同关键页复印件、合同约定的其他资料。涉及验收的，应同时提交甲方</w:t>
            </w:r>
            <w:r>
              <w:rPr>
                <w:rFonts w:hint="default" w:ascii="Times New Roman" w:hAnsi="Times New Roman" w:cs="Times New Roman"/>
                <w:color w:val="auto"/>
                <w:sz w:val="21"/>
                <w:szCs w:val="21"/>
                <w:highlight w:val="none"/>
                <w:lang w:eastAsia="zh-CN"/>
              </w:rPr>
              <w:t>需求部门</w:t>
            </w:r>
            <w:r>
              <w:rPr>
                <w:rFonts w:hint="default" w:ascii="Times New Roman" w:hAnsi="Times New Roman" w:cs="Times New Roman"/>
                <w:color w:val="auto"/>
                <w:sz w:val="21"/>
                <w:szCs w:val="21"/>
                <w:highlight w:val="none"/>
              </w:rPr>
              <w:t>出具的项目终验意见或</w:t>
            </w:r>
            <w:r>
              <w:rPr>
                <w:rFonts w:hint="default" w:ascii="Times New Roman" w:hAnsi="Times New Roman" w:cs="Times New Roman"/>
                <w:color w:val="auto"/>
                <w:sz w:val="21"/>
                <w:szCs w:val="21"/>
                <w:highlight w:val="none"/>
                <w:lang w:eastAsia="zh-CN"/>
              </w:rPr>
              <w:t>质量保证</w:t>
            </w:r>
            <w:r>
              <w:rPr>
                <w:rFonts w:hint="default" w:ascii="Times New Roman" w:hAnsi="Times New Roman" w:cs="Times New Roman"/>
                <w:color w:val="auto"/>
                <w:sz w:val="21"/>
                <w:szCs w:val="21"/>
                <w:highlight w:val="none"/>
              </w:rPr>
              <w:t>期（服务期）满验收意见。</w:t>
            </w:r>
          </w:p>
          <w:p w14:paraId="19E10466">
            <w:pPr>
              <w:tabs>
                <w:tab w:val="left" w:pos="700"/>
              </w:tabs>
              <w:adjustRightInd w:val="0"/>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default" w:ascii="Times New Roman" w:hAnsi="Times New Roman" w:cs="Times New Roman"/>
                <w:color w:val="auto"/>
                <w:sz w:val="21"/>
                <w:szCs w:val="21"/>
                <w:highlight w:val="none"/>
              </w:rPr>
              <w:t>满足履约保证金返还条件的，甲方在收到返还相关信息等合同约定资料后，进行核实。对核实结果无异议的，自完成核实之日起30日内，以</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方式返还履约保证金</w:t>
            </w:r>
            <w:r>
              <w:rPr>
                <w:rFonts w:hint="default" w:ascii="Times New Roman" w:hAnsi="Times New Roman" w:cs="Times New Roman"/>
                <w:color w:val="auto"/>
                <w:sz w:val="21"/>
                <w:szCs w:val="21"/>
                <w:highlight w:val="none"/>
                <w:lang w:eastAsia="zh-CN"/>
              </w:rPr>
              <w:t>或退回保函</w:t>
            </w:r>
            <w:r>
              <w:rPr>
                <w:rFonts w:hint="default" w:ascii="Times New Roman" w:hAnsi="Times New Roman" w:cs="Times New Roman"/>
                <w:color w:val="auto"/>
                <w:sz w:val="21"/>
                <w:szCs w:val="21"/>
                <w:highlight w:val="none"/>
              </w:rPr>
              <w:t>。</w:t>
            </w:r>
          </w:p>
        </w:tc>
      </w:tr>
      <w:tr w14:paraId="1E76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55" w:type="dxa"/>
            <w:tcBorders>
              <w:top w:val="single" w:color="auto" w:sz="4" w:space="0"/>
              <w:left w:val="single" w:color="auto" w:sz="4" w:space="0"/>
              <w:bottom w:val="single" w:color="auto" w:sz="4" w:space="0"/>
              <w:right w:val="single" w:color="auto" w:sz="4" w:space="0"/>
            </w:tcBorders>
            <w:vAlign w:val="center"/>
          </w:tcPr>
          <w:p w14:paraId="23F63842">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513E23B1">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合同履行期限</w:t>
            </w:r>
          </w:p>
        </w:tc>
        <w:tc>
          <w:tcPr>
            <w:tcW w:w="6374" w:type="dxa"/>
            <w:tcBorders>
              <w:top w:val="single" w:color="auto" w:sz="4" w:space="0"/>
              <w:left w:val="single" w:color="auto" w:sz="4" w:space="0"/>
              <w:bottom w:val="single" w:color="auto" w:sz="4" w:space="0"/>
              <w:right w:val="single" w:color="auto" w:sz="4" w:space="0"/>
            </w:tcBorders>
            <w:vAlign w:val="center"/>
          </w:tcPr>
          <w:p w14:paraId="0327F686">
            <w:pPr>
              <w:tabs>
                <w:tab w:val="left" w:pos="700"/>
              </w:tabs>
              <w:adjustRightInd w:val="0"/>
              <w:snapToGrid w:val="0"/>
              <w:spacing w:line="360" w:lineRule="exact"/>
              <w:rPr>
                <w:rFonts w:hint="default" w:asciiTheme="minorEastAsia" w:hAnsiTheme="minorEastAsia" w:eastAsiaTheme="minorEastAsia" w:cstheme="minorEastAsia"/>
                <w:color w:val="auto"/>
                <w:szCs w:val="21"/>
                <w:highlight w:val="none"/>
                <w:lang w:val="en-US" w:eastAsia="zh-CN"/>
              </w:rPr>
            </w:pPr>
            <w:r>
              <w:rPr>
                <w:rFonts w:hint="eastAsia" w:ascii="宋体" w:hAnsi="宋体" w:cs="宋体"/>
                <w:color w:val="auto"/>
                <w:szCs w:val="21"/>
                <w:highlight w:val="none"/>
                <w:lang w:val="en-US" w:eastAsia="zh-CN"/>
              </w:rPr>
              <w:t>2025年1月1日</w:t>
            </w:r>
            <w:r>
              <w:rPr>
                <w:rFonts w:hint="eastAsia" w:ascii="宋体" w:hAnsi="宋体" w:cs="宋体"/>
                <w:color w:val="auto"/>
                <w:szCs w:val="21"/>
                <w:highlight w:val="none"/>
              </w:rPr>
              <w:t>至</w:t>
            </w:r>
            <w:r>
              <w:rPr>
                <w:rFonts w:hint="eastAsia" w:ascii="宋体" w:hAnsi="宋体" w:cs="宋体"/>
                <w:color w:val="auto"/>
                <w:szCs w:val="21"/>
                <w:highlight w:val="none"/>
                <w:lang w:val="en-US" w:eastAsia="zh-CN"/>
              </w:rPr>
              <w:t>2025年12月31日</w:t>
            </w:r>
          </w:p>
        </w:tc>
      </w:tr>
      <w:tr w14:paraId="647E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5" w:type="dxa"/>
            <w:tcBorders>
              <w:top w:val="single" w:color="auto" w:sz="4" w:space="0"/>
              <w:left w:val="single" w:color="auto" w:sz="4" w:space="0"/>
              <w:bottom w:val="single" w:color="auto" w:sz="4" w:space="0"/>
              <w:right w:val="single" w:color="auto" w:sz="4" w:space="0"/>
            </w:tcBorders>
            <w:vAlign w:val="center"/>
          </w:tcPr>
          <w:p w14:paraId="4F9E70E4">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57F1D4A8">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项目</w:t>
            </w:r>
            <w:r>
              <w:rPr>
                <w:rFonts w:hint="default" w:ascii="Times New Roman" w:hAnsi="Times New Roman" w:cs="Times New Roman"/>
                <w:color w:val="auto"/>
                <w:sz w:val="21"/>
                <w:szCs w:val="21"/>
                <w:highlight w:val="none"/>
              </w:rPr>
              <w:t>质量保障期</w:t>
            </w:r>
          </w:p>
          <w:p w14:paraId="162027C2">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lang w:val="en"/>
              </w:rPr>
            </w:pPr>
            <w:r>
              <w:rPr>
                <w:rFonts w:hint="default" w:ascii="Times New Roman" w:hAnsi="Times New Roman" w:cs="Times New Roman"/>
                <w:color w:val="auto"/>
                <w:sz w:val="21"/>
                <w:szCs w:val="21"/>
                <w:highlight w:val="none"/>
                <w:lang w:eastAsia="zh-CN"/>
              </w:rPr>
              <w:t>（服务期）</w:t>
            </w:r>
          </w:p>
        </w:tc>
        <w:tc>
          <w:tcPr>
            <w:tcW w:w="6374" w:type="dxa"/>
            <w:tcBorders>
              <w:top w:val="single" w:color="auto" w:sz="4" w:space="0"/>
              <w:left w:val="single" w:color="auto" w:sz="4" w:space="0"/>
              <w:bottom w:val="single" w:color="auto" w:sz="4" w:space="0"/>
              <w:right w:val="single" w:color="auto" w:sz="4" w:space="0"/>
            </w:tcBorders>
            <w:vAlign w:val="center"/>
          </w:tcPr>
          <w:p w14:paraId="46736BF7">
            <w:pPr>
              <w:tabs>
                <w:tab w:val="left" w:pos="700"/>
              </w:tabs>
              <w:adjustRightInd w:val="0"/>
              <w:snapToGrid w:val="0"/>
              <w:spacing w:line="360" w:lineRule="exact"/>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lang w:val="en-US" w:eastAsia="zh-CN"/>
              </w:rPr>
              <w:t>2025年1月1日</w:t>
            </w:r>
            <w:r>
              <w:rPr>
                <w:rFonts w:hint="eastAsia" w:ascii="宋体" w:hAnsi="宋体" w:cs="宋体"/>
                <w:color w:val="auto"/>
                <w:szCs w:val="21"/>
                <w:highlight w:val="none"/>
              </w:rPr>
              <w:t>至</w:t>
            </w:r>
            <w:r>
              <w:rPr>
                <w:rFonts w:hint="eastAsia" w:ascii="宋体" w:hAnsi="宋体" w:cs="宋体"/>
                <w:color w:val="auto"/>
                <w:szCs w:val="21"/>
                <w:highlight w:val="none"/>
                <w:lang w:val="en-US" w:eastAsia="zh-CN"/>
              </w:rPr>
              <w:t>2025年12月31日</w:t>
            </w:r>
          </w:p>
        </w:tc>
      </w:tr>
      <w:tr w14:paraId="27F1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5" w:type="dxa"/>
            <w:tcBorders>
              <w:top w:val="single" w:color="auto" w:sz="4" w:space="0"/>
              <w:left w:val="single" w:color="auto" w:sz="4" w:space="0"/>
              <w:bottom w:val="single" w:color="auto" w:sz="4" w:space="0"/>
              <w:right w:val="single" w:color="auto" w:sz="4" w:space="0"/>
            </w:tcBorders>
            <w:vAlign w:val="center"/>
          </w:tcPr>
          <w:p w14:paraId="1983DB54">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3BFF2D26">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合同履约地点</w:t>
            </w:r>
          </w:p>
        </w:tc>
        <w:tc>
          <w:tcPr>
            <w:tcW w:w="6374" w:type="dxa"/>
            <w:tcBorders>
              <w:top w:val="single" w:color="auto" w:sz="4" w:space="0"/>
              <w:left w:val="single" w:color="auto" w:sz="4" w:space="0"/>
              <w:bottom w:val="single" w:color="auto" w:sz="4" w:space="0"/>
              <w:right w:val="single" w:color="auto" w:sz="4" w:space="0"/>
            </w:tcBorders>
            <w:vAlign w:val="center"/>
          </w:tcPr>
          <w:p w14:paraId="6A41C576">
            <w:pPr>
              <w:tabs>
                <w:tab w:val="left" w:pos="700"/>
              </w:tabs>
              <w:adjustRightInd w:val="0"/>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合同约定地点或甲方指定地点</w:t>
            </w:r>
          </w:p>
        </w:tc>
      </w:tr>
      <w:tr w14:paraId="7944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655" w:type="dxa"/>
            <w:tcBorders>
              <w:top w:val="single" w:color="auto" w:sz="4" w:space="0"/>
              <w:left w:val="single" w:color="auto" w:sz="4" w:space="0"/>
              <w:bottom w:val="single" w:color="auto" w:sz="4" w:space="0"/>
              <w:right w:val="single" w:color="auto" w:sz="4" w:space="0"/>
            </w:tcBorders>
            <w:vAlign w:val="center"/>
          </w:tcPr>
          <w:p w14:paraId="5C6DEFB5">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w:t>
            </w:r>
          </w:p>
        </w:tc>
        <w:tc>
          <w:tcPr>
            <w:tcW w:w="2221" w:type="dxa"/>
            <w:gridSpan w:val="2"/>
            <w:tcBorders>
              <w:top w:val="single" w:color="auto" w:sz="4" w:space="0"/>
              <w:left w:val="single" w:color="auto" w:sz="4" w:space="0"/>
              <w:bottom w:val="single" w:color="auto" w:sz="4" w:space="0"/>
              <w:right w:val="single" w:color="auto" w:sz="4" w:space="0"/>
            </w:tcBorders>
            <w:vAlign w:val="center"/>
          </w:tcPr>
          <w:p w14:paraId="250F066E">
            <w:pPr>
              <w:tabs>
                <w:tab w:val="left" w:pos="700"/>
              </w:tabs>
              <w:adjustRightInd w:val="0"/>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合同纠纷解决方式</w:t>
            </w:r>
          </w:p>
        </w:tc>
        <w:tc>
          <w:tcPr>
            <w:tcW w:w="6374" w:type="dxa"/>
            <w:tcBorders>
              <w:top w:val="single" w:color="auto" w:sz="4" w:space="0"/>
              <w:left w:val="single" w:color="auto" w:sz="4" w:space="0"/>
              <w:bottom w:val="single" w:color="auto" w:sz="4" w:space="0"/>
              <w:right w:val="single" w:color="auto" w:sz="4" w:space="0"/>
            </w:tcBorders>
            <w:vAlign w:val="center"/>
          </w:tcPr>
          <w:p w14:paraId="060E8B7C">
            <w:pPr>
              <w:tabs>
                <w:tab w:val="left" w:pos="700"/>
              </w:tabs>
              <w:adjustRightInd w:val="0"/>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甲乙双方应首先通过友好协商解决在执行本合同中所发生的或与本合同有关的一切争端。如从协商开始</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天内仍不能解决，可以选择以下途径之一解决纠纷：</w:t>
            </w:r>
          </w:p>
          <w:p w14:paraId="2EB452A0">
            <w:pPr>
              <w:tabs>
                <w:tab w:val="left" w:pos="700"/>
              </w:tabs>
              <w:adjustRightInd w:val="0"/>
              <w:snapToGrid w:val="0"/>
              <w:spacing w:line="36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向甲方所在地仲裁委员会或</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仲裁委员会申请仲裁</w:t>
            </w:r>
          </w:p>
          <w:p w14:paraId="19D55C87">
            <w:pPr>
              <w:tabs>
                <w:tab w:val="left" w:pos="700"/>
              </w:tabs>
              <w:adjustRightInd w:val="0"/>
              <w:snapToGrid w:val="0"/>
              <w:spacing w:line="360" w:lineRule="exact"/>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lang w:val="zh-CN"/>
              </w:rPr>
              <w:sym w:font="Wingdings 2" w:char="0052"/>
            </w:r>
            <w:r>
              <w:rPr>
                <w:rFonts w:hint="eastAsia" w:asciiTheme="minorEastAsia" w:hAnsiTheme="minorEastAsia" w:eastAsiaTheme="minorEastAsia" w:cstheme="minorEastAsia"/>
                <w:color w:val="auto"/>
                <w:szCs w:val="21"/>
                <w:highlight w:val="none"/>
              </w:rPr>
              <w:t xml:space="preserve"> 向甲方所在地人民法院提起诉讼</w:t>
            </w:r>
          </w:p>
        </w:tc>
      </w:tr>
    </w:tbl>
    <w:p w14:paraId="21E8470E">
      <w:pPr>
        <w:tabs>
          <w:tab w:val="left" w:pos="700"/>
        </w:tabs>
        <w:topLinePunct/>
        <w:autoSpaceDE w:val="0"/>
        <w:autoSpaceDN w:val="0"/>
        <w:spacing w:before="240" w:after="120" w:line="460" w:lineRule="exact"/>
        <w:ind w:firstLine="562"/>
        <w:rPr>
          <w:rFonts w:asciiTheme="minorEastAsia" w:hAnsiTheme="minorEastAsia" w:eastAsiaTheme="minorEastAsia" w:cstheme="minorEastAsia"/>
          <w:b/>
          <w:color w:val="auto"/>
          <w:sz w:val="28"/>
          <w:highlight w:val="none"/>
        </w:rPr>
        <w:sectPr>
          <w:pgSz w:w="11907" w:h="16839"/>
          <w:pgMar w:top="1440" w:right="1341" w:bottom="1440" w:left="1326" w:header="851" w:footer="709" w:gutter="0"/>
          <w:pgBorders>
            <w:top w:val="none" w:sz="0" w:space="0"/>
            <w:left w:val="none" w:sz="0" w:space="0"/>
            <w:bottom w:val="none" w:sz="0" w:space="0"/>
            <w:right w:val="none" w:sz="0" w:space="0"/>
          </w:pgBorders>
          <w:cols w:space="720" w:num="1"/>
          <w:docGrid w:linePitch="360" w:charSpace="0"/>
        </w:sectPr>
      </w:pPr>
    </w:p>
    <w:p w14:paraId="5E985E8F">
      <w:pPr>
        <w:tabs>
          <w:tab w:val="left" w:pos="0"/>
        </w:tabs>
        <w:topLinePunct/>
        <w:autoSpaceDE w:val="0"/>
        <w:autoSpaceDN w:val="0"/>
        <w:spacing w:before="240" w:after="120" w:line="460" w:lineRule="exact"/>
        <w:ind w:firstLine="562"/>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一   合  同 </w:t>
      </w:r>
    </w:p>
    <w:p w14:paraId="0B008352">
      <w:pPr>
        <w:tabs>
          <w:tab w:val="left" w:pos="700"/>
        </w:tabs>
        <w:topLinePunct/>
        <w:autoSpaceDE w:val="0"/>
        <w:autoSpaceDN w:val="0"/>
        <w:snapToGrid w:val="0"/>
        <w:spacing w:before="240" w:after="120" w:line="360" w:lineRule="auto"/>
        <w:ind w:firstLine="420" w:firstLineChars="200"/>
        <w:jc w:val="left"/>
        <w:rPr>
          <w:rFonts w:asciiTheme="minorEastAsia" w:hAnsiTheme="minorEastAsia" w:eastAsiaTheme="minorEastAsia" w:cstheme="minorEastAsia"/>
          <w:color w:val="auto"/>
          <w:szCs w:val="21"/>
          <w:highlight w:val="none"/>
        </w:rPr>
      </w:pPr>
    </w:p>
    <w:p w14:paraId="5B939391">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国家税务总局（以下简称“甲方”）通过</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式</w:t>
      </w:r>
      <w:r>
        <w:rPr>
          <w:rFonts w:hint="default" w:ascii="Times New Roman" w:hAnsi="Times New Roman" w:cs="Times New Roman"/>
          <w:color w:val="auto"/>
          <w:sz w:val="21"/>
          <w:szCs w:val="21"/>
          <w:highlight w:val="none"/>
        </w:rPr>
        <w:t>采购</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确定_</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_____公司（以下简称“乙方”）为《</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项目》</w:t>
      </w:r>
      <w:r>
        <w:rPr>
          <w:rFonts w:hint="default" w:ascii="Times New Roman" w:hAnsi="Times New Roman" w:cs="Times New Roman"/>
          <w:color w:val="auto"/>
          <w:sz w:val="21"/>
          <w:szCs w:val="21"/>
          <w:highlight w:val="none"/>
          <w:lang w:eastAsia="zh-CN"/>
        </w:rPr>
        <w:t>中标（成交）供应商</w:t>
      </w:r>
      <w:r>
        <w:rPr>
          <w:rFonts w:hint="default" w:ascii="Times New Roman" w:hAnsi="Times New Roman" w:cs="Times New Roman"/>
          <w:color w:val="auto"/>
          <w:sz w:val="21"/>
          <w:szCs w:val="21"/>
          <w:highlight w:val="none"/>
        </w:rPr>
        <w:t>。甲乙双方同意按照该项目</w:t>
      </w:r>
      <w:r>
        <w:rPr>
          <w:rFonts w:hint="default" w:ascii="Times New Roman" w:hAnsi="Times New Roman" w:cs="Times New Roman"/>
          <w:color w:val="auto"/>
          <w:sz w:val="21"/>
          <w:szCs w:val="21"/>
          <w:highlight w:val="none"/>
          <w:lang w:eastAsia="zh-CN"/>
        </w:rPr>
        <w:t>招标（采购）文件</w:t>
      </w:r>
      <w:r>
        <w:rPr>
          <w:rFonts w:hint="default" w:ascii="Times New Roman" w:hAnsi="Times New Roman" w:cs="Times New Roman"/>
          <w:color w:val="auto"/>
          <w:sz w:val="21"/>
          <w:szCs w:val="21"/>
          <w:highlight w:val="none"/>
        </w:rPr>
        <w:t>约定的内容，签署《</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合同书》（合同编号：</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，以下简称“合同”)。</w:t>
      </w:r>
    </w:p>
    <w:p w14:paraId="74A68DBE">
      <w:pPr>
        <w:keepNext w:val="0"/>
        <w:keepLines w:val="0"/>
        <w:pageBreakBefore w:val="0"/>
        <w:widowControl w:val="0"/>
        <w:kinsoku/>
        <w:wordWrap/>
        <w:overflowPunct/>
        <w:topLinePunct/>
        <w:autoSpaceDE w:val="0"/>
        <w:autoSpaceDN w:val="0"/>
        <w:bidi w:val="0"/>
        <w:snapToGrid w:val="0"/>
        <w:spacing w:line="360" w:lineRule="auto"/>
        <w:ind w:left="482"/>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 合同文件</w:t>
      </w:r>
    </w:p>
    <w:p w14:paraId="54780637">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本合同所附下列文件是构成本合同不可分割的部分：</w:t>
      </w:r>
    </w:p>
    <w:p w14:paraId="1B063E4B">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（1）合同通用条款；</w:t>
      </w:r>
    </w:p>
    <w:p w14:paraId="334B5BAA">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（2）报价表（总报价表）；</w:t>
      </w:r>
    </w:p>
    <w:p w14:paraId="493FD9C5">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eastAsia="zh-CN"/>
        </w:rPr>
        <w:t>）招标（采购）文件；</w:t>
      </w:r>
    </w:p>
    <w:p w14:paraId="6757B1CB">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eastAsia="zh-CN"/>
        </w:rPr>
        <w:t>投标（响应）</w:t>
      </w:r>
      <w:r>
        <w:rPr>
          <w:rFonts w:hint="default" w:ascii="Times New Roman" w:hAnsi="Times New Roman" w:cs="Times New Roman"/>
          <w:color w:val="auto"/>
          <w:sz w:val="21"/>
          <w:szCs w:val="21"/>
          <w:highlight w:val="none"/>
        </w:rPr>
        <w:t>文件。</w:t>
      </w:r>
    </w:p>
    <w:p w14:paraId="3AF2B901">
      <w:pPr>
        <w:keepNext w:val="0"/>
        <w:keepLines w:val="0"/>
        <w:pageBreakBefore w:val="0"/>
        <w:widowControl w:val="0"/>
        <w:kinsoku/>
        <w:wordWrap/>
        <w:overflowPunct/>
        <w:topLinePunct/>
        <w:autoSpaceDE w:val="0"/>
        <w:autoSpaceDN w:val="0"/>
        <w:bidi w:val="0"/>
        <w:adjustRightInd/>
        <w:snapToGrid w:val="0"/>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2. 合同范围和条件</w:t>
      </w:r>
    </w:p>
    <w:p w14:paraId="0DF37870">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本合同的范围和条件应与上述合同文件的规定相一致。</w:t>
      </w:r>
    </w:p>
    <w:p w14:paraId="10D68E5A">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2" w:firstLineChars="20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3. 合同金额</w:t>
      </w:r>
    </w:p>
    <w:p w14:paraId="2DD96BE3">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本合同金额为人民币</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rPr>
        <w:t>元</w:t>
      </w:r>
      <w:r>
        <w:rPr>
          <w:rFonts w:hint="default" w:ascii="Times New Roman" w:hAnsi="Times New Roman" w:cs="Times New Roman"/>
          <w:color w:val="auto"/>
          <w:sz w:val="21"/>
          <w:szCs w:val="21"/>
          <w:highlight w:val="none"/>
        </w:rPr>
        <w:t>整（¥</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w:t>
      </w:r>
    </w:p>
    <w:p w14:paraId="29EA165F">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2" w:firstLineChars="200"/>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en"/>
        </w:rPr>
        <w:t>4.</w:t>
      </w:r>
      <w:r>
        <w:rPr>
          <w:rFonts w:hint="eastAsia" w:asciiTheme="minorEastAsia" w:hAnsiTheme="minorEastAsia" w:eastAsiaTheme="minorEastAsia" w:cstheme="minorEastAsia"/>
          <w:b/>
          <w:color w:val="auto"/>
          <w:szCs w:val="21"/>
          <w:highlight w:val="none"/>
        </w:rPr>
        <w:t>付款条件</w:t>
      </w:r>
    </w:p>
    <w:p w14:paraId="4C467CF8">
      <w:pPr>
        <w:pStyle w:val="36"/>
        <w:keepNext w:val="0"/>
        <w:keepLines w:val="0"/>
        <w:pageBreakBefore w:val="0"/>
        <w:widowControl w:val="0"/>
        <w:tabs>
          <w:tab w:val="left" w:pos="840"/>
        </w:tabs>
        <w:kinsoku/>
        <w:wordWrap/>
        <w:overflowPunct/>
        <w:bidi w:val="0"/>
        <w:adjustRightInd w:val="0"/>
        <w:snapToGrid w:val="0"/>
        <w:spacing w:line="360" w:lineRule="auto"/>
        <w:ind w:firstLine="420" w:firstLineChars="200"/>
        <w:jc w:val="left"/>
        <w:textAlignment w:val="baseline"/>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合同以人民币结算，付款方式：</w:t>
      </w:r>
    </w:p>
    <w:p w14:paraId="3EFC1EDC">
      <w:pPr>
        <w:pStyle w:val="36"/>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合同以人民币结算，</w:t>
      </w:r>
      <w:r>
        <w:rPr>
          <w:rFonts w:hint="eastAsia" w:asciiTheme="minorEastAsia" w:hAnsiTheme="minorEastAsia" w:eastAsiaTheme="minorEastAsia" w:cstheme="minorEastAsia"/>
          <w:color w:val="auto"/>
          <w:sz w:val="21"/>
          <w:szCs w:val="21"/>
          <w:highlight w:val="none"/>
          <w:lang w:val="en-US" w:eastAsia="zh-CN"/>
        </w:rPr>
        <w:t>按月考核结果进行结算，每月结束后的15个日历日内，采购人根据《服务考核办法》的规定，作出考核结果结算，中标人根据采购人要求开具正式发票支付上月服务费用，总额不超过中标金额。如遇国家法定节假日等特殊情况，可顺延3</w:t>
      </w:r>
      <w:r>
        <w:rPr>
          <w:rFonts w:hint="default"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en-US" w:eastAsia="zh-CN"/>
        </w:rPr>
        <w:t>个工作日。</w:t>
      </w:r>
    </w:p>
    <w:p w14:paraId="15019C52">
      <w:pPr>
        <w:pStyle w:val="36"/>
        <w:keepNext w:val="0"/>
        <w:keepLines w:val="0"/>
        <w:pageBreakBefore w:val="0"/>
        <w:widowControl w:val="0"/>
        <w:tabs>
          <w:tab w:val="left" w:pos="840"/>
        </w:tabs>
        <w:kinsoku/>
        <w:wordWrap/>
        <w:overflowPunct/>
        <w:bidi w:val="0"/>
        <w:adjustRightInd w:val="0"/>
        <w:snapToGrid w:val="0"/>
        <w:spacing w:line="360" w:lineRule="auto"/>
        <w:ind w:firstLine="420" w:firstLineChars="200"/>
        <w:jc w:val="left"/>
        <w:textAlignment w:val="baseline"/>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t>每次办理付款时，乙方应提供发票、付款申请（格式另附）、合同约定的其他资料。涉及验收的，应同时提交甲方需求部门出具的验收意见。支付合同款项时（合同初次付款外），如属于信息化监理范围内的项目，应经实施单位、业主单位、监理单位共同签字认可；如属于需要进行中期报告的项目，应附中期报告审</w:t>
      </w:r>
      <w:r>
        <w:rPr>
          <w:rFonts w:hint="eastAsia" w:asciiTheme="minorEastAsia" w:hAnsiTheme="minorEastAsia" w:eastAsiaTheme="minorEastAsia" w:cstheme="minorEastAsia"/>
          <w:sz w:val="21"/>
          <w:szCs w:val="21"/>
          <w:highlight w:val="none"/>
        </w:rPr>
        <w:t>议意见为“通过”的文书。</w:t>
      </w:r>
    </w:p>
    <w:p w14:paraId="05AA8E0C">
      <w:pPr>
        <w:pStyle w:val="36"/>
        <w:keepNext w:val="0"/>
        <w:keepLines w:val="0"/>
        <w:pageBreakBefore w:val="0"/>
        <w:widowControl w:val="0"/>
        <w:tabs>
          <w:tab w:val="left" w:pos="840"/>
        </w:tabs>
        <w:kinsoku/>
        <w:wordWrap/>
        <w:overflowPunct/>
        <w:bidi w:val="0"/>
        <w:adjustRightInd w:val="0"/>
        <w:snapToGrid w:val="0"/>
        <w:spacing w:line="360" w:lineRule="auto"/>
        <w:ind w:firstLine="420" w:firstLineChars="200"/>
        <w:jc w:val="left"/>
        <w:textAlignment w:val="baseline"/>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甲方在收到发票等合同约定资料后，进行核实。满足合同约定支付条件的，自收到发票后30日内将资金以银行转账方式支付到乙方账户。</w:t>
      </w:r>
    </w:p>
    <w:p w14:paraId="6D2F97BF">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2" w:firstLineChars="200"/>
        <w:jc w:val="lef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5. 合同签订及生效</w:t>
      </w:r>
    </w:p>
    <w:p w14:paraId="1573FF26">
      <w:pPr>
        <w:pStyle w:val="36"/>
        <w:keepNext w:val="0"/>
        <w:keepLines w:val="0"/>
        <w:pageBreakBefore w:val="0"/>
        <w:widowControl w:val="0"/>
        <w:tabs>
          <w:tab w:val="left" w:pos="840"/>
        </w:tabs>
        <w:kinsoku/>
        <w:wordWrap/>
        <w:overflowPunct/>
        <w:bidi w:val="0"/>
        <w:snapToGrid w:val="0"/>
        <w:spacing w:line="360" w:lineRule="auto"/>
        <w:ind w:firstLine="420" w:firstLineChars="200"/>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本合同一式</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份，</w:t>
      </w:r>
      <w:r>
        <w:rPr>
          <w:rFonts w:hint="eastAsia" w:asciiTheme="minorEastAsia" w:hAnsiTheme="minorEastAsia" w:eastAsiaTheme="minorEastAsia" w:cstheme="minorEastAsia"/>
          <w:sz w:val="21"/>
          <w:szCs w:val="21"/>
          <w:highlight w:val="none"/>
          <w:lang w:val="en-US" w:eastAsia="zh-CN"/>
        </w:rPr>
        <w:t>甲方</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lang w:val="en-US" w:eastAsia="zh-CN"/>
        </w:rPr>
        <w:t>份；乙方</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lang w:val="en-US" w:eastAsia="zh-CN"/>
        </w:rPr>
        <w:t>份。</w:t>
      </w:r>
      <w:r>
        <w:rPr>
          <w:rFonts w:hint="eastAsia" w:asciiTheme="minorEastAsia" w:hAnsiTheme="minorEastAsia" w:eastAsiaTheme="minorEastAsia" w:cstheme="minorEastAsia"/>
          <w:sz w:val="21"/>
          <w:szCs w:val="21"/>
          <w:highlight w:val="none"/>
        </w:rPr>
        <w:t>由甲乙双方法定代表人或被授权人签字并盖章后生效。</w:t>
      </w:r>
    </w:p>
    <w:p w14:paraId="5F1F03F7">
      <w:pPr>
        <w:pStyle w:val="36"/>
        <w:keepNext w:val="0"/>
        <w:keepLines w:val="0"/>
        <w:pageBreakBefore w:val="0"/>
        <w:widowControl w:val="0"/>
        <w:tabs>
          <w:tab w:val="left" w:pos="840"/>
        </w:tabs>
        <w:kinsoku/>
        <w:wordWrap/>
        <w:overflowPunct/>
        <w:bidi w:val="0"/>
        <w:snapToGrid w:val="0"/>
        <w:spacing w:line="360" w:lineRule="auto"/>
        <w:ind w:firstLine="420" w:firstLineChars="200"/>
        <w:jc w:val="lef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乙方由法定代表人签订合同的，应提供法定代表人身份证复印件；乙方由被授权人签订合同的，应提供授权委托书和法定代表人及被授权人身份证复印件。</w:t>
      </w:r>
    </w:p>
    <w:p w14:paraId="68E54036">
      <w:pPr>
        <w:tabs>
          <w:tab w:val="left" w:pos="700"/>
        </w:tabs>
        <w:topLinePunct/>
        <w:autoSpaceDE w:val="0"/>
        <w:autoSpaceDN w:val="0"/>
        <w:spacing w:before="240" w:after="120" w:line="360" w:lineRule="auto"/>
        <w:ind w:firstLine="420" w:firstLineChars="200"/>
        <w:jc w:val="left"/>
        <w:rPr>
          <w:rFonts w:asciiTheme="minorEastAsia" w:hAnsiTheme="minorEastAsia" w:eastAsiaTheme="minorEastAsia" w:cstheme="minorEastAsia"/>
          <w:szCs w:val="21"/>
          <w:highlight w:val="none"/>
        </w:rPr>
      </w:pPr>
    </w:p>
    <w:p w14:paraId="1FE98839">
      <w:pPr>
        <w:tabs>
          <w:tab w:val="left" w:pos="700"/>
        </w:tabs>
        <w:topLinePunct/>
        <w:autoSpaceDE w:val="0"/>
        <w:autoSpaceDN w:val="0"/>
        <w:spacing w:before="240" w:after="120" w:line="360" w:lineRule="auto"/>
        <w:jc w:val="left"/>
        <w:rPr>
          <w:rFonts w:asciiTheme="minorEastAsia" w:hAnsiTheme="minorEastAsia" w:eastAsiaTheme="minorEastAsia" w:cstheme="minorEastAsia"/>
          <w:szCs w:val="21"/>
          <w:highlight w:val="none"/>
        </w:rPr>
      </w:pPr>
    </w:p>
    <w:p w14:paraId="517BE646">
      <w:pPr>
        <w:tabs>
          <w:tab w:val="left" w:pos="700"/>
        </w:tabs>
        <w:topLinePunct/>
        <w:autoSpaceDE w:val="0"/>
        <w:autoSpaceDN w:val="0"/>
        <w:spacing w:before="240" w:after="120" w:line="360" w:lineRule="auto"/>
        <w:ind w:left="36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w:t>
      </w:r>
      <w:r>
        <w:rPr>
          <w:rFonts w:hint="eastAsia" w:ascii="宋体" w:hAnsi="宋体" w:cs="宋体"/>
          <w:color w:val="auto"/>
          <w:szCs w:val="21"/>
          <w:highlight w:val="none"/>
          <w:lang w:eastAsia="zh-CN"/>
        </w:rPr>
        <w:t>国家税务总局湖南省税务局</w:t>
      </w:r>
      <w:r>
        <w:rPr>
          <w:rFonts w:hint="eastAsia" w:asciiTheme="minorEastAsia" w:hAnsiTheme="minorEastAsia" w:eastAsiaTheme="minorEastAsia" w:cstheme="minorEastAsia"/>
          <w:color w:val="auto"/>
          <w:szCs w:val="21"/>
          <w:highlight w:val="none"/>
        </w:rPr>
        <w:t xml:space="preserve">      乙方：</w:t>
      </w:r>
    </w:p>
    <w:p w14:paraId="1694F8B9">
      <w:pPr>
        <w:tabs>
          <w:tab w:val="left" w:pos="700"/>
        </w:tabs>
        <w:topLinePunct/>
        <w:autoSpaceDE w:val="0"/>
        <w:autoSpaceDN w:val="0"/>
        <w:spacing w:before="240" w:after="120" w:line="360" w:lineRule="auto"/>
        <w:ind w:left="36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法定代表人或授权代表签字（或签章）：      法定代表人或授权代表签字（或签章）：</w:t>
      </w:r>
    </w:p>
    <w:p w14:paraId="212BD804">
      <w:pPr>
        <w:pStyle w:val="15"/>
        <w:ind w:firstLine="422"/>
        <w:rPr>
          <w:color w:val="auto"/>
          <w:highlight w:val="none"/>
        </w:rPr>
      </w:pPr>
    </w:p>
    <w:p w14:paraId="60A49F14">
      <w:pPr>
        <w:tabs>
          <w:tab w:val="left" w:pos="700"/>
        </w:tabs>
        <w:topLinePunct/>
        <w:autoSpaceDE w:val="0"/>
        <w:autoSpaceDN w:val="0"/>
        <w:spacing w:before="240" w:after="120" w:line="360" w:lineRule="auto"/>
        <w:ind w:left="36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盖章：                                   盖章： </w:t>
      </w:r>
    </w:p>
    <w:p w14:paraId="572CFE21">
      <w:pPr>
        <w:tabs>
          <w:tab w:val="left" w:pos="700"/>
        </w:tabs>
        <w:topLinePunct/>
        <w:autoSpaceDE w:val="0"/>
        <w:autoSpaceDN w:val="0"/>
        <w:spacing w:before="240" w:after="120" w:line="360" w:lineRule="auto"/>
        <w:ind w:left="36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日期：     年     月     日              日期：      年     月     日</w:t>
      </w:r>
    </w:p>
    <w:p w14:paraId="5DC6429F">
      <w:pPr>
        <w:topLinePunct/>
        <w:autoSpaceDE w:val="0"/>
        <w:autoSpaceDN w:val="0"/>
        <w:spacing w:before="240" w:after="120" w:line="360" w:lineRule="auto"/>
        <w:ind w:firstLine="422"/>
        <w:jc w:val="left"/>
        <w:rPr>
          <w:rFonts w:asciiTheme="minorEastAsia" w:hAnsiTheme="minorEastAsia" w:eastAsiaTheme="minorEastAsia" w:cstheme="minorEastAsia"/>
          <w:b/>
          <w:color w:val="auto"/>
          <w:szCs w:val="21"/>
          <w:highlight w:val="none"/>
        </w:rPr>
        <w:sectPr>
          <w:pgSz w:w="11907" w:h="16839"/>
          <w:pgMar w:top="1440" w:right="1341" w:bottom="1440" w:left="1326" w:header="851" w:footer="709" w:gutter="0"/>
          <w:pgBorders>
            <w:top w:val="none" w:sz="0" w:space="0"/>
            <w:left w:val="none" w:sz="0" w:space="0"/>
            <w:bottom w:val="none" w:sz="0" w:space="0"/>
            <w:right w:val="none" w:sz="0" w:space="0"/>
          </w:pgBorders>
          <w:cols w:space="720" w:num="1"/>
          <w:docGrid w:linePitch="360" w:charSpace="0"/>
        </w:sectPr>
      </w:pPr>
    </w:p>
    <w:p w14:paraId="7CB35B57">
      <w:pPr>
        <w:topLinePunct/>
        <w:autoSpaceDE w:val="0"/>
        <w:autoSpaceDN w:val="0"/>
        <w:spacing w:before="240" w:after="120" w:line="360" w:lineRule="auto"/>
        <w:ind w:firstLine="562"/>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二   合同通用条款</w:t>
      </w:r>
    </w:p>
    <w:p w14:paraId="61E9AD9C">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 定义</w:t>
      </w:r>
    </w:p>
    <w:p w14:paraId="1B882BAB">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本合同下列术语应解释为：</w:t>
      </w:r>
    </w:p>
    <w:p w14:paraId="494BB24C">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1.1“甲方”是指</w:t>
      </w:r>
      <w:r>
        <w:rPr>
          <w:rFonts w:hint="eastAsia" w:ascii="宋体" w:hAnsi="宋体" w:cs="宋体"/>
          <w:color w:val="auto"/>
          <w:szCs w:val="21"/>
          <w:highlight w:val="none"/>
          <w:lang w:eastAsia="zh-CN"/>
        </w:rPr>
        <w:t>国家税务总局湖南省税务局</w:t>
      </w:r>
      <w:r>
        <w:rPr>
          <w:rFonts w:hint="default" w:ascii="Times New Roman" w:hAnsi="Times New Roman" w:cs="Times New Roman"/>
          <w:color w:val="auto"/>
          <w:sz w:val="21"/>
          <w:szCs w:val="21"/>
          <w:highlight w:val="none"/>
        </w:rPr>
        <w:t>。</w:t>
      </w:r>
    </w:p>
    <w:p w14:paraId="660C0659">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1.1.1“甲方采购部门”见“合同条款前附表”第</w:t>
      </w:r>
      <w:r>
        <w:rPr>
          <w:rFonts w:hint="default"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项“甲方采购部门”。</w:t>
      </w:r>
    </w:p>
    <w:p w14:paraId="01A03436">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1.1.2“甲方</w:t>
      </w:r>
      <w:r>
        <w:rPr>
          <w:rFonts w:hint="default" w:ascii="Times New Roman" w:hAnsi="Times New Roman" w:cs="Times New Roman"/>
          <w:color w:val="auto"/>
          <w:sz w:val="21"/>
          <w:szCs w:val="21"/>
          <w:highlight w:val="none"/>
          <w:lang w:eastAsia="zh-CN"/>
        </w:rPr>
        <w:t>需求部门</w:t>
      </w:r>
      <w:r>
        <w:rPr>
          <w:rFonts w:hint="default" w:ascii="Times New Roman" w:hAnsi="Times New Roman" w:cs="Times New Roman"/>
          <w:color w:val="auto"/>
          <w:sz w:val="21"/>
          <w:szCs w:val="21"/>
          <w:highlight w:val="none"/>
        </w:rPr>
        <w:t>”见“合同条款前附表”第</w:t>
      </w:r>
      <w:r>
        <w:rPr>
          <w:rFonts w:hint="default"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项“甲方</w:t>
      </w:r>
      <w:r>
        <w:rPr>
          <w:rFonts w:hint="default" w:ascii="Times New Roman" w:hAnsi="Times New Roman" w:cs="Times New Roman"/>
          <w:color w:val="auto"/>
          <w:sz w:val="21"/>
          <w:szCs w:val="21"/>
          <w:highlight w:val="none"/>
          <w:lang w:eastAsia="zh-CN"/>
        </w:rPr>
        <w:t>需求部门</w:t>
      </w:r>
      <w:r>
        <w:rPr>
          <w:rFonts w:hint="default" w:ascii="Times New Roman" w:hAnsi="Times New Roman" w:cs="Times New Roman"/>
          <w:color w:val="auto"/>
          <w:sz w:val="21"/>
          <w:szCs w:val="21"/>
          <w:highlight w:val="none"/>
        </w:rPr>
        <w:t>”。</w:t>
      </w:r>
    </w:p>
    <w:p w14:paraId="0FF1ABF5">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1.2“乙方”见“合同条款前附表”第</w:t>
      </w: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rPr>
        <w:t>项“乙方名称”。</w:t>
      </w:r>
    </w:p>
    <w:p w14:paraId="2154339A">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1.3 “合同”系指甲乙双方签订的、合同格式中载明的甲乙双方所达成的协议，包括所有的附件、附录和上述文件所提到的构成合同的所有文件。</w:t>
      </w:r>
    </w:p>
    <w:p w14:paraId="4F101860">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 “天”除非特别指出，“天”均为自然天。</w:t>
      </w:r>
    </w:p>
    <w:p w14:paraId="4BD13B7C">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2. 标准</w:t>
      </w:r>
    </w:p>
    <w:p w14:paraId="2FCC09A0">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 乙方为甲方</w:t>
      </w:r>
      <w:r>
        <w:rPr>
          <w:rFonts w:hint="default" w:ascii="Times New Roman" w:hAnsi="Times New Roman" w:cs="Times New Roman"/>
          <w:color w:val="auto"/>
          <w:sz w:val="21"/>
          <w:szCs w:val="21"/>
          <w:highlight w:val="none"/>
          <w:lang w:eastAsia="zh-CN"/>
        </w:rPr>
        <w:t>交付或</w:t>
      </w:r>
      <w:r>
        <w:rPr>
          <w:rFonts w:hint="default" w:ascii="Times New Roman" w:hAnsi="Times New Roman" w:cs="Times New Roman"/>
          <w:color w:val="auto"/>
          <w:sz w:val="21"/>
          <w:szCs w:val="21"/>
          <w:highlight w:val="none"/>
        </w:rPr>
        <w:t>提供的服务应符合</w:t>
      </w:r>
      <w:r>
        <w:rPr>
          <w:rFonts w:hint="default" w:ascii="Times New Roman" w:hAnsi="Times New Roman" w:cs="Times New Roman"/>
          <w:color w:val="auto"/>
          <w:sz w:val="21"/>
          <w:szCs w:val="21"/>
          <w:highlight w:val="none"/>
          <w:lang w:eastAsia="zh-CN"/>
        </w:rPr>
        <w:t>招标（采购）文件</w:t>
      </w:r>
      <w:r>
        <w:rPr>
          <w:rFonts w:hint="default" w:ascii="Times New Roman" w:hAnsi="Times New Roman" w:cs="Times New Roman"/>
          <w:color w:val="auto"/>
          <w:sz w:val="21"/>
          <w:szCs w:val="21"/>
          <w:highlight w:val="none"/>
        </w:rPr>
        <w:t>所述的</w:t>
      </w:r>
      <w:r>
        <w:rPr>
          <w:rFonts w:hint="default" w:ascii="Times New Roman" w:hAnsi="Times New Roman" w:cs="Times New Roman"/>
          <w:color w:val="auto"/>
          <w:sz w:val="21"/>
          <w:szCs w:val="21"/>
          <w:highlight w:val="none"/>
          <w:lang w:eastAsia="zh-CN"/>
        </w:rPr>
        <w:t>标准</w:t>
      </w:r>
      <w:r>
        <w:rPr>
          <w:rFonts w:hint="default" w:ascii="Times New Roman" w:hAnsi="Times New Roman" w:cs="Times New Roman"/>
          <w:color w:val="auto"/>
          <w:sz w:val="21"/>
          <w:szCs w:val="21"/>
          <w:highlight w:val="none"/>
        </w:rPr>
        <w:t>，如果没有提及适用标准，则应符合相应的国家标准。这些标准必须是有关机构发布的最新版本的标准。</w:t>
      </w:r>
    </w:p>
    <w:p w14:paraId="7B7542E2">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2.2 除非技术要求中另有规定，计量单位均采用中华人民共和国法定计量单位。</w:t>
      </w:r>
    </w:p>
    <w:p w14:paraId="65E4F264">
      <w:pPr>
        <w:keepNext w:val="0"/>
        <w:keepLines w:val="0"/>
        <w:pageBreakBefore w:val="0"/>
        <w:widowControl w:val="0"/>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3. 服务</w:t>
      </w:r>
    </w:p>
    <w:p w14:paraId="093B9D44">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Cs/>
          <w:color w:val="auto"/>
          <w:sz w:val="21"/>
          <w:szCs w:val="21"/>
          <w:highlight w:val="none"/>
        </w:rPr>
        <w:t>3.1 本项目的“服务”见“合同条款前附表”第</w:t>
      </w:r>
      <w:r>
        <w:rPr>
          <w:rFonts w:hint="default" w:ascii="Times New Roman" w:hAnsi="Times New Roman" w:cs="Times New Roman"/>
          <w:bCs/>
          <w:color w:val="auto"/>
          <w:sz w:val="21"/>
          <w:szCs w:val="21"/>
          <w:highlight w:val="none"/>
          <w:lang w:val="en-US" w:eastAsia="zh-CN"/>
        </w:rPr>
        <w:t>8</w:t>
      </w:r>
      <w:r>
        <w:rPr>
          <w:rFonts w:hint="default" w:ascii="Times New Roman" w:hAnsi="Times New Roman" w:cs="Times New Roman"/>
          <w:bCs/>
          <w:color w:val="auto"/>
          <w:sz w:val="21"/>
          <w:szCs w:val="21"/>
          <w:highlight w:val="none"/>
        </w:rPr>
        <w:t>项“服务内容”。</w:t>
      </w:r>
    </w:p>
    <w:p w14:paraId="3EE8394E">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3.2 乙方应保证所提供的服务符合合同规定的技术要求。如不符时，乙方应负全责并尽快处理解决，由此造成的损失和相关费用由乙方负责，甲方保留终止合同及索赔的权利。</w:t>
      </w:r>
    </w:p>
    <w:p w14:paraId="6DE5B65C">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3.3 乙方应保证通过执行合同中全部方案后，可以取得本合同</w:t>
      </w:r>
      <w:r>
        <w:rPr>
          <w:rFonts w:hint="default" w:ascii="Times New Roman" w:hAnsi="Times New Roman" w:cs="Times New Roman"/>
          <w:color w:val="auto"/>
          <w:sz w:val="21"/>
          <w:szCs w:val="21"/>
          <w:highlight w:val="none"/>
          <w:lang w:eastAsia="zh-CN"/>
        </w:rPr>
        <w:t>约定</w:t>
      </w:r>
      <w:r>
        <w:rPr>
          <w:rFonts w:hint="default" w:ascii="Times New Roman" w:hAnsi="Times New Roman" w:cs="Times New Roman"/>
          <w:color w:val="auto"/>
          <w:sz w:val="21"/>
          <w:szCs w:val="21"/>
          <w:highlight w:val="none"/>
        </w:rPr>
        <w:t>的结果，达到本合同</w:t>
      </w:r>
      <w:r>
        <w:rPr>
          <w:rFonts w:hint="default" w:ascii="Times New Roman" w:hAnsi="Times New Roman" w:cs="Times New Roman"/>
          <w:color w:val="auto"/>
          <w:sz w:val="21"/>
          <w:szCs w:val="21"/>
          <w:highlight w:val="none"/>
          <w:lang w:eastAsia="zh-CN"/>
        </w:rPr>
        <w:t>约定</w:t>
      </w:r>
      <w:r>
        <w:rPr>
          <w:rFonts w:hint="default" w:ascii="Times New Roman" w:hAnsi="Times New Roman" w:cs="Times New Roman"/>
          <w:color w:val="auto"/>
          <w:sz w:val="21"/>
          <w:szCs w:val="21"/>
          <w:highlight w:val="none"/>
        </w:rPr>
        <w:t>的预期目标。对任何情况下出现的问题，应尽快提出解决方案。</w:t>
      </w:r>
    </w:p>
    <w:p w14:paraId="7EA30015">
      <w:pPr>
        <w:keepNext w:val="0"/>
        <w:keepLines w:val="0"/>
        <w:pageBreakBefore w:val="0"/>
        <w:widowControl w:val="0"/>
        <w:tabs>
          <w:tab w:val="left" w:pos="0"/>
          <w:tab w:val="left" w:pos="54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3.4 如果乙方提供的服务和解决方案不符合甲方要求，或在规定的时间内没有弥补缺陷，甲方有权采取一切必要的补救措施，由此产生的费用全部由乙方负责。</w:t>
      </w:r>
    </w:p>
    <w:p w14:paraId="462B3188">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3.5 除合同条款另行规定外，伴随服务的费用应含在合同价中，不单独进行支付。</w:t>
      </w:r>
    </w:p>
    <w:p w14:paraId="4222ECC1">
      <w:pPr>
        <w:keepNext w:val="0"/>
        <w:keepLines w:val="0"/>
        <w:pageBreakBefore w:val="0"/>
        <w:widowControl w:val="0"/>
        <w:tabs>
          <w:tab w:val="left" w:pos="0"/>
          <w:tab w:val="left" w:pos="540"/>
        </w:tabs>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4. 知识产权</w:t>
      </w:r>
    </w:p>
    <w:p w14:paraId="78236537">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4.1 乙方应保证所提供</w:t>
      </w:r>
      <w:r>
        <w:rPr>
          <w:rFonts w:hint="default" w:ascii="Times New Roman" w:hAnsi="Times New Roman" w:cs="Times New Roman"/>
          <w:color w:val="auto"/>
          <w:sz w:val="21"/>
          <w:szCs w:val="21"/>
          <w:highlight w:val="none"/>
          <w:lang w:eastAsia="zh-CN"/>
        </w:rPr>
        <w:t>的</w:t>
      </w:r>
      <w:r>
        <w:rPr>
          <w:rFonts w:hint="default" w:ascii="Times New Roman" w:hAnsi="Times New Roman" w:cs="Times New Roman"/>
          <w:color w:val="auto"/>
          <w:sz w:val="21"/>
          <w:szCs w:val="21"/>
          <w:highlight w:val="none"/>
        </w:rPr>
        <w:t>服务免受第三方提出侵犯其知识产权（专利权、商标权、</w:t>
      </w:r>
      <w:r>
        <w:rPr>
          <w:rFonts w:hint="default" w:ascii="Times New Roman" w:hAnsi="Times New Roman" w:cs="Times New Roman"/>
          <w:color w:val="auto"/>
          <w:sz w:val="21"/>
          <w:szCs w:val="21"/>
          <w:highlight w:val="none"/>
          <w:lang w:eastAsia="zh-CN"/>
        </w:rPr>
        <w:t>软件著作权、</w:t>
      </w:r>
      <w:r>
        <w:rPr>
          <w:rFonts w:hint="default" w:ascii="Times New Roman" w:hAnsi="Times New Roman" w:cs="Times New Roman"/>
          <w:color w:val="auto"/>
          <w:sz w:val="21"/>
          <w:szCs w:val="21"/>
          <w:highlight w:val="none"/>
        </w:rPr>
        <w:t>版权等）的起诉。</w:t>
      </w:r>
    </w:p>
    <w:p w14:paraId="52EBE839">
      <w:pPr>
        <w:keepNext w:val="0"/>
        <w:keepLines w:val="0"/>
        <w:pageBreakBefore w:val="0"/>
        <w:widowControl w:val="0"/>
        <w:tabs>
          <w:tab w:val="left" w:pos="0"/>
          <w:tab w:val="left" w:pos="540"/>
        </w:tabs>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4.2 甲方对项目实施过程中所产生的所有成果（包括发明、发现、可运行系统、源代码及相关技术资料、文档等）享有永久使用权、复制权和修改权，其专利申请权、专利权、软件著作权、技术秘密的所有权、使用权、转让权等知识产权归甲方所有。</w:t>
      </w:r>
    </w:p>
    <w:p w14:paraId="73B98FBD">
      <w:pPr>
        <w:keepNext w:val="0"/>
        <w:keepLines w:val="0"/>
        <w:pageBreakBefore w:val="0"/>
        <w:widowControl w:val="0"/>
        <w:tabs>
          <w:tab w:val="left" w:pos="0"/>
          <w:tab w:val="left" w:pos="540"/>
        </w:tabs>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4.3 乙方不得利用本项目实施过程中所产生的成果（包括发明、发现、可运行系统、源代码及相关技术资料、文档等），另行自行开发本合同业务范围内供纳税人</w:t>
      </w:r>
      <w:r>
        <w:rPr>
          <w:rFonts w:hint="default" w:ascii="Times New Roman" w:hAnsi="Times New Roman" w:cs="Times New Roman"/>
          <w:color w:val="auto"/>
          <w:sz w:val="21"/>
          <w:szCs w:val="21"/>
          <w:highlight w:val="none"/>
          <w:lang w:eastAsia="zh-CN"/>
        </w:rPr>
        <w:t>缴费人</w:t>
      </w:r>
      <w:r>
        <w:rPr>
          <w:rFonts w:hint="default" w:ascii="Times New Roman" w:hAnsi="Times New Roman" w:cs="Times New Roman"/>
          <w:color w:val="auto"/>
          <w:sz w:val="21"/>
          <w:szCs w:val="21"/>
          <w:highlight w:val="none"/>
        </w:rPr>
        <w:t>使用的软件或产品，不得利用开发便利变相收费或搭车收费。</w:t>
      </w:r>
    </w:p>
    <w:p w14:paraId="0A11A7A2">
      <w:pPr>
        <w:keepNext w:val="0"/>
        <w:keepLines w:val="0"/>
        <w:pageBreakBefore w:val="0"/>
        <w:widowControl w:val="0"/>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5. 保密条款</w:t>
      </w:r>
    </w:p>
    <w:p w14:paraId="22BA7200">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5.1 甲乙双方应对在本合同签订或履行过程中所接触的对方信息，包括但不限于知识产权、技术资料、技术诀窍、内部管理及其他相关信息，负有保密义务。</w:t>
      </w:r>
    </w:p>
    <w:p w14:paraId="3ECF4794">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14:paraId="3DDB84F0">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 应以审慎态度避免泄漏、公开或传播甲方的信息；</w:t>
      </w:r>
    </w:p>
    <w:p w14:paraId="582965E3">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 在开发过程中对数据的处理方式应事先得到甲方的许可；</w:t>
      </w:r>
    </w:p>
    <w:p w14:paraId="6DA60ABE">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 未经甲方书面许可，不得对有关信息进行修改、补充、复制；</w:t>
      </w:r>
    </w:p>
    <w:p w14:paraId="7C857991">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 未经甲方书面许可，不得将信息以任何方式（如E-mail）携带出甲方场所；</w:t>
      </w:r>
    </w:p>
    <w:p w14:paraId="0E8CF60A">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（5） 未经甲方书面许可，不得将信息透露给任何其他人； </w:t>
      </w:r>
    </w:p>
    <w:p w14:paraId="782EEF62">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 严禁在提交的软件</w:t>
      </w:r>
      <w:r>
        <w:rPr>
          <w:rFonts w:hint="default" w:ascii="Times New Roman" w:hAnsi="Times New Roman" w:cs="Times New Roman"/>
          <w:color w:val="auto"/>
          <w:sz w:val="21"/>
          <w:szCs w:val="21"/>
          <w:highlight w:val="none"/>
          <w:lang w:eastAsia="zh-CN"/>
        </w:rPr>
        <w:t>产品</w:t>
      </w:r>
      <w:r>
        <w:rPr>
          <w:rFonts w:hint="default" w:ascii="Times New Roman" w:hAnsi="Times New Roman" w:cs="Times New Roman"/>
          <w:color w:val="auto"/>
          <w:sz w:val="21"/>
          <w:szCs w:val="21"/>
          <w:highlight w:val="none"/>
        </w:rPr>
        <w:t>中设置远程维护接口和后门程序；</w:t>
      </w:r>
    </w:p>
    <w:p w14:paraId="6FB9E817">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 不得进行系统软硬件设备的远程维护；</w:t>
      </w:r>
    </w:p>
    <w:p w14:paraId="4BA339CC">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 甲方以书面形式提出的其他保密措施。</w:t>
      </w:r>
    </w:p>
    <w:p w14:paraId="627C3342">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5.3 保密期限不受合同有效期的限制，在合同有效期结束后，信息接受方仍应承担保密义务，直至该等信息成为公开信息。</w:t>
      </w:r>
    </w:p>
    <w:p w14:paraId="52B5C0D9">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5.4 甲乙双方如出现泄密行为，泄密方应承担相关的法律责任，包括但是不限于对由此给对方造成的经济损失进行赔偿。</w:t>
      </w:r>
    </w:p>
    <w:p w14:paraId="68C4E7C3">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6</w:t>
      </w:r>
      <w:r>
        <w:rPr>
          <w:rFonts w:hint="default" w:ascii="Times New Roman" w:hAnsi="Times New Roman" w:cs="Times New Roman"/>
          <w:b/>
          <w:color w:val="auto"/>
          <w:sz w:val="21"/>
          <w:szCs w:val="21"/>
          <w:highlight w:val="none"/>
        </w:rPr>
        <w:t xml:space="preserve">. </w:t>
      </w:r>
      <w:r>
        <w:rPr>
          <w:rFonts w:hint="default" w:ascii="Times New Roman" w:hAnsi="Times New Roman" w:cs="Times New Roman"/>
          <w:b/>
          <w:color w:val="auto"/>
          <w:sz w:val="21"/>
          <w:szCs w:val="21"/>
          <w:highlight w:val="none"/>
          <w:lang w:eastAsia="zh-CN"/>
        </w:rPr>
        <w:t>履约</w:t>
      </w:r>
      <w:r>
        <w:rPr>
          <w:rFonts w:hint="default" w:ascii="Times New Roman" w:hAnsi="Times New Roman" w:cs="Times New Roman"/>
          <w:b/>
          <w:color w:val="auto"/>
          <w:sz w:val="21"/>
          <w:szCs w:val="21"/>
          <w:highlight w:val="none"/>
        </w:rPr>
        <w:t>验收要求</w:t>
      </w:r>
    </w:p>
    <w:p w14:paraId="5A885C9D">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rPr>
        <w:t>.1 甲方</w:t>
      </w:r>
      <w:r>
        <w:rPr>
          <w:rFonts w:hint="default" w:ascii="Times New Roman" w:hAnsi="Times New Roman" w:cs="Times New Roman"/>
          <w:color w:val="auto"/>
          <w:sz w:val="21"/>
          <w:szCs w:val="21"/>
          <w:highlight w:val="none"/>
          <w:lang w:eastAsia="zh-CN"/>
        </w:rPr>
        <w:t>需求部门</w:t>
      </w:r>
      <w:r>
        <w:rPr>
          <w:rFonts w:hint="default" w:ascii="Times New Roman" w:hAnsi="Times New Roman" w:cs="Times New Roman"/>
          <w:color w:val="auto"/>
          <w:sz w:val="21"/>
          <w:szCs w:val="21"/>
          <w:highlight w:val="none"/>
        </w:rPr>
        <w:t>严格按照采购合同开展履约验收。验收时,</w:t>
      </w:r>
      <w:r>
        <w:rPr>
          <w:rFonts w:hint="default" w:ascii="Times New Roman" w:hAnsi="Times New Roman" w:cs="Times New Roman"/>
          <w:color w:val="auto"/>
          <w:sz w:val="21"/>
          <w:szCs w:val="21"/>
          <w:highlight w:val="none"/>
          <w:lang w:eastAsia="zh-CN"/>
        </w:rPr>
        <w:t>应当按照本合同约定的技术、服务和安全标准，对供应商各项义务履行情况进行验收确认。未约定相关标准的，应当按照国家强制性规定、政策要求、安全标准和行业有关标准进行验收确认。</w:t>
      </w:r>
      <w:r>
        <w:rPr>
          <w:rFonts w:hint="default" w:ascii="Times New Roman" w:hAnsi="Times New Roman" w:cs="Times New Roman"/>
          <w:color w:val="auto"/>
          <w:sz w:val="21"/>
          <w:szCs w:val="21"/>
          <w:highlight w:val="none"/>
        </w:rPr>
        <w:t>验收结束后</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应当出具验收意见，列明合同事项、验收标准及验收情况</w:t>
      </w:r>
      <w:r>
        <w:rPr>
          <w:rFonts w:hint="default" w:ascii="Times New Roman" w:hAnsi="Times New Roman" w:cs="Times New Roman"/>
          <w:color w:val="auto"/>
          <w:sz w:val="21"/>
          <w:szCs w:val="21"/>
          <w:highlight w:val="none"/>
          <w:lang w:eastAsia="zh-CN"/>
        </w:rPr>
        <w:t>，由全体验收人员签字</w:t>
      </w:r>
      <w:r>
        <w:rPr>
          <w:rFonts w:hint="default" w:ascii="Times New Roman" w:hAnsi="Times New Roman" w:cs="Times New Roman"/>
          <w:color w:val="auto"/>
          <w:sz w:val="21"/>
          <w:szCs w:val="21"/>
          <w:highlight w:val="none"/>
        </w:rPr>
        <w:t>。</w:t>
      </w:r>
    </w:p>
    <w:p w14:paraId="4A9B469E">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rPr>
        <w:t>.2具体</w:t>
      </w:r>
      <w:r>
        <w:rPr>
          <w:rFonts w:hint="default" w:ascii="Times New Roman" w:hAnsi="Times New Roman" w:cs="Times New Roman"/>
          <w:color w:val="auto"/>
          <w:sz w:val="21"/>
          <w:szCs w:val="21"/>
          <w:highlight w:val="none"/>
          <w:lang w:eastAsia="zh-CN"/>
        </w:rPr>
        <w:t>履约</w:t>
      </w:r>
      <w:r>
        <w:rPr>
          <w:rFonts w:hint="default" w:ascii="Times New Roman" w:hAnsi="Times New Roman" w:cs="Times New Roman"/>
          <w:color w:val="auto"/>
          <w:sz w:val="21"/>
          <w:szCs w:val="21"/>
          <w:highlight w:val="none"/>
        </w:rPr>
        <w:t>验收要求详见</w:t>
      </w:r>
      <w:r>
        <w:rPr>
          <w:rFonts w:hint="default" w:ascii="Times New Roman" w:hAnsi="Times New Roman" w:cs="Times New Roman"/>
          <w:color w:val="auto"/>
          <w:sz w:val="21"/>
          <w:szCs w:val="21"/>
          <w:highlight w:val="none"/>
          <w:lang w:eastAsia="zh-CN"/>
        </w:rPr>
        <w:t>招标（</w:t>
      </w:r>
      <w:r>
        <w:rPr>
          <w:rFonts w:hint="default" w:ascii="Times New Roman" w:hAnsi="Times New Roman" w:cs="Times New Roman"/>
          <w:color w:val="auto"/>
          <w:sz w:val="21"/>
          <w:szCs w:val="21"/>
          <w:highlight w:val="none"/>
        </w:rPr>
        <w:t>采购</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文件。</w:t>
      </w:r>
    </w:p>
    <w:p w14:paraId="0C4AD616">
      <w:pPr>
        <w:keepNext w:val="0"/>
        <w:keepLines w:val="0"/>
        <w:pageBreakBefore w:val="0"/>
        <w:widowControl w:val="0"/>
        <w:tabs>
          <w:tab w:val="left" w:pos="0"/>
          <w:tab w:val="left" w:pos="540"/>
        </w:tabs>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7</w:t>
      </w:r>
      <w:r>
        <w:rPr>
          <w:rFonts w:hint="default" w:ascii="Times New Roman" w:hAnsi="Times New Roman" w:cs="Times New Roman"/>
          <w:b/>
          <w:color w:val="auto"/>
          <w:sz w:val="21"/>
          <w:szCs w:val="21"/>
          <w:highlight w:val="none"/>
        </w:rPr>
        <w:t>. 履约保证金</w:t>
      </w:r>
    </w:p>
    <w:p w14:paraId="38DD6C98">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rPr>
        <w:t>.1 需提交履约保证金的项目，乙方应按照“合同条款前附表”第 1</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rPr>
        <w:t xml:space="preserve"> 项“履约保证金及返还”提交履约保证金。</w:t>
      </w:r>
    </w:p>
    <w:p w14:paraId="749F6FB4">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rPr>
        <w:t>.2 履约保证金的金额</w:t>
      </w:r>
      <w:r>
        <w:rPr>
          <w:rFonts w:hint="default" w:ascii="Times New Roman" w:hAnsi="Times New Roman" w:cs="Times New Roman"/>
          <w:color w:val="auto"/>
          <w:sz w:val="21"/>
          <w:szCs w:val="21"/>
          <w:highlight w:val="none"/>
          <w:lang w:eastAsia="zh-CN"/>
        </w:rPr>
        <w:t>可用于</w:t>
      </w:r>
      <w:r>
        <w:rPr>
          <w:rFonts w:hint="default" w:ascii="Times New Roman" w:hAnsi="Times New Roman" w:cs="Times New Roman"/>
          <w:color w:val="auto"/>
          <w:sz w:val="21"/>
          <w:szCs w:val="21"/>
          <w:highlight w:val="none"/>
        </w:rPr>
        <w:t>补偿甲方因乙方不能完成其合同义务而蒙受的损失。</w:t>
      </w:r>
    </w:p>
    <w:p w14:paraId="2551DC6D">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14:paraId="04E7F267">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rPr>
        <w:t>.4 乙方不履行合同、或者履行合同义务不符合约定使得合同目的不能实现，履约保证金不予退还，给甲方造成的损失超过履约保证金数额的，还应当对超过部分予以赔偿。</w:t>
      </w:r>
    </w:p>
    <w:p w14:paraId="2D2BB576">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rPr>
        <w:t>.5 履约保证金在合同履行期满后，扣除相应款项（如有）且双方无争议后，凭返还申请等资料一次性无息返还，详见“合同条款前附表”第</w:t>
      </w:r>
      <w:r>
        <w:rPr>
          <w:rFonts w:hint="default" w:ascii="Times New Roman" w:hAnsi="Times New Roman" w:cs="Times New Roman"/>
          <w:color w:val="auto"/>
          <w:sz w:val="21"/>
          <w:szCs w:val="21"/>
          <w:highlight w:val="none"/>
          <w:lang w:val="en-US" w:eastAsia="zh-CN"/>
        </w:rPr>
        <w:t>10</w:t>
      </w:r>
      <w:r>
        <w:rPr>
          <w:rFonts w:hint="default" w:ascii="Times New Roman" w:hAnsi="Times New Roman" w:cs="Times New Roman"/>
          <w:color w:val="auto"/>
          <w:sz w:val="21"/>
          <w:szCs w:val="21"/>
          <w:highlight w:val="none"/>
        </w:rPr>
        <w:t>项“履约保证金及返还”。</w:t>
      </w:r>
    </w:p>
    <w:p w14:paraId="20612A06">
      <w:pPr>
        <w:keepNext w:val="0"/>
        <w:keepLines w:val="0"/>
        <w:pageBreakBefore w:val="0"/>
        <w:widowControl w:val="0"/>
        <w:tabs>
          <w:tab w:val="left" w:pos="0"/>
          <w:tab w:val="left" w:pos="540"/>
        </w:tabs>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8</w:t>
      </w:r>
      <w:r>
        <w:rPr>
          <w:rFonts w:hint="default" w:ascii="Times New Roman" w:hAnsi="Times New Roman" w:cs="Times New Roman"/>
          <w:b/>
          <w:color w:val="auto"/>
          <w:sz w:val="21"/>
          <w:szCs w:val="21"/>
          <w:highlight w:val="none"/>
        </w:rPr>
        <w:t>．履约延误</w:t>
      </w:r>
    </w:p>
    <w:p w14:paraId="5584A5AF">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rPr>
        <w:t>.1 乙方应按照本合同的规定提供服务。</w:t>
      </w:r>
    </w:p>
    <w:p w14:paraId="3961C3E6">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rPr>
        <w:t>.2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14:paraId="4B3AAFD6">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rPr>
        <w:t>.3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赔偿费。</w:t>
      </w:r>
    </w:p>
    <w:p w14:paraId="4055918D">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rPr>
        <w:t>.4 除不可抗力和根据合同规定延期取得甲方同意而不收取误期赔偿费之外，乙方延误工期，将按合同规定被收取误期赔偿费。</w:t>
      </w:r>
    </w:p>
    <w:p w14:paraId="24996E8A">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rPr>
        <w:t>.5 逾期退还履约保证金的违约责任。满足履约保证金返还条件的，甲方在收到返还相关信息等合同约定资料后，进行核实。对核实结果无异议的，应当自完成核实之日起30日内返还履约保证金。无特殊原因逾期退还履约保证金</w:t>
      </w:r>
      <w:r>
        <w:rPr>
          <w:rFonts w:hint="default" w:ascii="Times New Roman" w:hAnsi="Times New Roman" w:cs="Times New Roman"/>
          <w:color w:val="auto"/>
          <w:sz w:val="21"/>
          <w:szCs w:val="21"/>
          <w:highlight w:val="none"/>
          <w:lang w:eastAsia="zh-CN"/>
        </w:rPr>
        <w:t>的</w:t>
      </w:r>
      <w:r>
        <w:rPr>
          <w:rFonts w:hint="default" w:ascii="Times New Roman" w:hAnsi="Times New Roman" w:cs="Times New Roman"/>
          <w:color w:val="auto"/>
          <w:sz w:val="21"/>
          <w:szCs w:val="21"/>
          <w:highlight w:val="none"/>
        </w:rPr>
        <w:t>，乙方可要求</w:t>
      </w:r>
      <w:r>
        <w:rPr>
          <w:rFonts w:hint="default" w:ascii="Times New Roman" w:hAnsi="Times New Roman" w:cs="Times New Roman"/>
          <w:color w:val="auto"/>
          <w:sz w:val="21"/>
          <w:szCs w:val="21"/>
          <w:highlight w:val="none"/>
          <w:lang w:eastAsia="zh-CN"/>
        </w:rPr>
        <w:t>甲方按</w:t>
      </w:r>
      <w:r>
        <w:rPr>
          <w:rFonts w:hint="default" w:ascii="Times New Roman" w:hAnsi="Times New Roman" w:cs="Times New Roman"/>
          <w:color w:val="auto"/>
          <w:sz w:val="21"/>
          <w:szCs w:val="21"/>
          <w:highlight w:val="none"/>
        </w:rPr>
        <w:t>银行</w:t>
      </w:r>
      <w:r>
        <w:rPr>
          <w:rFonts w:hint="default" w:ascii="Times New Roman" w:hAnsi="Times New Roman" w:cs="Times New Roman"/>
          <w:color w:val="auto"/>
          <w:sz w:val="21"/>
          <w:szCs w:val="21"/>
          <w:highlight w:val="none"/>
          <w:lang w:eastAsia="zh-CN"/>
        </w:rPr>
        <w:t>同期</w:t>
      </w:r>
      <w:r>
        <w:rPr>
          <w:rFonts w:hint="default" w:ascii="Times New Roman" w:hAnsi="Times New Roman" w:cs="Times New Roman"/>
          <w:color w:val="auto"/>
          <w:sz w:val="21"/>
          <w:szCs w:val="21"/>
          <w:highlight w:val="none"/>
        </w:rPr>
        <w:t>活期存款</w:t>
      </w:r>
      <w:r>
        <w:rPr>
          <w:rFonts w:hint="default" w:ascii="Times New Roman" w:hAnsi="Times New Roman" w:cs="Times New Roman"/>
          <w:color w:val="auto"/>
          <w:sz w:val="21"/>
          <w:szCs w:val="21"/>
          <w:highlight w:val="none"/>
          <w:lang w:eastAsia="zh-CN"/>
        </w:rPr>
        <w:t>利率支付逾期利息</w:t>
      </w:r>
      <w:r>
        <w:rPr>
          <w:rFonts w:hint="default" w:ascii="Times New Roman" w:hAnsi="Times New Roman" w:cs="Times New Roman"/>
          <w:color w:val="auto"/>
          <w:sz w:val="21"/>
          <w:szCs w:val="21"/>
          <w:highlight w:val="none"/>
        </w:rPr>
        <w:t>。特殊原因逾期返还的，双方协商解决。</w:t>
      </w:r>
    </w:p>
    <w:p w14:paraId="00A654BC">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9</w:t>
      </w:r>
      <w:r>
        <w:rPr>
          <w:rFonts w:hint="default" w:ascii="Times New Roman" w:hAnsi="Times New Roman" w:cs="Times New Roman"/>
          <w:b/>
          <w:color w:val="auto"/>
          <w:sz w:val="21"/>
          <w:szCs w:val="21"/>
          <w:highlight w:val="none"/>
        </w:rPr>
        <w:t>. 违约责任</w:t>
      </w:r>
    </w:p>
    <w:p w14:paraId="757AB993">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9</w:t>
      </w:r>
      <w:r>
        <w:rPr>
          <w:rFonts w:hint="default" w:ascii="Times New Roman" w:hAnsi="Times New Roman" w:cs="Times New Roman"/>
          <w:color w:val="auto"/>
          <w:sz w:val="21"/>
          <w:szCs w:val="21"/>
          <w:highlight w:val="none"/>
        </w:rPr>
        <w:t>.1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14:paraId="2591E9F3">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9</w:t>
      </w:r>
      <w:r>
        <w:rPr>
          <w:rFonts w:hint="default" w:ascii="Times New Roman" w:hAnsi="Times New Roman" w:cs="Times New Roman"/>
          <w:color w:val="auto"/>
          <w:sz w:val="21"/>
          <w:szCs w:val="21"/>
          <w:highlight w:val="none"/>
        </w:rPr>
        <w:t>.2 乙方没有按照时限要求提供服务，且在甲方指定的延长期限内没有采取补救措施，甲方有权自行采取其他方式进行补救，乙方除按合同第</w:t>
      </w:r>
      <w:r>
        <w:rPr>
          <w:rFonts w:hint="default"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rPr>
        <w:t>条约定向甲方支付误期违约金外，另外甲方所发生的一切费用和甲方损失，甲方有权从应付的乙方的合同款项中扣除，不足扣除的乙方应另行支付。</w:t>
      </w:r>
    </w:p>
    <w:p w14:paraId="059C9220">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9</w:t>
      </w:r>
      <w:r>
        <w:rPr>
          <w:rFonts w:hint="default" w:ascii="Times New Roman" w:hAnsi="Times New Roman" w:cs="Times New Roman"/>
          <w:color w:val="auto"/>
          <w:sz w:val="21"/>
          <w:szCs w:val="21"/>
          <w:highlight w:val="none"/>
        </w:rPr>
        <w:t>.3 除应支付甲方违约金等外，甲方有权根据合同或有关部门出具的检验证书向乙方提出索赔。</w:t>
      </w:r>
    </w:p>
    <w:p w14:paraId="7CD948BA">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9</w:t>
      </w:r>
      <w:r>
        <w:rPr>
          <w:rFonts w:hint="default" w:ascii="Times New Roman" w:hAnsi="Times New Roman" w:cs="Times New Roman"/>
          <w:color w:val="auto"/>
          <w:sz w:val="21"/>
          <w:szCs w:val="21"/>
          <w:highlight w:val="none"/>
        </w:rPr>
        <w:t>.4 如果乙方对差异负有责任而甲方提出索赔，乙方同意按照下列方式解决索赔事宜：</w:t>
      </w:r>
    </w:p>
    <w:p w14:paraId="579C3EA8">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如果在甲方发出索赔通知后5个工作日内，乙方未作书面答复，上述索赔应视为已被乙方接受。如乙方未能在甲方发出索赔通知后5个工作日内或甲方同意的延长期限内着手解决索赔事宜，甲方有权从乙方的合同款项中扣除索赔金额。</w:t>
      </w:r>
    </w:p>
    <w:p w14:paraId="43DA7D14">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9</w:t>
      </w:r>
      <w:r>
        <w:rPr>
          <w:rFonts w:hint="default" w:ascii="Times New Roman" w:hAnsi="Times New Roman" w:cs="Times New Roman"/>
          <w:color w:val="auto"/>
          <w:sz w:val="21"/>
          <w:szCs w:val="21"/>
          <w:highlight w:val="none"/>
        </w:rPr>
        <w:t>.5 乙方利用本项目实施过程中所产生的成果（包括发明、发现、可运行系统、源代码及相关技术资料、文档等），另行自行开发本合同业务范围内供纳税人</w:t>
      </w:r>
      <w:r>
        <w:rPr>
          <w:rFonts w:hint="default" w:ascii="Times New Roman" w:hAnsi="Times New Roman" w:cs="Times New Roman"/>
          <w:color w:val="auto"/>
          <w:sz w:val="21"/>
          <w:szCs w:val="21"/>
          <w:highlight w:val="none"/>
          <w:lang w:eastAsia="zh-CN"/>
        </w:rPr>
        <w:t>缴费人</w:t>
      </w:r>
      <w:r>
        <w:rPr>
          <w:rFonts w:hint="default" w:ascii="Times New Roman" w:hAnsi="Times New Roman" w:cs="Times New Roman"/>
          <w:color w:val="auto"/>
          <w:sz w:val="21"/>
          <w:szCs w:val="21"/>
          <w:highlight w:val="none"/>
        </w:rPr>
        <w:t>使用的软件或产品，或利用</w:t>
      </w:r>
      <w:r>
        <w:rPr>
          <w:rFonts w:hint="default" w:ascii="Times New Roman" w:hAnsi="Times New Roman" w:cs="Times New Roman"/>
          <w:color w:val="auto"/>
          <w:sz w:val="21"/>
          <w:szCs w:val="21"/>
          <w:highlight w:val="none"/>
          <w:lang w:eastAsia="zh-CN"/>
        </w:rPr>
        <w:t>为税务机关提供信息化服务的</w:t>
      </w:r>
      <w:r>
        <w:rPr>
          <w:rFonts w:hint="default" w:ascii="Times New Roman" w:hAnsi="Times New Roman" w:cs="Times New Roman"/>
          <w:color w:val="auto"/>
          <w:sz w:val="21"/>
          <w:szCs w:val="21"/>
          <w:highlight w:val="none"/>
        </w:rPr>
        <w:t>便利</w:t>
      </w:r>
      <w:r>
        <w:rPr>
          <w:rFonts w:hint="default" w:ascii="Times New Roman" w:hAnsi="Times New Roman" w:cs="Times New Roman"/>
          <w:color w:val="auto"/>
          <w:sz w:val="21"/>
          <w:szCs w:val="21"/>
          <w:highlight w:val="none"/>
          <w:lang w:eastAsia="zh-CN"/>
        </w:rPr>
        <w:t>，向纳税人缴费人</w:t>
      </w:r>
      <w:r>
        <w:rPr>
          <w:rFonts w:hint="default" w:ascii="Times New Roman" w:hAnsi="Times New Roman" w:cs="Times New Roman"/>
          <w:color w:val="auto"/>
          <w:sz w:val="21"/>
          <w:szCs w:val="21"/>
          <w:highlight w:val="none"/>
        </w:rPr>
        <w:t>搭车收费或变相收费的，</w:t>
      </w:r>
      <w:r>
        <w:rPr>
          <w:rFonts w:hint="default" w:ascii="Times New Roman" w:hAnsi="Times New Roman" w:cs="Times New Roman"/>
          <w:color w:val="auto"/>
          <w:sz w:val="21"/>
          <w:szCs w:val="21"/>
          <w:highlight w:val="none"/>
          <w:lang w:eastAsia="zh-CN"/>
        </w:rPr>
        <w:t>或有其他失信行为的，</w:t>
      </w:r>
      <w:r>
        <w:rPr>
          <w:rFonts w:hint="default" w:ascii="Times New Roman" w:hAnsi="Times New Roman" w:cs="Times New Roman"/>
          <w:color w:val="auto"/>
          <w:sz w:val="21"/>
          <w:szCs w:val="21"/>
          <w:highlight w:val="none"/>
        </w:rPr>
        <w:t>纳入国家税务总局失信名单。</w:t>
      </w:r>
    </w:p>
    <w:p w14:paraId="5F5B658F">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对于影响恶劣的严重违法失信行为，推送财政部纳入政府采购严重违法失信行为记录名单。</w:t>
      </w:r>
    </w:p>
    <w:p w14:paraId="4790F28C">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9.6 如果乙方在本项目实施过程中发生违反网络安全规定行为造成不良后果的，自甲方做出认定之日起三年内，税务系统各单位可以拒绝乙方参与税务系统政府采购活动。</w:t>
      </w:r>
    </w:p>
    <w:p w14:paraId="7EC3BB6F">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不良后果指造成数据失窃或丢失、敏感信息泄露、主要业务系统瘫痪等网络安全事件。</w:t>
      </w:r>
    </w:p>
    <w:p w14:paraId="18758A6A">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9</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rPr>
        <w:t xml:space="preserve"> 对于本协议未约定的、招标（采购）文件（技术部分）中约定的违约处理条款，按招标（采购）文件（技术部分）相关约定执行；对本协议与招标（采购）文件（技术部分）约定不同的违约处理条款，以本协议约定为准。</w:t>
      </w:r>
    </w:p>
    <w:p w14:paraId="5671ACA7">
      <w:pPr>
        <w:keepNext w:val="0"/>
        <w:keepLines w:val="0"/>
        <w:pageBreakBefore w:val="0"/>
        <w:widowControl w:val="0"/>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10</w:t>
      </w:r>
      <w:r>
        <w:rPr>
          <w:rFonts w:hint="default" w:ascii="Times New Roman" w:hAnsi="Times New Roman" w:cs="Times New Roman"/>
          <w:b/>
          <w:color w:val="auto"/>
          <w:sz w:val="21"/>
          <w:szCs w:val="21"/>
          <w:highlight w:val="none"/>
        </w:rPr>
        <w:t>. 不可抗力</w:t>
      </w:r>
    </w:p>
    <w:p w14:paraId="5E3E6DF5">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10</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 xml:space="preserve"> 本条所述的“不可抗力”系指双方不可预见、不可避免、不可克服的客观情况，但不包括双方的违约或疏忽。这些事件包括但不限于：战争、严重火灾、洪水、台风、地震等。</w:t>
      </w:r>
    </w:p>
    <w:p w14:paraId="67D436DF">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10</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 xml:space="preserve"> 如果乙方因不可抗力而导致合同实施延误或不能履行合同义务，不应承担误期赔偿或终止合同的责任。</w:t>
      </w:r>
    </w:p>
    <w:p w14:paraId="5201514F">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10</w:t>
      </w:r>
      <w:r>
        <w:rPr>
          <w:rFonts w:hint="default" w:ascii="Times New Roman" w:hAnsi="Times New Roman" w:cs="Times New Roman"/>
          <w:color w:val="auto"/>
          <w:sz w:val="21"/>
          <w:szCs w:val="21"/>
          <w:highlight w:val="none"/>
        </w:rPr>
        <w:t>.3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1D4C6AC9">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rPr>
        <w:t>.4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14:paraId="5F5E7E41">
      <w:pPr>
        <w:keepNext w:val="0"/>
        <w:keepLines w:val="0"/>
        <w:pageBreakBefore w:val="0"/>
        <w:widowControl w:val="0"/>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w:t>
      </w:r>
      <w:r>
        <w:rPr>
          <w:rFonts w:hint="default" w:ascii="Times New Roman" w:hAnsi="Times New Roman" w:cs="Times New Roman"/>
          <w:b/>
          <w:color w:val="auto"/>
          <w:sz w:val="21"/>
          <w:szCs w:val="21"/>
          <w:highlight w:val="none"/>
          <w:lang w:val="en-US" w:eastAsia="zh-CN"/>
        </w:rPr>
        <w:t>1</w:t>
      </w:r>
      <w:r>
        <w:rPr>
          <w:rFonts w:hint="default" w:ascii="Times New Roman" w:hAnsi="Times New Roman" w:cs="Times New Roman"/>
          <w:b/>
          <w:color w:val="auto"/>
          <w:sz w:val="21"/>
          <w:szCs w:val="21"/>
          <w:highlight w:val="none"/>
        </w:rPr>
        <w:t>. 争端的解决</w:t>
      </w:r>
    </w:p>
    <w:p w14:paraId="4D32AF16">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.1 甲乙双方应</w:t>
      </w:r>
      <w:r>
        <w:rPr>
          <w:rFonts w:hint="default" w:ascii="Times New Roman" w:hAnsi="Times New Roman" w:cs="Times New Roman"/>
          <w:color w:val="auto"/>
          <w:sz w:val="21"/>
          <w:szCs w:val="21"/>
          <w:highlight w:val="none"/>
          <w:lang w:eastAsia="zh-CN"/>
        </w:rPr>
        <w:t>首先</w:t>
      </w:r>
      <w:r>
        <w:rPr>
          <w:rFonts w:hint="default" w:ascii="Times New Roman" w:hAnsi="Times New Roman" w:cs="Times New Roman"/>
          <w:color w:val="auto"/>
          <w:sz w:val="21"/>
          <w:szCs w:val="21"/>
          <w:highlight w:val="none"/>
        </w:rPr>
        <w:t>通过友好协商解决在执行本合同中所发生的或与本合同有关的一切争端。如从协商开始</w:t>
      </w:r>
      <w:r>
        <w:rPr>
          <w:rFonts w:hint="default" w:ascii="Times New Roman" w:hAnsi="Times New Roman" w:cs="Times New Roman"/>
          <w:color w:val="auto"/>
          <w:sz w:val="21"/>
          <w:szCs w:val="21"/>
          <w:highlight w:val="none"/>
          <w:u w:val="single"/>
          <w:lang w:val="en-US" w:eastAsia="zh-CN"/>
        </w:rPr>
        <w:t xml:space="preserve">  </w:t>
      </w:r>
      <w:r>
        <w:rPr>
          <w:rFonts w:hint="eastAsia" w:ascii="Times New Roman" w:hAnsi="Times New Roman" w:cs="Times New Roman"/>
          <w:color w:val="auto"/>
          <w:sz w:val="21"/>
          <w:szCs w:val="21"/>
          <w:highlight w:val="none"/>
          <w:u w:val="single"/>
          <w:lang w:val="en-US" w:eastAsia="zh-CN"/>
        </w:rPr>
        <w:t>7</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天内仍不能解决，</w:t>
      </w:r>
      <w:r>
        <w:rPr>
          <w:rFonts w:hint="default" w:ascii="Times New Roman" w:hAnsi="Times New Roman" w:cs="Times New Roman"/>
          <w:color w:val="auto"/>
          <w:sz w:val="21"/>
          <w:szCs w:val="21"/>
          <w:highlight w:val="none"/>
          <w:lang w:eastAsia="zh-CN"/>
        </w:rPr>
        <w:t>可以按合同约定的方式提起仲裁或诉讼</w:t>
      </w:r>
      <w:r>
        <w:rPr>
          <w:rFonts w:hint="default" w:ascii="Times New Roman" w:hAnsi="Times New Roman" w:cs="Times New Roman"/>
          <w:color w:val="auto"/>
          <w:sz w:val="21"/>
          <w:szCs w:val="21"/>
          <w:highlight w:val="none"/>
        </w:rPr>
        <w:t>。</w:t>
      </w:r>
    </w:p>
    <w:p w14:paraId="65886CDE">
      <w:pPr>
        <w:keepNext w:val="0"/>
        <w:keepLines w:val="0"/>
        <w:pageBreakBefore w:val="0"/>
        <w:widowControl w:val="0"/>
        <w:kinsoku/>
        <w:wordWrap/>
        <w:overflowPunct/>
        <w:bidi w:val="0"/>
        <w:adjustRightInd/>
        <w:snapToGrid/>
        <w:spacing w:line="360" w:lineRule="auto"/>
        <w:ind w:left="239" w:leftChars="114" w:firstLine="210" w:firstLineChars="1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2.1</w:t>
      </w:r>
      <w:r>
        <w:rPr>
          <w:rFonts w:hint="default" w:ascii="Times New Roman" w:hAnsi="Times New Roman" w:cs="Times New Roman"/>
          <w:color w:val="auto"/>
          <w:sz w:val="21"/>
          <w:szCs w:val="21"/>
          <w:highlight w:val="none"/>
        </w:rPr>
        <w:t>仲裁应</w:t>
      </w:r>
      <w:r>
        <w:rPr>
          <w:rFonts w:hint="default" w:ascii="Times New Roman" w:hAnsi="Times New Roman" w:cs="Times New Roman"/>
          <w:color w:val="auto"/>
          <w:sz w:val="21"/>
          <w:szCs w:val="21"/>
          <w:highlight w:val="none"/>
          <w:lang w:eastAsia="zh-CN"/>
        </w:rPr>
        <w:t>向</w:t>
      </w:r>
      <w:r>
        <w:rPr>
          <w:rFonts w:hint="default" w:ascii="Times New Roman" w:hAnsi="Times New Roman" w:cs="Times New Roman"/>
          <w:color w:val="auto"/>
          <w:sz w:val="21"/>
          <w:szCs w:val="21"/>
          <w:highlight w:val="none"/>
        </w:rPr>
        <w:t>甲方所在地仲裁委员会申请仲裁。</w:t>
      </w:r>
    </w:p>
    <w:p w14:paraId="73EA1BBB">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11</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2.2</w:t>
      </w:r>
      <w:r>
        <w:rPr>
          <w:rFonts w:hint="default" w:ascii="Times New Roman" w:hAnsi="Times New Roman" w:cs="Times New Roman"/>
          <w:color w:val="auto"/>
          <w:sz w:val="21"/>
          <w:szCs w:val="21"/>
          <w:highlight w:val="none"/>
        </w:rPr>
        <w:t xml:space="preserve"> 仲裁裁决应为最终裁决，对双方均具有约束力。</w:t>
      </w:r>
    </w:p>
    <w:p w14:paraId="7C17871B">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2.3</w:t>
      </w:r>
      <w:r>
        <w:rPr>
          <w:rFonts w:hint="default" w:ascii="Times New Roman" w:hAnsi="Times New Roman" w:cs="Times New Roman"/>
          <w:color w:val="auto"/>
          <w:sz w:val="21"/>
          <w:szCs w:val="21"/>
          <w:highlight w:val="none"/>
        </w:rPr>
        <w:t xml:space="preserve"> 仲裁费除仲裁机关另有裁决外应由败诉方负担。</w:t>
      </w:r>
    </w:p>
    <w:p w14:paraId="3FAE2735">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2.4</w:t>
      </w:r>
      <w:r>
        <w:rPr>
          <w:rFonts w:hint="default" w:ascii="Times New Roman" w:hAnsi="Times New Roman" w:cs="Times New Roman"/>
          <w:color w:val="auto"/>
          <w:sz w:val="21"/>
          <w:szCs w:val="21"/>
          <w:highlight w:val="none"/>
        </w:rPr>
        <w:t>在仲裁期间，除正在进行仲裁部分外，本合同的其它部分应继续执行。</w:t>
      </w:r>
    </w:p>
    <w:p w14:paraId="05A4EC5F">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11.3.1诉讼应向甲方所在地人民法院提起诉讼。</w:t>
      </w:r>
    </w:p>
    <w:p w14:paraId="699D547A">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11.3.2诉讼费除人民法院另有判决外，应由败诉方负担。</w:t>
      </w:r>
    </w:p>
    <w:p w14:paraId="74E13A0F">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11.3.3在诉讼期间，除正在进行诉讼部分外，本</w:t>
      </w:r>
      <w:r>
        <w:rPr>
          <w:rFonts w:hint="default" w:ascii="Times New Roman" w:hAnsi="Times New Roman" w:cs="Times New Roman"/>
          <w:color w:val="auto"/>
          <w:sz w:val="21"/>
          <w:szCs w:val="21"/>
          <w:highlight w:val="none"/>
        </w:rPr>
        <w:t>合同的其它部分应继续执行。</w:t>
      </w:r>
    </w:p>
    <w:p w14:paraId="5770B1B1">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p>
    <w:p w14:paraId="6FB90A25">
      <w:pPr>
        <w:keepNext w:val="0"/>
        <w:keepLines w:val="0"/>
        <w:pageBreakBefore w:val="0"/>
        <w:widowControl w:val="0"/>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w:t>
      </w:r>
      <w:r>
        <w:rPr>
          <w:rFonts w:hint="default" w:ascii="Times New Roman" w:hAnsi="Times New Roman" w:cs="Times New Roman"/>
          <w:b/>
          <w:color w:val="auto"/>
          <w:sz w:val="21"/>
          <w:szCs w:val="21"/>
          <w:highlight w:val="none"/>
          <w:lang w:val="en-US" w:eastAsia="zh-CN"/>
        </w:rPr>
        <w:t>2</w:t>
      </w:r>
      <w:r>
        <w:rPr>
          <w:rFonts w:hint="default" w:ascii="Times New Roman" w:hAnsi="Times New Roman" w:cs="Times New Roman"/>
          <w:b/>
          <w:color w:val="auto"/>
          <w:sz w:val="21"/>
          <w:szCs w:val="21"/>
          <w:highlight w:val="none"/>
        </w:rPr>
        <w:t>. 违约终止合同</w:t>
      </w:r>
    </w:p>
    <w:p w14:paraId="3FFAF979">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14:paraId="5E466FCB">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 xml:space="preserve">12.1.1 </w:t>
      </w:r>
      <w:r>
        <w:rPr>
          <w:rFonts w:hint="default" w:ascii="Times New Roman" w:hAnsi="Times New Roman" w:cs="Times New Roman"/>
          <w:color w:val="auto"/>
          <w:sz w:val="21"/>
          <w:szCs w:val="21"/>
          <w:highlight w:val="none"/>
          <w:lang w:eastAsia="zh-CN"/>
        </w:rPr>
        <w:t>乙方不履行合同业务或者履行合同义务不符合合同约定；</w:t>
      </w:r>
    </w:p>
    <w:p w14:paraId="74ACC055">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 xml:space="preserve"> 如果乙方未能在合同规定的期限或甲方同意延长的期限内提供服务；</w:t>
      </w:r>
    </w:p>
    <w:p w14:paraId="2231B119">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 xml:space="preserve"> 因乙方人员自身技术能力、经验不足等问题造成甲方发生重大紧急故障，带来重大影响和损失的；</w:t>
      </w:r>
    </w:p>
    <w:p w14:paraId="77DB2376">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 xml:space="preserve"> 乙方对重大紧急故障没有及时响应，或不能在规定时间内解决处理故障、恢复正常运行的；</w:t>
      </w:r>
    </w:p>
    <w:p w14:paraId="445FA7E8">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 xml:space="preserve"> 不能满足本项目技术需求的管理要求和规范，且经多次整改无明显改进的</w:t>
      </w:r>
      <w:r>
        <w:rPr>
          <w:rFonts w:hint="default" w:ascii="Times New Roman" w:hAnsi="Times New Roman" w:cs="Times New Roman"/>
          <w:color w:val="auto"/>
          <w:sz w:val="21"/>
          <w:szCs w:val="21"/>
          <w:highlight w:val="none"/>
          <w:lang w:eastAsia="zh-CN"/>
        </w:rPr>
        <w:t>；</w:t>
      </w:r>
    </w:p>
    <w:p w14:paraId="04A88E97">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rPr>
        <w:t xml:space="preserve"> 在合同服务期内，同一个应用系统在升级完善、运行维护支持服务过程中，出现5次经甲乙双方确认的用户投诉的</w:t>
      </w:r>
      <w:r>
        <w:rPr>
          <w:rFonts w:hint="default" w:ascii="Times New Roman" w:hAnsi="Times New Roman" w:cs="Times New Roman"/>
          <w:color w:val="auto"/>
          <w:sz w:val="21"/>
          <w:szCs w:val="21"/>
          <w:highlight w:val="none"/>
          <w:lang w:eastAsia="zh-CN"/>
        </w:rPr>
        <w:t>；</w:t>
      </w:r>
    </w:p>
    <w:p w14:paraId="605AF71D">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 xml:space="preserve">12.1.7 </w:t>
      </w:r>
      <w:r>
        <w:rPr>
          <w:rFonts w:hint="default" w:ascii="Times New Roman" w:hAnsi="Times New Roman" w:cs="Times New Roman"/>
          <w:color w:val="auto"/>
          <w:sz w:val="21"/>
          <w:szCs w:val="21"/>
          <w:highlight w:val="none"/>
        </w:rPr>
        <w:t>乙方利用本项目实施过程中所产生的成果（包括发明、发现、可运行系统、源代码及相关技术资料、文档等），另行自行开发本合同业务范围内供纳税人</w:t>
      </w:r>
      <w:r>
        <w:rPr>
          <w:rFonts w:hint="default" w:ascii="Times New Roman" w:hAnsi="Times New Roman" w:cs="Times New Roman"/>
          <w:color w:val="auto"/>
          <w:sz w:val="21"/>
          <w:szCs w:val="21"/>
          <w:highlight w:val="none"/>
          <w:lang w:eastAsia="zh-CN"/>
        </w:rPr>
        <w:t>缴费人</w:t>
      </w:r>
      <w:r>
        <w:rPr>
          <w:rFonts w:hint="default" w:ascii="Times New Roman" w:hAnsi="Times New Roman" w:cs="Times New Roman"/>
          <w:color w:val="auto"/>
          <w:sz w:val="21"/>
          <w:szCs w:val="21"/>
          <w:highlight w:val="none"/>
        </w:rPr>
        <w:t>使用的软件或产品的，或利用</w:t>
      </w:r>
      <w:r>
        <w:rPr>
          <w:rFonts w:hint="default" w:ascii="Times New Roman" w:hAnsi="Times New Roman" w:cs="Times New Roman"/>
          <w:color w:val="auto"/>
          <w:sz w:val="21"/>
          <w:szCs w:val="21"/>
          <w:highlight w:val="none"/>
          <w:lang w:eastAsia="zh-CN"/>
        </w:rPr>
        <w:t>为税务机关提供信息化服务的</w:t>
      </w:r>
      <w:r>
        <w:rPr>
          <w:rFonts w:hint="default" w:ascii="Times New Roman" w:hAnsi="Times New Roman" w:cs="Times New Roman"/>
          <w:color w:val="auto"/>
          <w:sz w:val="21"/>
          <w:szCs w:val="21"/>
          <w:highlight w:val="none"/>
        </w:rPr>
        <w:t>便利</w:t>
      </w:r>
      <w:r>
        <w:rPr>
          <w:rFonts w:hint="default" w:ascii="Times New Roman" w:hAnsi="Times New Roman" w:cs="Times New Roman"/>
          <w:color w:val="auto"/>
          <w:sz w:val="21"/>
          <w:szCs w:val="21"/>
          <w:highlight w:val="none"/>
          <w:lang w:eastAsia="zh-CN"/>
        </w:rPr>
        <w:t>，向纳税人缴费人</w:t>
      </w:r>
      <w:r>
        <w:rPr>
          <w:rFonts w:hint="default" w:ascii="Times New Roman" w:hAnsi="Times New Roman" w:cs="Times New Roman"/>
          <w:color w:val="auto"/>
          <w:sz w:val="21"/>
          <w:szCs w:val="21"/>
          <w:highlight w:val="none"/>
        </w:rPr>
        <w:t>搭车收费或变相收费的，</w:t>
      </w:r>
      <w:r>
        <w:rPr>
          <w:rFonts w:hint="default" w:ascii="Times New Roman" w:hAnsi="Times New Roman" w:cs="Times New Roman"/>
          <w:color w:val="auto"/>
          <w:sz w:val="21"/>
          <w:szCs w:val="21"/>
          <w:highlight w:val="none"/>
          <w:lang w:eastAsia="zh-CN"/>
        </w:rPr>
        <w:t>或有其他失信行为的；</w:t>
      </w:r>
    </w:p>
    <w:p w14:paraId="74634C7D">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12.1.8 乙方在本项目实施过程中发生违反网络安全规定行为造成不良后果的。</w:t>
      </w:r>
    </w:p>
    <w:p w14:paraId="394FC9DC">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9</w:t>
      </w:r>
      <w:r>
        <w:rPr>
          <w:rFonts w:hint="default" w:ascii="Times New Roman" w:hAnsi="Times New Roman" w:cs="Times New Roman"/>
          <w:color w:val="auto"/>
          <w:sz w:val="21"/>
          <w:szCs w:val="21"/>
          <w:highlight w:val="none"/>
        </w:rPr>
        <w:t xml:space="preserve"> 乙方提供的服务侵犯甲方、第三方知识产权等合法权益的；</w:t>
      </w:r>
    </w:p>
    <w:p w14:paraId="616DB4A3">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10</w:t>
      </w:r>
      <w:r>
        <w:rPr>
          <w:rFonts w:hint="default" w:ascii="Times New Roman" w:hAnsi="Times New Roman" w:cs="Times New Roman"/>
          <w:color w:val="auto"/>
          <w:sz w:val="21"/>
          <w:szCs w:val="21"/>
          <w:highlight w:val="none"/>
        </w:rPr>
        <w:t xml:space="preserve"> 乙方或乙方人员造成甲方或第三方经济损失而拒不赔偿的；</w:t>
      </w:r>
    </w:p>
    <w:p w14:paraId="2EBAE473">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.1.1</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 xml:space="preserve"> 乙方转让其应履行的合同义务，或未经甲方同意采取分包方式履行合同</w:t>
      </w:r>
    </w:p>
    <w:p w14:paraId="1E1AA570">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的；</w:t>
      </w:r>
    </w:p>
    <w:p w14:paraId="5C23ED89">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 xml:space="preserve"> 乙方有其他严重违约行为的。</w:t>
      </w:r>
    </w:p>
    <w:p w14:paraId="6D5345A9">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.2 如果甲方根据上述第1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.1条的规定，终止了全部或部分合同，甲方可以适当的条件和方法购买乙方未能提供的服务，乙方应对甲方购买类似服务所超出的费用负责。同时，乙方应继续执行合同中未终止的部分。</w:t>
      </w:r>
    </w:p>
    <w:p w14:paraId="1417339C">
      <w:pPr>
        <w:keepNext w:val="0"/>
        <w:keepLines w:val="0"/>
        <w:pageBreakBefore w:val="0"/>
        <w:widowControl w:val="0"/>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w:t>
      </w:r>
      <w:r>
        <w:rPr>
          <w:rFonts w:hint="default" w:ascii="Times New Roman" w:hAnsi="Times New Roman" w:cs="Times New Roman"/>
          <w:b/>
          <w:color w:val="auto"/>
          <w:sz w:val="21"/>
          <w:szCs w:val="21"/>
          <w:highlight w:val="none"/>
          <w:lang w:val="en-US" w:eastAsia="zh-CN"/>
        </w:rPr>
        <w:t>3</w:t>
      </w:r>
      <w:r>
        <w:rPr>
          <w:rFonts w:hint="default" w:ascii="Times New Roman" w:hAnsi="Times New Roman" w:cs="Times New Roman"/>
          <w:b/>
          <w:color w:val="auto"/>
          <w:sz w:val="21"/>
          <w:szCs w:val="21"/>
          <w:highlight w:val="none"/>
        </w:rPr>
        <w:t>. 破产终止合同</w:t>
      </w:r>
    </w:p>
    <w:p w14:paraId="49C74C3B">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.1 如果乙方破产或无清偿能力，甲方可在任何时候以书面形式通知乙方终止合同而不给乙方补偿。</w:t>
      </w:r>
    </w:p>
    <w:p w14:paraId="7A72106F">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.2该终止合同将不损害或影响甲方已经采取或将要采取的任何行动或补救措施的权力。</w:t>
      </w:r>
    </w:p>
    <w:p w14:paraId="4867EBF9">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w:t>
      </w:r>
      <w:r>
        <w:rPr>
          <w:rFonts w:hint="default" w:ascii="Times New Roman" w:hAnsi="Times New Roman" w:cs="Times New Roman"/>
          <w:b/>
          <w:color w:val="auto"/>
          <w:sz w:val="21"/>
          <w:szCs w:val="21"/>
          <w:highlight w:val="none"/>
          <w:lang w:val="en-US" w:eastAsia="zh-CN"/>
        </w:rPr>
        <w:t>4</w:t>
      </w:r>
      <w:r>
        <w:rPr>
          <w:rFonts w:hint="default" w:ascii="Times New Roman" w:hAnsi="Times New Roman" w:cs="Times New Roman"/>
          <w:b/>
          <w:color w:val="auto"/>
          <w:sz w:val="21"/>
          <w:szCs w:val="21"/>
          <w:highlight w:val="none"/>
        </w:rPr>
        <w:t>. 其他情况的终止合同</w:t>
      </w:r>
    </w:p>
    <w:p w14:paraId="33AE2790">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.1 乙方在执行合同的过程中发生重大事故或变故，对履行合同有直接影响的，甲方可以提出终止合同而不给予乙方任何补偿。</w:t>
      </w:r>
    </w:p>
    <w:p w14:paraId="77165A41">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.2 在服务期内，由于甲方工作计划调整，推广使用新应用系统导致本项目相关服务停止的，甲方可以提出终止合同而不给予乙方任何补偿。</w:t>
      </w:r>
    </w:p>
    <w:p w14:paraId="6D733FF2">
      <w:pPr>
        <w:keepNext w:val="0"/>
        <w:keepLines w:val="0"/>
        <w:pageBreakBefore w:val="0"/>
        <w:widowControl w:val="0"/>
        <w:tabs>
          <w:tab w:val="left" w:pos="700"/>
        </w:tabs>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w:t>
      </w:r>
      <w:r>
        <w:rPr>
          <w:rFonts w:hint="default" w:ascii="Times New Roman" w:hAnsi="Times New Roman" w:cs="Times New Roman"/>
          <w:b/>
          <w:color w:val="auto"/>
          <w:sz w:val="21"/>
          <w:szCs w:val="21"/>
          <w:highlight w:val="none"/>
          <w:lang w:val="en-US" w:eastAsia="zh-CN"/>
        </w:rPr>
        <w:t>5</w:t>
      </w:r>
      <w:r>
        <w:rPr>
          <w:rFonts w:hint="default" w:ascii="Times New Roman" w:hAnsi="Times New Roman" w:cs="Times New Roman"/>
          <w:b/>
          <w:color w:val="auto"/>
          <w:sz w:val="21"/>
          <w:szCs w:val="21"/>
          <w:highlight w:val="none"/>
        </w:rPr>
        <w:t>. 合同修改或变更</w:t>
      </w:r>
    </w:p>
    <w:p w14:paraId="6127985F">
      <w:pPr>
        <w:keepNext w:val="0"/>
        <w:keepLines w:val="0"/>
        <w:pageBreakBefore w:val="0"/>
        <w:widowControl w:val="0"/>
        <w:kinsoku/>
        <w:wordWrap/>
        <w:overflowPunct/>
        <w:bidi w:val="0"/>
        <w:adjustRightInd/>
        <w:snapToGrid/>
        <w:spacing w:line="360" w:lineRule="auto"/>
        <w:ind w:firstLine="482"/>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.1 合同如有未尽事宜，须经甲乙双方共同协商，做出补充约定，并签订书面补充合同或变更协议。补充合同或变更协议作为本合同的一部分，与本合同具有同等效力。</w:t>
      </w:r>
    </w:p>
    <w:p w14:paraId="52EC768D">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.2 除了双方签署书面修改或变更协议，并成为本合同不可分割的一部分的情况之外，本合同的条款不得有任何变化或修改。</w:t>
      </w:r>
    </w:p>
    <w:p w14:paraId="3CAA0253">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.3 由于采购人项目统一规划等原因导致本项目停止部分服务的，甲方将启动合同变更程序，与乙方协商变更相关合同条款。</w:t>
      </w:r>
    </w:p>
    <w:p w14:paraId="49969E8B">
      <w:pPr>
        <w:keepNext w:val="0"/>
        <w:keepLines w:val="0"/>
        <w:pageBreakBefore w:val="0"/>
        <w:widowControl w:val="0"/>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w:t>
      </w:r>
      <w:r>
        <w:rPr>
          <w:rFonts w:hint="default" w:ascii="Times New Roman" w:hAnsi="Times New Roman" w:cs="Times New Roman"/>
          <w:b/>
          <w:color w:val="auto"/>
          <w:sz w:val="21"/>
          <w:szCs w:val="21"/>
          <w:highlight w:val="none"/>
          <w:lang w:val="en-US" w:eastAsia="zh-CN"/>
        </w:rPr>
        <w:t>6</w:t>
      </w:r>
      <w:r>
        <w:rPr>
          <w:rFonts w:hint="default" w:ascii="Times New Roman" w:hAnsi="Times New Roman" w:cs="Times New Roman"/>
          <w:b/>
          <w:color w:val="auto"/>
          <w:sz w:val="21"/>
          <w:szCs w:val="21"/>
          <w:highlight w:val="none"/>
        </w:rPr>
        <w:t>. 转让和分包</w:t>
      </w:r>
    </w:p>
    <w:p w14:paraId="72D739CC">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rPr>
        <w:t>.1 除甲方事先书面同意外，乙方不得部分转让或全部转让其应履行的合同义务。</w:t>
      </w:r>
    </w:p>
    <w:p w14:paraId="59F7AEDE">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 xml:space="preserve">16.2 </w:t>
      </w:r>
      <w:r>
        <w:rPr>
          <w:rFonts w:hint="default" w:ascii="Times New Roman" w:hAnsi="Times New Roman" w:eastAsia="宋体" w:cs="Times New Roman"/>
          <w:color w:val="auto"/>
          <w:sz w:val="21"/>
          <w:szCs w:val="21"/>
          <w:highlight w:val="none"/>
          <w:lang w:val="en-US" w:eastAsia="zh-CN"/>
        </w:rPr>
        <w:t>未经甲方同意，乙方不得采取分包方式履行合同。经甲方同意分包履行合同的，乙方就采购项目及分包项目向甲方负责，分包供应商就分包项目承担责任。</w:t>
      </w:r>
    </w:p>
    <w:p w14:paraId="6CCC4B51">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w:t>
      </w:r>
      <w:r>
        <w:rPr>
          <w:rFonts w:hint="default" w:ascii="Times New Roman" w:hAnsi="Times New Roman" w:cs="Times New Roman"/>
          <w:b/>
          <w:color w:val="auto"/>
          <w:sz w:val="21"/>
          <w:szCs w:val="21"/>
          <w:highlight w:val="none"/>
          <w:lang w:val="en-US" w:eastAsia="zh-CN"/>
        </w:rPr>
        <w:t>7</w:t>
      </w:r>
      <w:r>
        <w:rPr>
          <w:rFonts w:hint="default" w:ascii="Times New Roman" w:hAnsi="Times New Roman" w:cs="Times New Roman"/>
          <w:b/>
          <w:color w:val="auto"/>
          <w:sz w:val="21"/>
          <w:szCs w:val="21"/>
          <w:highlight w:val="none"/>
        </w:rPr>
        <w:t>. 合同语言</w:t>
      </w:r>
    </w:p>
    <w:p w14:paraId="0B1B2C40">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rPr>
        <w:t>.1 本合同语言为中文。</w:t>
      </w:r>
    </w:p>
    <w:p w14:paraId="6772B8FC">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rPr>
        <w:t>.2 双方交换的与合同有关的信件和其他文件应用合同语言书写。</w:t>
      </w:r>
    </w:p>
    <w:p w14:paraId="020367E2">
      <w:pPr>
        <w:keepNext w:val="0"/>
        <w:keepLines w:val="0"/>
        <w:pageBreakBefore w:val="0"/>
        <w:widowControl w:val="0"/>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18</w:t>
      </w:r>
      <w:r>
        <w:rPr>
          <w:rFonts w:hint="default" w:ascii="Times New Roman" w:hAnsi="Times New Roman" w:cs="Times New Roman"/>
          <w:b/>
          <w:color w:val="auto"/>
          <w:sz w:val="21"/>
          <w:szCs w:val="21"/>
          <w:highlight w:val="none"/>
        </w:rPr>
        <w:t>. 适用法律</w:t>
      </w:r>
    </w:p>
    <w:p w14:paraId="36F49F97">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18</w:t>
      </w:r>
      <w:r>
        <w:rPr>
          <w:rFonts w:hint="default" w:ascii="Times New Roman" w:hAnsi="Times New Roman" w:cs="Times New Roman"/>
          <w:color w:val="auto"/>
          <w:sz w:val="21"/>
          <w:szCs w:val="21"/>
          <w:highlight w:val="none"/>
        </w:rPr>
        <w:t>.1 本合同按照中华人民共和国现行法律进行解释。</w:t>
      </w:r>
    </w:p>
    <w:p w14:paraId="4DA8E443">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18</w:t>
      </w:r>
      <w:r>
        <w:rPr>
          <w:rFonts w:hint="default" w:ascii="Times New Roman" w:hAnsi="Times New Roman" w:cs="Times New Roman"/>
          <w:color w:val="auto"/>
          <w:sz w:val="21"/>
          <w:szCs w:val="21"/>
          <w:highlight w:val="none"/>
        </w:rPr>
        <w:t>.2 本合同的履行、违约责任和解决争议的方法等适用《中华人民共和国</w:t>
      </w:r>
      <w:r>
        <w:rPr>
          <w:rFonts w:hint="default" w:ascii="Times New Roman" w:hAnsi="Times New Roman" w:cs="Times New Roman"/>
          <w:color w:val="auto"/>
          <w:sz w:val="21"/>
          <w:szCs w:val="21"/>
          <w:highlight w:val="none"/>
          <w:lang w:eastAsia="zh-CN"/>
        </w:rPr>
        <w:t>民法典（合同编）</w:t>
      </w:r>
      <w:r>
        <w:rPr>
          <w:rFonts w:hint="default" w:ascii="Times New Roman" w:hAnsi="Times New Roman" w:cs="Times New Roman"/>
          <w:color w:val="auto"/>
          <w:sz w:val="21"/>
          <w:szCs w:val="21"/>
          <w:highlight w:val="none"/>
        </w:rPr>
        <w:t>》。</w:t>
      </w:r>
    </w:p>
    <w:p w14:paraId="73124A1E">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19</w:t>
      </w:r>
      <w:r>
        <w:rPr>
          <w:rFonts w:hint="default" w:ascii="Times New Roman" w:hAnsi="Times New Roman" w:cs="Times New Roman"/>
          <w:b/>
          <w:color w:val="auto"/>
          <w:sz w:val="21"/>
          <w:szCs w:val="21"/>
          <w:highlight w:val="none"/>
        </w:rPr>
        <w:t>. 税费</w:t>
      </w:r>
    </w:p>
    <w:p w14:paraId="28717696">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19</w:t>
      </w:r>
      <w:r>
        <w:rPr>
          <w:rFonts w:hint="default" w:ascii="Times New Roman" w:hAnsi="Times New Roman" w:cs="Times New Roman"/>
          <w:color w:val="auto"/>
          <w:sz w:val="21"/>
          <w:szCs w:val="21"/>
          <w:highlight w:val="none"/>
        </w:rPr>
        <w:t>.1 合同服务的所有税费均已包含于合同价中，甲方不再另行支付。</w:t>
      </w:r>
    </w:p>
    <w:p w14:paraId="64C285D4">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lang w:val="en-US" w:eastAsia="zh-CN"/>
        </w:rPr>
      </w:pPr>
      <w:r>
        <w:rPr>
          <w:rFonts w:hint="default" w:ascii="Times New Roman" w:hAnsi="Times New Roman" w:cs="Times New Roman"/>
          <w:b/>
          <w:color w:val="auto"/>
          <w:sz w:val="21"/>
          <w:szCs w:val="21"/>
          <w:highlight w:val="none"/>
          <w:lang w:val="en-US" w:eastAsia="zh-CN"/>
        </w:rPr>
        <w:t>20. 廉洁条款</w:t>
      </w:r>
    </w:p>
    <w:p w14:paraId="26F0257E">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20.1 乙方禁止利用为税务机关提供信息化服务的便利，向纳税人、缴费人搭售硬件、软件、服务或进行其他变相收费行为。</w:t>
      </w:r>
    </w:p>
    <w:p w14:paraId="4C9ACBE9">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20.2 乙方禁止“围猎”税务人员。禁止以获取不正当利益为目的，采取请吃、馈赠礼品礼金、邀请娱乐旅游消费、提供便利条件等非正常交往手段“围猎”相关税务人员及亲属。</w:t>
      </w:r>
    </w:p>
    <w:p w14:paraId="0673E9F6">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20.3 乙方禁止违规聘用离职税务人员。离职税务人员：3年内离职的原从事过税收信息化及相关信息系统业务条线的税务人员。</w:t>
      </w:r>
    </w:p>
    <w:p w14:paraId="39AECC89">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20.4 乙方发现甲方存在不正当利益索取情况，有义务向国家税务总局湖南省税务局报告；</w:t>
      </w:r>
    </w:p>
    <w:p w14:paraId="6FC19AF1">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20.5 乙方违反廉洁条款的，将向国家税务总局上报为失信名单。</w:t>
      </w:r>
    </w:p>
    <w:p w14:paraId="150520D5">
      <w:pPr>
        <w:topLinePunct/>
        <w:autoSpaceDE w:val="0"/>
        <w:autoSpaceDN w:val="0"/>
        <w:spacing w:before="240" w:after="120" w:line="460" w:lineRule="exact"/>
        <w:ind w:firstLine="482"/>
        <w:jc w:val="center"/>
        <w:rPr>
          <w:rFonts w:asciiTheme="minorEastAsia" w:hAnsiTheme="minorEastAsia" w:eastAsiaTheme="minorEastAsia" w:cstheme="minorEastAsia"/>
          <w:b/>
          <w:sz w:val="24"/>
          <w:highlight w:val="none"/>
        </w:rPr>
      </w:pPr>
    </w:p>
    <w:p w14:paraId="7C3C0FB3">
      <w:pPr>
        <w:topLinePunct/>
        <w:autoSpaceDE w:val="0"/>
        <w:autoSpaceDN w:val="0"/>
        <w:spacing w:before="240" w:after="120" w:line="460" w:lineRule="exact"/>
        <w:ind w:firstLine="482"/>
        <w:jc w:val="center"/>
        <w:rPr>
          <w:rFonts w:asciiTheme="minorEastAsia" w:hAnsiTheme="minorEastAsia" w:eastAsiaTheme="minorEastAsia" w:cstheme="minorEastAsia"/>
          <w:b/>
          <w:sz w:val="24"/>
          <w:highlight w:val="none"/>
        </w:rPr>
      </w:pPr>
    </w:p>
    <w:p w14:paraId="7FC12A82">
      <w:pPr>
        <w:topLinePunct/>
        <w:autoSpaceDE w:val="0"/>
        <w:autoSpaceDN w:val="0"/>
        <w:spacing w:before="240" w:after="120" w:line="460" w:lineRule="exact"/>
        <w:ind w:firstLine="482"/>
        <w:jc w:val="center"/>
        <w:rPr>
          <w:rFonts w:asciiTheme="minorEastAsia" w:hAnsiTheme="minorEastAsia" w:eastAsiaTheme="minorEastAsia" w:cstheme="minorEastAsia"/>
          <w:b/>
          <w:sz w:val="24"/>
          <w:highlight w:val="none"/>
        </w:rPr>
        <w:sectPr>
          <w:pgSz w:w="11907" w:h="16839"/>
          <w:pgMar w:top="1440" w:right="1341" w:bottom="1440" w:left="1326" w:header="851" w:footer="709" w:gutter="0"/>
          <w:pgBorders>
            <w:top w:val="none" w:sz="0" w:space="0"/>
            <w:left w:val="none" w:sz="0" w:space="0"/>
            <w:bottom w:val="none" w:sz="0" w:space="0"/>
            <w:right w:val="none" w:sz="0" w:space="0"/>
          </w:pgBorders>
          <w:cols w:space="720" w:num="1"/>
          <w:docGrid w:linePitch="360" w:charSpace="0"/>
        </w:sectPr>
      </w:pPr>
    </w:p>
    <w:p w14:paraId="5B838E8B">
      <w:pPr>
        <w:topLinePunct/>
        <w:autoSpaceDE w:val="0"/>
        <w:autoSpaceDN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三  招标（采购）文件及投标（响应）文件（如需要，可另附）</w:t>
      </w:r>
    </w:p>
    <w:p w14:paraId="153B5304">
      <w:pPr>
        <w:spacing w:line="360" w:lineRule="auto"/>
        <w:ind w:firstLine="480"/>
        <w:jc w:val="center"/>
        <w:rPr>
          <w:rFonts w:asciiTheme="minorEastAsia" w:hAnsiTheme="minorEastAsia" w:eastAsiaTheme="minorEastAsia" w:cstheme="minorEastAsia"/>
          <w:sz w:val="24"/>
          <w:highlight w:val="none"/>
        </w:rPr>
      </w:pPr>
    </w:p>
    <w:p w14:paraId="30D3462A">
      <w:pPr>
        <w:ind w:firstLine="480"/>
        <w:rPr>
          <w:rFonts w:asciiTheme="minorEastAsia" w:hAnsiTheme="minorEastAsia" w:eastAsiaTheme="minorEastAsia" w:cstheme="minorEastAsia"/>
          <w:sz w:val="24"/>
          <w:highlight w:val="none"/>
        </w:rPr>
      </w:pPr>
    </w:p>
    <w:p w14:paraId="6481D1D7">
      <w:pPr>
        <w:ind w:firstLine="480"/>
        <w:rPr>
          <w:rFonts w:asciiTheme="minorEastAsia" w:hAnsiTheme="minorEastAsia" w:eastAsiaTheme="minorEastAsia" w:cstheme="minorEastAsia"/>
          <w:sz w:val="24"/>
          <w:highlight w:val="none"/>
        </w:rPr>
      </w:pPr>
    </w:p>
    <w:p w14:paraId="00355392">
      <w:pPr>
        <w:ind w:firstLine="480"/>
        <w:rPr>
          <w:rFonts w:asciiTheme="minorEastAsia" w:hAnsiTheme="minorEastAsia" w:eastAsiaTheme="minorEastAsia" w:cstheme="minorEastAsia"/>
          <w:sz w:val="24"/>
          <w:highlight w:val="none"/>
        </w:rPr>
      </w:pPr>
    </w:p>
    <w:p w14:paraId="0E7836DA">
      <w:pPr>
        <w:spacing w:line="360" w:lineRule="auto"/>
        <w:ind w:firstLine="480"/>
        <w:jc w:val="right"/>
        <w:rPr>
          <w:rFonts w:asciiTheme="minorEastAsia" w:hAnsiTheme="minorEastAsia" w:eastAsiaTheme="minorEastAsia" w:cstheme="minorEastAsia"/>
          <w:sz w:val="24"/>
          <w:highlight w:val="none"/>
        </w:rPr>
      </w:pPr>
    </w:p>
    <w:p w14:paraId="2EB09958">
      <w:pPr>
        <w:spacing w:line="360" w:lineRule="auto"/>
        <w:ind w:firstLine="480"/>
        <w:jc w:val="center"/>
        <w:rPr>
          <w:rFonts w:asciiTheme="minorEastAsia" w:hAnsiTheme="minorEastAsia" w:eastAsiaTheme="minorEastAsia" w:cstheme="minorEastAsia"/>
          <w:sz w:val="24"/>
          <w:highlight w:val="none"/>
        </w:rPr>
      </w:pPr>
    </w:p>
    <w:p w14:paraId="6DD13902">
      <w:pPr>
        <w:spacing w:line="360" w:lineRule="auto"/>
        <w:ind w:firstLine="480"/>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sz w:val="24"/>
          <w:highlight w:val="none"/>
        </w:rPr>
        <w:br w:type="page"/>
      </w:r>
      <w:r>
        <w:rPr>
          <w:rFonts w:hint="eastAsia" w:asciiTheme="minorEastAsia" w:hAnsiTheme="minorEastAsia" w:eastAsiaTheme="minorEastAsia" w:cstheme="minorEastAsia"/>
          <w:b/>
          <w:sz w:val="28"/>
          <w:szCs w:val="28"/>
          <w:highlight w:val="none"/>
        </w:rPr>
        <w:t>四 报价表（总报价表</w:t>
      </w:r>
      <w:r>
        <w:rPr>
          <w:rFonts w:hint="eastAsia" w:asciiTheme="minorEastAsia" w:hAnsiTheme="minorEastAsia" w:eastAsiaTheme="minorEastAsia" w:cstheme="minorEastAsia"/>
          <w:b/>
          <w:sz w:val="28"/>
          <w:szCs w:val="28"/>
          <w:highlight w:val="none"/>
          <w:lang w:eastAsia="zh-CN"/>
        </w:rPr>
        <w:t>、</w:t>
      </w:r>
      <w:r>
        <w:rPr>
          <w:rFonts w:hint="eastAsia" w:asciiTheme="minorEastAsia" w:hAnsiTheme="minorEastAsia" w:eastAsiaTheme="minorEastAsia" w:cstheme="minorEastAsia"/>
          <w:b/>
          <w:color w:val="auto"/>
          <w:sz w:val="28"/>
          <w:szCs w:val="28"/>
          <w:highlight w:val="none"/>
        </w:rPr>
        <w:t>分项报价表</w:t>
      </w:r>
      <w:r>
        <w:rPr>
          <w:rFonts w:hint="eastAsia" w:asciiTheme="minorEastAsia" w:hAnsiTheme="minorEastAsia" w:eastAsiaTheme="minorEastAsia" w:cstheme="minorEastAsia"/>
          <w:b/>
          <w:color w:val="auto"/>
          <w:sz w:val="28"/>
          <w:szCs w:val="28"/>
          <w:highlight w:val="none"/>
          <w:lang w:eastAsia="zh-CN"/>
        </w:rPr>
        <w:t>，如有需要可另附</w:t>
      </w:r>
      <w:r>
        <w:rPr>
          <w:rFonts w:hint="eastAsia" w:asciiTheme="minorEastAsia" w:hAnsiTheme="minorEastAsia" w:eastAsiaTheme="minorEastAsia" w:cstheme="minorEastAsia"/>
          <w:b/>
          <w:sz w:val="28"/>
          <w:szCs w:val="28"/>
          <w:highlight w:val="none"/>
        </w:rPr>
        <w:t>）</w:t>
      </w:r>
    </w:p>
    <w:p w14:paraId="58290754">
      <w:pPr>
        <w:ind w:firstLine="482"/>
        <w:rPr>
          <w:rFonts w:asciiTheme="minorEastAsia" w:hAnsiTheme="minorEastAsia" w:eastAsiaTheme="minorEastAsia" w:cstheme="minorEastAsia"/>
          <w:b/>
          <w:sz w:val="24"/>
          <w:highlight w:val="none"/>
        </w:rPr>
        <w:sectPr>
          <w:pgSz w:w="11907" w:h="16839"/>
          <w:pgMar w:top="1440" w:right="1334" w:bottom="1440" w:left="1332" w:header="851" w:footer="992" w:gutter="0"/>
          <w:pgBorders>
            <w:top w:val="none" w:sz="0" w:space="0"/>
            <w:left w:val="none" w:sz="0" w:space="0"/>
            <w:bottom w:val="none" w:sz="0" w:space="0"/>
            <w:right w:val="none" w:sz="0" w:space="0"/>
          </w:pgBorders>
          <w:cols w:space="720" w:num="1"/>
          <w:titlePg/>
          <w:docGrid w:linePitch="312" w:charSpace="0"/>
        </w:sectPr>
      </w:pPr>
    </w:p>
    <w:p w14:paraId="678F5EF4">
      <w:pPr>
        <w:ind w:firstLine="643"/>
        <w:jc w:val="center"/>
        <w:outlineLvl w:val="0"/>
        <w:rPr>
          <w:rFonts w:ascii="宋体" w:hAnsi="宋体" w:cs="宋体"/>
          <w:b/>
          <w:bCs/>
          <w:sz w:val="32"/>
          <w:szCs w:val="32"/>
          <w:highlight w:val="none"/>
        </w:rPr>
      </w:pPr>
      <w:bookmarkStart w:id="41" w:name="_Toc2934"/>
      <w:r>
        <w:rPr>
          <w:rFonts w:hint="eastAsia" w:ascii="宋体" w:hAnsi="宋体" w:cs="宋体"/>
          <w:b/>
          <w:bCs/>
          <w:sz w:val="32"/>
          <w:szCs w:val="32"/>
          <w:highlight w:val="none"/>
        </w:rPr>
        <w:t>第五章　投标文件格式</w:t>
      </w:r>
      <w:bookmarkEnd w:id="41"/>
    </w:p>
    <w:p w14:paraId="02C1AD1B">
      <w:pPr>
        <w:pStyle w:val="2"/>
        <w:rPr>
          <w:rFonts w:ascii="宋体" w:hAnsi="宋体" w:cs="宋体"/>
          <w:highlight w:val="none"/>
        </w:rPr>
      </w:pPr>
    </w:p>
    <w:p w14:paraId="2E26CB87">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投标人必须按下列文本格式，如实提供具有法律效力的资格证明文件和真实有效的其他文件资料，任何不按下列文本格式提供或有实质性变更将由投标人承担风险。</w:t>
      </w:r>
    </w:p>
    <w:p w14:paraId="19A8FEA4">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1.投标人应严格按照本章规定填写和提交全部格式文件以及其他有关资料，混乱的编排导致投标文件被误读或查找不到，后果由投标人承担。</w:t>
      </w:r>
    </w:p>
    <w:p w14:paraId="18AFDF2E">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2.所附表格中要求回答的全部问题和信息都必须正面回答。</w:t>
      </w:r>
    </w:p>
    <w:p w14:paraId="10A4E405">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3.资格声明文件的签字人应保证全部声明和问题的回答是真实的和准确的。</w:t>
      </w:r>
    </w:p>
    <w:p w14:paraId="20DC6EB4">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4.评标委员会将应用投标人提交的资料并根据自己的判断，决定投标人履行合同的合格性及能力。</w:t>
      </w:r>
    </w:p>
    <w:p w14:paraId="43A201FC">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5.全部文件应按投标人须知中规定的语言提交。</w:t>
      </w:r>
    </w:p>
    <w:p w14:paraId="3F7A3A1B">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6.以下格式文件为要求填写内容的固定格式，投标人不得擅自修改格式，其他未提供格式的文件和资料由投标人自行设计编制格式填写。</w:t>
      </w:r>
    </w:p>
    <w:p w14:paraId="3A57BF93">
      <w:pPr>
        <w:adjustRightInd w:val="0"/>
        <w:snapToGrid w:val="0"/>
        <w:spacing w:before="48" w:beforeLines="20" w:after="120" w:line="360" w:lineRule="auto"/>
        <w:ind w:firstLine="422" w:firstLineChars="200"/>
        <w:jc w:val="center"/>
        <w:rPr>
          <w:rFonts w:ascii="宋体" w:hAnsi="宋体" w:cs="宋体"/>
          <w:b/>
          <w:bCs/>
          <w:highlight w:val="none"/>
        </w:rPr>
      </w:pPr>
    </w:p>
    <w:p w14:paraId="2629E5EF">
      <w:pPr>
        <w:ind w:firstLine="422" w:firstLineChars="200"/>
        <w:jc w:val="center"/>
        <w:rPr>
          <w:rFonts w:ascii="宋体" w:hAnsi="宋体" w:cs="宋体"/>
          <w:b/>
          <w:bCs/>
          <w:highlight w:val="none"/>
        </w:rPr>
      </w:pPr>
    </w:p>
    <w:p w14:paraId="2CECD221">
      <w:pPr>
        <w:rPr>
          <w:rFonts w:ascii="宋体" w:hAnsi="宋体" w:cs="宋体"/>
          <w:highlight w:val="none"/>
        </w:rPr>
      </w:pPr>
    </w:p>
    <w:p w14:paraId="56783210">
      <w:pPr>
        <w:ind w:firstLine="422"/>
        <w:rPr>
          <w:rFonts w:ascii="宋体" w:hAnsi="宋体" w:cs="宋体"/>
          <w:b/>
          <w:bCs/>
          <w:highlight w:val="none"/>
        </w:rPr>
      </w:pPr>
    </w:p>
    <w:p w14:paraId="15C7E345">
      <w:pPr>
        <w:adjustRightInd w:val="0"/>
        <w:snapToGrid w:val="0"/>
        <w:spacing w:line="360" w:lineRule="auto"/>
        <w:ind w:firstLine="422"/>
        <w:jc w:val="center"/>
        <w:rPr>
          <w:rFonts w:ascii="宋体" w:hAnsi="宋体" w:cs="宋体"/>
          <w:b/>
          <w:bCs/>
          <w:highlight w:val="none"/>
        </w:rPr>
      </w:pPr>
      <w:r>
        <w:rPr>
          <w:rFonts w:hint="eastAsia" w:ascii="宋体" w:hAnsi="宋体" w:cs="宋体"/>
          <w:b/>
          <w:bCs/>
          <w:highlight w:val="none"/>
        </w:rPr>
        <w:br w:type="page"/>
      </w:r>
    </w:p>
    <w:p w14:paraId="6ABDC30C">
      <w:pPr>
        <w:spacing w:line="600" w:lineRule="auto"/>
        <w:ind w:firstLine="883"/>
        <w:jc w:val="center"/>
        <w:rPr>
          <w:rFonts w:ascii="宋体" w:hAnsi="宋体" w:cs="宋体"/>
          <w:b/>
          <w:kern w:val="0"/>
          <w:sz w:val="44"/>
          <w:szCs w:val="44"/>
          <w:highlight w:val="none"/>
        </w:rPr>
      </w:pPr>
    </w:p>
    <w:p w14:paraId="58531A3F">
      <w:pPr>
        <w:spacing w:line="600" w:lineRule="auto"/>
        <w:ind w:firstLine="1441"/>
        <w:jc w:val="center"/>
        <w:rPr>
          <w:rFonts w:ascii="华文中宋" w:hAnsi="华文中宋" w:eastAsia="华文中宋" w:cs="华文中宋"/>
          <w:b/>
          <w:kern w:val="0"/>
          <w:sz w:val="72"/>
          <w:szCs w:val="72"/>
          <w:highlight w:val="none"/>
        </w:rPr>
      </w:pPr>
      <w:r>
        <w:rPr>
          <w:rFonts w:hint="eastAsia" w:ascii="华文中宋" w:hAnsi="华文中宋" w:eastAsia="华文中宋" w:cs="华文中宋"/>
          <w:b/>
          <w:kern w:val="0"/>
          <w:sz w:val="72"/>
          <w:szCs w:val="72"/>
          <w:highlight w:val="none"/>
        </w:rPr>
        <w:t>投  标  文  件</w:t>
      </w:r>
    </w:p>
    <w:p w14:paraId="7E8F4C83">
      <w:pPr>
        <w:spacing w:line="600" w:lineRule="auto"/>
        <w:ind w:firstLine="1121"/>
        <w:jc w:val="center"/>
        <w:rPr>
          <w:rFonts w:ascii="华文中宋" w:hAnsi="华文中宋" w:eastAsia="华文中宋" w:cs="华文中宋"/>
          <w:b/>
          <w:kern w:val="0"/>
          <w:sz w:val="56"/>
          <w:szCs w:val="56"/>
          <w:highlight w:val="none"/>
        </w:rPr>
      </w:pPr>
      <w:r>
        <w:rPr>
          <w:rFonts w:hint="eastAsia" w:ascii="华文中宋" w:hAnsi="华文中宋" w:eastAsia="华文中宋" w:cs="华文中宋"/>
          <w:b/>
          <w:kern w:val="0"/>
          <w:sz w:val="56"/>
          <w:szCs w:val="56"/>
          <w:highlight w:val="none"/>
        </w:rPr>
        <w:t>（商务部分）</w:t>
      </w:r>
    </w:p>
    <w:p w14:paraId="22792924">
      <w:pPr>
        <w:spacing w:line="360" w:lineRule="auto"/>
        <w:ind w:firstLine="480"/>
        <w:jc w:val="center"/>
        <w:rPr>
          <w:rFonts w:ascii="宋体" w:hAnsi="宋体" w:cs="宋体"/>
          <w:bCs/>
          <w:kern w:val="0"/>
          <w:sz w:val="24"/>
          <w:szCs w:val="24"/>
          <w:highlight w:val="none"/>
        </w:rPr>
      </w:pPr>
    </w:p>
    <w:p w14:paraId="1296FF4B">
      <w:pPr>
        <w:spacing w:line="360" w:lineRule="auto"/>
        <w:ind w:firstLine="480"/>
        <w:jc w:val="center"/>
        <w:rPr>
          <w:rFonts w:ascii="宋体" w:hAnsi="宋体" w:cs="宋体"/>
          <w:bCs/>
          <w:kern w:val="0"/>
          <w:sz w:val="24"/>
          <w:szCs w:val="24"/>
          <w:highlight w:val="none"/>
        </w:rPr>
      </w:pPr>
      <w:r>
        <w:rPr>
          <w:rFonts w:hint="eastAsia" w:ascii="宋体" w:hAnsi="宋体" w:cs="宋体"/>
          <w:bCs/>
          <w:kern w:val="0"/>
          <w:sz w:val="24"/>
          <w:szCs w:val="24"/>
          <w:highlight w:val="none"/>
        </w:rPr>
        <w:t>（填写正本或副本）</w:t>
      </w:r>
    </w:p>
    <w:p w14:paraId="63DDA961">
      <w:pPr>
        <w:pStyle w:val="2"/>
        <w:ind w:firstLine="480"/>
        <w:rPr>
          <w:rFonts w:ascii="宋体" w:hAnsi="宋体" w:cs="宋体"/>
          <w:bCs/>
          <w:kern w:val="0"/>
          <w:sz w:val="24"/>
          <w:szCs w:val="24"/>
          <w:highlight w:val="none"/>
        </w:rPr>
      </w:pPr>
    </w:p>
    <w:p w14:paraId="0880433B">
      <w:pPr>
        <w:pStyle w:val="2"/>
        <w:ind w:firstLine="480"/>
        <w:rPr>
          <w:rFonts w:ascii="宋体" w:hAnsi="宋体" w:cs="宋体"/>
          <w:bCs/>
          <w:kern w:val="0"/>
          <w:sz w:val="24"/>
          <w:szCs w:val="24"/>
          <w:highlight w:val="none"/>
        </w:rPr>
      </w:pPr>
    </w:p>
    <w:p w14:paraId="63C22DD5">
      <w:pPr>
        <w:pStyle w:val="2"/>
        <w:rPr>
          <w:rFonts w:ascii="宋体" w:hAnsi="宋体" w:cs="宋体"/>
          <w:highlight w:val="none"/>
        </w:rPr>
      </w:pPr>
    </w:p>
    <w:p w14:paraId="54481F5A">
      <w:pPr>
        <w:pStyle w:val="2"/>
        <w:rPr>
          <w:rFonts w:ascii="宋体" w:hAnsi="宋体" w:cs="宋体"/>
          <w:highlight w:val="none"/>
        </w:rPr>
      </w:pPr>
    </w:p>
    <w:p w14:paraId="14C4F322">
      <w:pPr>
        <w:spacing w:line="360" w:lineRule="auto"/>
        <w:ind w:left="1470" w:leftChars="700" w:firstLine="1205" w:firstLineChars="400"/>
        <w:jc w:val="left"/>
        <w:rPr>
          <w:rFonts w:ascii="宋体" w:hAnsi="宋体" w:cs="宋体"/>
          <w:b/>
          <w:kern w:val="0"/>
          <w:sz w:val="30"/>
          <w:szCs w:val="30"/>
          <w:highlight w:val="none"/>
        </w:rPr>
      </w:pPr>
      <w:r>
        <w:rPr>
          <w:rFonts w:hint="eastAsia" w:ascii="宋体" w:hAnsi="宋体" w:cs="宋体"/>
          <w:b/>
          <w:kern w:val="0"/>
          <w:sz w:val="30"/>
          <w:szCs w:val="30"/>
          <w:highlight w:val="none"/>
        </w:rPr>
        <w:t>项目名称：</w:t>
      </w:r>
      <w:r>
        <w:rPr>
          <w:rFonts w:hint="eastAsia" w:ascii="宋体" w:hAnsi="宋体" w:cs="宋体"/>
          <w:b/>
          <w:kern w:val="0"/>
          <w:sz w:val="30"/>
          <w:szCs w:val="30"/>
          <w:highlight w:val="none"/>
          <w:u w:val="single"/>
        </w:rPr>
        <w:t xml:space="preserve">               </w:t>
      </w:r>
    </w:p>
    <w:p w14:paraId="4FDD209B">
      <w:pPr>
        <w:spacing w:line="360" w:lineRule="auto"/>
        <w:ind w:left="1470" w:leftChars="700" w:firstLine="1205" w:firstLineChars="400"/>
        <w:jc w:val="left"/>
        <w:rPr>
          <w:rFonts w:ascii="宋体" w:hAnsi="宋体" w:cs="宋体"/>
          <w:b/>
          <w:kern w:val="0"/>
          <w:sz w:val="30"/>
          <w:szCs w:val="30"/>
          <w:highlight w:val="none"/>
        </w:rPr>
      </w:pPr>
      <w:r>
        <w:rPr>
          <w:rFonts w:hint="eastAsia" w:ascii="宋体" w:hAnsi="宋体" w:cs="宋体"/>
          <w:b/>
          <w:kern w:val="0"/>
          <w:sz w:val="30"/>
          <w:szCs w:val="30"/>
          <w:highlight w:val="none"/>
        </w:rPr>
        <w:t>项目编号：</w:t>
      </w:r>
      <w:r>
        <w:rPr>
          <w:rFonts w:hint="eastAsia" w:ascii="宋体" w:hAnsi="宋体" w:cs="宋体"/>
          <w:b/>
          <w:kern w:val="0"/>
          <w:sz w:val="30"/>
          <w:szCs w:val="30"/>
          <w:highlight w:val="none"/>
          <w:u w:val="single"/>
        </w:rPr>
        <w:t xml:space="preserve">               </w:t>
      </w:r>
    </w:p>
    <w:p w14:paraId="19DC7015">
      <w:pPr>
        <w:spacing w:line="360" w:lineRule="auto"/>
        <w:ind w:left="1470" w:leftChars="700" w:firstLine="1205" w:firstLineChars="400"/>
        <w:jc w:val="left"/>
        <w:rPr>
          <w:rFonts w:ascii="宋体" w:hAnsi="宋体" w:cs="宋体"/>
          <w:b/>
          <w:kern w:val="0"/>
          <w:sz w:val="30"/>
          <w:szCs w:val="30"/>
          <w:highlight w:val="none"/>
        </w:rPr>
      </w:pPr>
      <w:r>
        <w:rPr>
          <w:rFonts w:hint="eastAsia" w:ascii="宋体" w:hAnsi="宋体" w:cs="宋体"/>
          <w:b/>
          <w:kern w:val="0"/>
          <w:sz w:val="30"/>
          <w:szCs w:val="30"/>
          <w:highlight w:val="none"/>
        </w:rPr>
        <w:t>所投采购包：</w:t>
      </w:r>
      <w:r>
        <w:rPr>
          <w:rFonts w:hint="eastAsia" w:ascii="宋体" w:hAnsi="宋体" w:cs="宋体"/>
          <w:b/>
          <w:kern w:val="0"/>
          <w:sz w:val="30"/>
          <w:szCs w:val="30"/>
          <w:highlight w:val="none"/>
          <w:u w:val="single"/>
        </w:rPr>
        <w:t xml:space="preserve">             </w:t>
      </w:r>
    </w:p>
    <w:p w14:paraId="720D0315">
      <w:pPr>
        <w:spacing w:line="360" w:lineRule="auto"/>
        <w:ind w:left="1470" w:leftChars="700" w:firstLine="602" w:firstLineChars="200"/>
        <w:jc w:val="left"/>
        <w:rPr>
          <w:rFonts w:ascii="宋体" w:hAnsi="宋体" w:cs="宋体"/>
          <w:b/>
          <w:kern w:val="0"/>
          <w:sz w:val="30"/>
          <w:szCs w:val="30"/>
          <w:highlight w:val="none"/>
        </w:rPr>
      </w:pPr>
    </w:p>
    <w:p w14:paraId="036BC030">
      <w:pPr>
        <w:pStyle w:val="2"/>
        <w:ind w:firstLine="602"/>
        <w:rPr>
          <w:rFonts w:ascii="宋体" w:hAnsi="宋体" w:cs="宋体"/>
          <w:b/>
          <w:kern w:val="0"/>
          <w:sz w:val="30"/>
          <w:szCs w:val="30"/>
          <w:highlight w:val="none"/>
        </w:rPr>
      </w:pPr>
    </w:p>
    <w:p w14:paraId="6C78DBB8">
      <w:pPr>
        <w:pStyle w:val="2"/>
        <w:ind w:firstLine="602"/>
        <w:rPr>
          <w:rFonts w:ascii="宋体" w:hAnsi="宋体" w:cs="宋体"/>
          <w:b/>
          <w:kern w:val="0"/>
          <w:sz w:val="30"/>
          <w:szCs w:val="30"/>
          <w:highlight w:val="none"/>
        </w:rPr>
      </w:pPr>
    </w:p>
    <w:p w14:paraId="432F5F0F">
      <w:pPr>
        <w:spacing w:line="360" w:lineRule="auto"/>
        <w:ind w:left="840" w:leftChars="400" w:firstLine="1807" w:firstLineChars="600"/>
        <w:jc w:val="left"/>
        <w:rPr>
          <w:rFonts w:ascii="宋体" w:hAnsi="宋体" w:cs="宋体"/>
          <w:b/>
          <w:kern w:val="0"/>
          <w:sz w:val="30"/>
          <w:szCs w:val="30"/>
          <w:highlight w:val="none"/>
        </w:rPr>
      </w:pPr>
      <w:r>
        <w:rPr>
          <w:rFonts w:hint="eastAsia" w:ascii="宋体" w:hAnsi="宋体" w:cs="宋体"/>
          <w:b/>
          <w:kern w:val="0"/>
          <w:sz w:val="30"/>
          <w:szCs w:val="30"/>
          <w:highlight w:val="none"/>
        </w:rPr>
        <w:t>投标人：</w:t>
      </w:r>
      <w:r>
        <w:rPr>
          <w:rFonts w:hint="eastAsia" w:ascii="宋体" w:hAnsi="宋体" w:cs="宋体"/>
          <w:b/>
          <w:kern w:val="0"/>
          <w:sz w:val="30"/>
          <w:szCs w:val="30"/>
          <w:highlight w:val="none"/>
          <w:u w:val="single"/>
        </w:rPr>
        <w:t xml:space="preserve">                 </w:t>
      </w:r>
    </w:p>
    <w:p w14:paraId="242F436A">
      <w:pPr>
        <w:adjustRightInd w:val="0"/>
        <w:snapToGrid w:val="0"/>
        <w:spacing w:line="360" w:lineRule="auto"/>
        <w:ind w:left="840" w:leftChars="400" w:firstLine="1807" w:firstLineChars="600"/>
        <w:rPr>
          <w:rFonts w:ascii="宋体" w:hAnsi="宋体" w:cs="宋体"/>
          <w:b/>
          <w:kern w:val="0"/>
          <w:sz w:val="30"/>
          <w:szCs w:val="30"/>
          <w:highlight w:val="none"/>
          <w:u w:val="single"/>
        </w:rPr>
      </w:pPr>
      <w:r>
        <w:rPr>
          <w:rFonts w:hint="eastAsia" w:ascii="宋体" w:hAnsi="宋体" w:cs="宋体"/>
          <w:b/>
          <w:kern w:val="0"/>
          <w:sz w:val="30"/>
          <w:szCs w:val="30"/>
          <w:highlight w:val="none"/>
        </w:rPr>
        <w:t>日  期：</w:t>
      </w:r>
      <w:r>
        <w:rPr>
          <w:rFonts w:hint="eastAsia" w:ascii="宋体" w:hAnsi="宋体" w:cs="宋体"/>
          <w:b/>
          <w:kern w:val="0"/>
          <w:sz w:val="30"/>
          <w:szCs w:val="30"/>
          <w:highlight w:val="none"/>
          <w:u w:val="single"/>
        </w:rPr>
        <w:t xml:space="preserve">                 </w:t>
      </w:r>
    </w:p>
    <w:p w14:paraId="238AF988">
      <w:pPr>
        <w:adjustRightInd w:val="0"/>
        <w:snapToGrid w:val="0"/>
        <w:spacing w:line="360" w:lineRule="auto"/>
        <w:ind w:firstLine="562"/>
        <w:jc w:val="center"/>
        <w:rPr>
          <w:rFonts w:ascii="宋体" w:hAnsi="宋体" w:cs="宋体"/>
          <w:b/>
          <w:bCs/>
          <w:sz w:val="28"/>
          <w:szCs w:val="28"/>
          <w:highlight w:val="none"/>
        </w:rPr>
      </w:pPr>
    </w:p>
    <w:p w14:paraId="77D1C67E">
      <w:pPr>
        <w:adjustRightInd w:val="0"/>
        <w:snapToGrid w:val="0"/>
        <w:spacing w:line="360" w:lineRule="auto"/>
        <w:ind w:firstLine="562"/>
        <w:jc w:val="center"/>
        <w:rPr>
          <w:rFonts w:ascii="宋体" w:hAnsi="宋体" w:cs="宋体"/>
          <w:b/>
          <w:bCs/>
          <w:sz w:val="28"/>
          <w:szCs w:val="28"/>
          <w:highlight w:val="none"/>
        </w:rPr>
        <w:sectPr>
          <w:pgSz w:w="11907" w:h="16839"/>
          <w:pgMar w:top="1440" w:right="1334" w:bottom="1440" w:left="1332" w:header="851" w:footer="992" w:gutter="0"/>
          <w:pgBorders>
            <w:top w:val="none" w:sz="0" w:space="0"/>
            <w:left w:val="none" w:sz="0" w:space="0"/>
            <w:bottom w:val="none" w:sz="0" w:space="0"/>
            <w:right w:val="none" w:sz="0" w:space="0"/>
          </w:pgBorders>
          <w:cols w:space="720" w:num="1"/>
          <w:titlePg/>
          <w:docGrid w:linePitch="312" w:charSpace="0"/>
        </w:sectPr>
      </w:pPr>
    </w:p>
    <w:p w14:paraId="72227F56">
      <w:pPr>
        <w:adjustRightInd w:val="0"/>
        <w:snapToGrid w:val="0"/>
        <w:spacing w:line="360" w:lineRule="auto"/>
        <w:ind w:left="0" w:leftChars="0" w:firstLine="0" w:firstLineChars="0"/>
        <w:jc w:val="center"/>
        <w:rPr>
          <w:rFonts w:ascii="宋体" w:hAnsi="宋体" w:cs="宋体"/>
          <w:b/>
          <w:bCs/>
          <w:sz w:val="28"/>
          <w:szCs w:val="28"/>
          <w:highlight w:val="none"/>
        </w:rPr>
      </w:pPr>
      <w:r>
        <w:rPr>
          <w:rFonts w:hint="eastAsia" w:ascii="宋体" w:hAnsi="宋体" w:cs="宋体"/>
          <w:b/>
          <w:bCs/>
          <w:sz w:val="28"/>
          <w:szCs w:val="28"/>
          <w:highlight w:val="none"/>
        </w:rPr>
        <w:t>一、授权委托书</w:t>
      </w:r>
    </w:p>
    <w:p w14:paraId="6ECC1047">
      <w:pPr>
        <w:adjustRightInd w:val="0"/>
        <w:snapToGrid w:val="0"/>
        <w:spacing w:line="360" w:lineRule="auto"/>
        <w:ind w:left="0" w:leftChars="0" w:firstLine="0" w:firstLineChars="0"/>
        <w:jc w:val="center"/>
        <w:rPr>
          <w:rFonts w:ascii="宋体" w:hAnsi="宋体" w:cs="宋体"/>
          <w:b/>
          <w:bCs/>
          <w:sz w:val="28"/>
          <w:szCs w:val="28"/>
          <w:highlight w:val="none"/>
        </w:rPr>
      </w:pPr>
      <w:r>
        <w:rPr>
          <w:rFonts w:hint="eastAsia" w:ascii="宋体" w:hAnsi="宋体" w:cs="宋体"/>
          <w:b/>
          <w:bCs/>
          <w:sz w:val="28"/>
          <w:szCs w:val="28"/>
          <w:highlight w:val="none"/>
        </w:rPr>
        <w:t>1-1法定代表人授权委托书</w:t>
      </w:r>
    </w:p>
    <w:p w14:paraId="52642DE8">
      <w:pPr>
        <w:adjustRightInd w:val="0"/>
        <w:snapToGrid w:val="0"/>
        <w:spacing w:line="360" w:lineRule="auto"/>
        <w:jc w:val="center"/>
        <w:rPr>
          <w:rFonts w:ascii="宋体" w:hAnsi="宋体" w:cs="宋体"/>
          <w:b/>
          <w:bCs/>
          <w:sz w:val="24"/>
          <w:highlight w:val="none"/>
        </w:rPr>
      </w:pPr>
      <w:r>
        <w:rPr>
          <w:rFonts w:hint="eastAsia" w:ascii="宋体" w:hAnsi="宋体" w:cs="宋体"/>
          <w:szCs w:val="21"/>
          <w:highlight w:val="none"/>
        </w:rPr>
        <w:t>(</w:t>
      </w:r>
      <w:r>
        <w:rPr>
          <w:rFonts w:hint="eastAsia" w:ascii="宋体" w:hAnsi="宋体" w:cs="宋体"/>
          <w:b/>
          <w:bCs/>
          <w:szCs w:val="21"/>
          <w:highlight w:val="none"/>
        </w:rPr>
        <w:t>适用于授权代表参加投标</w:t>
      </w:r>
      <w:r>
        <w:rPr>
          <w:rFonts w:hint="eastAsia" w:ascii="宋体" w:hAnsi="宋体" w:cs="宋体"/>
          <w:szCs w:val="21"/>
          <w:highlight w:val="none"/>
        </w:rPr>
        <w:t>)</w:t>
      </w:r>
    </w:p>
    <w:p w14:paraId="61D8EEB9">
      <w:pPr>
        <w:pStyle w:val="16"/>
        <w:rPr>
          <w:rFonts w:hAnsi="宋体" w:cs="宋体"/>
          <w:highlight w:val="none"/>
        </w:rPr>
      </w:pPr>
    </w:p>
    <w:p w14:paraId="01C2D9BA">
      <w:pPr>
        <w:spacing w:line="360" w:lineRule="auto"/>
        <w:rPr>
          <w:rFonts w:ascii="宋体" w:hAnsi="宋体" w:cs="宋体"/>
          <w:highlight w:val="none"/>
        </w:rPr>
      </w:pPr>
      <w:r>
        <w:rPr>
          <w:rFonts w:hint="eastAsia" w:ascii="宋体" w:hAnsi="宋体" w:cs="宋体"/>
          <w:highlight w:val="none"/>
        </w:rPr>
        <w:t>致____________(采购人或采购代理机构)：</w:t>
      </w:r>
    </w:p>
    <w:p w14:paraId="0E718F59">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本授权书声明：注册于___________（投标人住址）的___________（投标人名称）法定代表人_______（姓名、职务）代表本公司授权_______（被授权投标代表姓名、职务）为本公司的合法投标代表，就贵方组织的《</w:t>
      </w:r>
      <w:r>
        <w:rPr>
          <w:rFonts w:hint="eastAsia" w:ascii="宋体" w:hAnsi="宋体" w:cs="宋体"/>
          <w:highlight w:val="none"/>
        </w:rPr>
        <w:t>____________</w:t>
      </w:r>
      <w:r>
        <w:rPr>
          <w:rFonts w:hint="eastAsia" w:ascii="宋体" w:hAnsi="宋体" w:cs="宋体"/>
          <w:szCs w:val="21"/>
          <w:highlight w:val="none"/>
        </w:rPr>
        <w:t>项目》（项目编号：_______）投标、合同的执行，以本公司名义处理一切与之有关的事务。</w:t>
      </w:r>
    </w:p>
    <w:p w14:paraId="730515D4">
      <w:pPr>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本授权书于______年______月_____日生效，特此声明。</w:t>
      </w:r>
    </w:p>
    <w:p w14:paraId="0A1DC29B">
      <w:pPr>
        <w:pStyle w:val="16"/>
        <w:adjustRightInd w:val="0"/>
        <w:snapToGrid w:val="0"/>
        <w:spacing w:line="360" w:lineRule="auto"/>
        <w:ind w:firstLine="420" w:firstLineChars="200"/>
        <w:rPr>
          <w:rFonts w:hAnsi="宋体" w:cs="宋体"/>
          <w:highlight w:val="none"/>
        </w:rPr>
      </w:pPr>
      <w:r>
        <w:rPr>
          <w:rFonts w:hint="eastAsia" w:hAnsi="宋体" w:cs="宋体"/>
          <w:highlight w:val="none"/>
        </w:rPr>
        <w:t>被授权投标代表无转委托权。</w:t>
      </w:r>
    </w:p>
    <w:p w14:paraId="54B2DAFF">
      <w:pPr>
        <w:pStyle w:val="16"/>
        <w:adjustRightInd w:val="0"/>
        <w:snapToGrid w:val="0"/>
        <w:spacing w:line="360" w:lineRule="auto"/>
        <w:rPr>
          <w:rFonts w:hAnsi="宋体" w:cs="宋体"/>
          <w:highlight w:val="none"/>
        </w:rPr>
      </w:pPr>
    </w:p>
    <w:tbl>
      <w:tblPr>
        <w:tblStyle w:val="24"/>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2260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vAlign w:val="center"/>
          </w:tcPr>
          <w:p w14:paraId="08B7240A">
            <w:pPr>
              <w:pStyle w:val="16"/>
              <w:adjustRightInd w:val="0"/>
              <w:snapToGrid w:val="0"/>
              <w:spacing w:line="360" w:lineRule="auto"/>
              <w:jc w:val="center"/>
              <w:rPr>
                <w:rFonts w:hAnsi="宋体" w:cs="宋体"/>
                <w:highlight w:val="none"/>
              </w:rPr>
            </w:pPr>
          </w:p>
          <w:p w14:paraId="72B442A6">
            <w:pPr>
              <w:pStyle w:val="16"/>
              <w:adjustRightInd w:val="0"/>
              <w:snapToGrid w:val="0"/>
              <w:spacing w:line="360" w:lineRule="auto"/>
              <w:jc w:val="center"/>
              <w:rPr>
                <w:rFonts w:hAnsi="宋体" w:cs="宋体"/>
                <w:highlight w:val="none"/>
              </w:rPr>
            </w:pPr>
          </w:p>
          <w:p w14:paraId="4506E2D9">
            <w:pPr>
              <w:pStyle w:val="16"/>
              <w:adjustRightInd w:val="0"/>
              <w:snapToGrid w:val="0"/>
              <w:spacing w:line="360" w:lineRule="auto"/>
              <w:jc w:val="center"/>
              <w:rPr>
                <w:rFonts w:hAnsi="宋体" w:cs="宋体"/>
                <w:highlight w:val="none"/>
              </w:rPr>
            </w:pPr>
          </w:p>
          <w:p w14:paraId="4334DF17">
            <w:pPr>
              <w:pStyle w:val="16"/>
              <w:adjustRightInd w:val="0"/>
              <w:snapToGrid w:val="0"/>
              <w:spacing w:line="360" w:lineRule="auto"/>
              <w:ind w:firstLine="422"/>
              <w:jc w:val="center"/>
              <w:rPr>
                <w:rFonts w:hAnsi="宋体" w:cs="宋体"/>
                <w:highlight w:val="none"/>
              </w:rPr>
            </w:pPr>
            <w:r>
              <w:rPr>
                <w:rFonts w:hint="eastAsia" w:hAnsi="宋体" w:cs="宋体"/>
                <w:b/>
                <w:highlight w:val="none"/>
              </w:rPr>
              <w:t>被授权投标代表</w:t>
            </w:r>
            <w:r>
              <w:rPr>
                <w:rFonts w:hint="eastAsia" w:hAnsi="宋体" w:cs="宋体"/>
                <w:highlight w:val="none"/>
              </w:rPr>
              <w:t>身份证复印件</w:t>
            </w:r>
          </w:p>
          <w:p w14:paraId="60AE1BEB">
            <w:pPr>
              <w:pStyle w:val="16"/>
              <w:adjustRightInd w:val="0"/>
              <w:snapToGrid w:val="0"/>
              <w:spacing w:line="360" w:lineRule="auto"/>
              <w:jc w:val="center"/>
              <w:rPr>
                <w:rFonts w:hAnsi="宋体" w:cs="宋体"/>
                <w:highlight w:val="none"/>
              </w:rPr>
            </w:pPr>
          </w:p>
          <w:p w14:paraId="35C4A491">
            <w:pPr>
              <w:pStyle w:val="16"/>
              <w:adjustRightInd w:val="0"/>
              <w:snapToGrid w:val="0"/>
              <w:spacing w:line="360" w:lineRule="auto"/>
              <w:jc w:val="center"/>
              <w:rPr>
                <w:rFonts w:hAnsi="宋体" w:cs="宋体"/>
                <w:highlight w:val="none"/>
              </w:rPr>
            </w:pPr>
          </w:p>
          <w:p w14:paraId="4E926784">
            <w:pPr>
              <w:pStyle w:val="16"/>
              <w:adjustRightInd w:val="0"/>
              <w:snapToGrid w:val="0"/>
              <w:spacing w:line="360" w:lineRule="auto"/>
              <w:jc w:val="center"/>
              <w:rPr>
                <w:rFonts w:hAnsi="宋体" w:cs="宋体"/>
                <w:highlight w:val="none"/>
              </w:rPr>
            </w:pPr>
          </w:p>
        </w:tc>
      </w:tr>
    </w:tbl>
    <w:p w14:paraId="0C2464E7">
      <w:pPr>
        <w:pStyle w:val="16"/>
        <w:adjustRightInd w:val="0"/>
        <w:snapToGrid w:val="0"/>
        <w:spacing w:line="360" w:lineRule="auto"/>
        <w:jc w:val="left"/>
        <w:rPr>
          <w:rFonts w:hAnsi="宋体" w:cs="宋体"/>
          <w:highlight w:val="none"/>
        </w:rPr>
      </w:pPr>
    </w:p>
    <w:p w14:paraId="713A8289">
      <w:pPr>
        <w:tabs>
          <w:tab w:val="left" w:pos="1230"/>
        </w:tabs>
        <w:topLinePunct/>
        <w:autoSpaceDE w:val="0"/>
        <w:autoSpaceDN w:val="0"/>
        <w:adjustRightInd w:val="0"/>
        <w:snapToGrid w:val="0"/>
        <w:spacing w:line="360" w:lineRule="auto"/>
        <w:ind w:left="363"/>
        <w:rPr>
          <w:rFonts w:ascii="宋体" w:hAnsi="宋体" w:cs="宋体"/>
          <w:szCs w:val="21"/>
          <w:highlight w:val="none"/>
        </w:rPr>
      </w:pPr>
      <w:r>
        <w:rPr>
          <w:rFonts w:hint="eastAsia" w:ascii="宋体" w:hAnsi="宋体" w:cs="宋体"/>
          <w:szCs w:val="21"/>
          <w:highlight w:val="none"/>
        </w:rPr>
        <w:t>投标人名称（公章）：________________</w:t>
      </w:r>
    </w:p>
    <w:p w14:paraId="6DB93FB7">
      <w:pPr>
        <w:tabs>
          <w:tab w:val="left" w:pos="1230"/>
        </w:tabs>
        <w:topLinePunct/>
        <w:autoSpaceDE w:val="0"/>
        <w:autoSpaceDN w:val="0"/>
        <w:adjustRightInd w:val="0"/>
        <w:snapToGrid w:val="0"/>
        <w:spacing w:line="360" w:lineRule="auto"/>
        <w:ind w:left="363"/>
        <w:rPr>
          <w:rFonts w:ascii="宋体" w:hAnsi="宋体" w:cs="宋体"/>
          <w:szCs w:val="21"/>
          <w:highlight w:val="none"/>
        </w:rPr>
      </w:pPr>
      <w:r>
        <w:rPr>
          <w:rFonts w:hint="eastAsia" w:ascii="宋体" w:hAnsi="宋体" w:cs="宋体"/>
          <w:szCs w:val="21"/>
          <w:highlight w:val="none"/>
        </w:rPr>
        <w:t>法定代表人（签字或签章）：________________</w:t>
      </w:r>
    </w:p>
    <w:p w14:paraId="59136CDA">
      <w:pPr>
        <w:tabs>
          <w:tab w:val="left" w:pos="1230"/>
        </w:tabs>
        <w:topLinePunct/>
        <w:autoSpaceDE w:val="0"/>
        <w:autoSpaceDN w:val="0"/>
        <w:adjustRightInd w:val="0"/>
        <w:snapToGrid w:val="0"/>
        <w:spacing w:line="360" w:lineRule="auto"/>
        <w:ind w:left="363"/>
        <w:rPr>
          <w:rFonts w:ascii="宋体" w:hAnsi="宋体" w:cs="宋体"/>
          <w:szCs w:val="21"/>
          <w:highlight w:val="none"/>
        </w:rPr>
      </w:pPr>
      <w:r>
        <w:rPr>
          <w:rFonts w:hint="eastAsia" w:ascii="宋体" w:hAnsi="宋体" w:cs="宋体"/>
          <w:szCs w:val="21"/>
          <w:highlight w:val="none"/>
        </w:rPr>
        <w:t>被授权投标代表（签字）：________________</w:t>
      </w:r>
    </w:p>
    <w:p w14:paraId="050233F9">
      <w:pPr>
        <w:tabs>
          <w:tab w:val="left" w:pos="1230"/>
        </w:tabs>
        <w:topLinePunct/>
        <w:autoSpaceDE w:val="0"/>
        <w:autoSpaceDN w:val="0"/>
        <w:adjustRightInd w:val="0"/>
        <w:snapToGrid w:val="0"/>
        <w:spacing w:line="360" w:lineRule="auto"/>
        <w:ind w:left="363"/>
        <w:rPr>
          <w:rFonts w:ascii="宋体" w:hAnsi="宋体" w:cs="宋体"/>
          <w:szCs w:val="21"/>
          <w:highlight w:val="none"/>
        </w:rPr>
      </w:pPr>
      <w:r>
        <w:rPr>
          <w:rFonts w:hint="eastAsia" w:ascii="宋体" w:hAnsi="宋体" w:cs="宋体"/>
          <w:szCs w:val="21"/>
          <w:highlight w:val="none"/>
        </w:rPr>
        <w:t>被授权投标代表联系电话：____________</w:t>
      </w:r>
    </w:p>
    <w:p w14:paraId="03364B6F">
      <w:pPr>
        <w:tabs>
          <w:tab w:val="left" w:pos="1230"/>
        </w:tabs>
        <w:topLinePunct/>
        <w:autoSpaceDE w:val="0"/>
        <w:autoSpaceDN w:val="0"/>
        <w:adjustRightInd w:val="0"/>
        <w:snapToGrid w:val="0"/>
        <w:spacing w:line="360" w:lineRule="auto"/>
        <w:ind w:left="363"/>
        <w:rPr>
          <w:rFonts w:ascii="宋体" w:hAnsi="宋体" w:cs="宋体"/>
          <w:szCs w:val="21"/>
          <w:highlight w:val="none"/>
        </w:rPr>
      </w:pPr>
      <w:r>
        <w:rPr>
          <w:rFonts w:hint="eastAsia" w:ascii="宋体" w:hAnsi="宋体" w:cs="宋体"/>
          <w:szCs w:val="21"/>
          <w:highlight w:val="none"/>
        </w:rPr>
        <w:t>日期：____________</w:t>
      </w:r>
    </w:p>
    <w:p w14:paraId="5B683925">
      <w:pPr>
        <w:topLinePunct/>
        <w:autoSpaceDE w:val="0"/>
        <w:autoSpaceDN w:val="0"/>
        <w:adjustRightInd w:val="0"/>
        <w:snapToGrid w:val="0"/>
        <w:spacing w:line="360" w:lineRule="auto"/>
        <w:jc w:val="left"/>
        <w:rPr>
          <w:rFonts w:ascii="宋体" w:hAnsi="宋体" w:cs="宋体"/>
          <w:color w:val="auto"/>
          <w:highlight w:val="none"/>
        </w:rPr>
      </w:pPr>
    </w:p>
    <w:p w14:paraId="28CA9CF1">
      <w:pPr>
        <w:topLinePunct/>
        <w:autoSpaceDE w:val="0"/>
        <w:autoSpaceDN w:val="0"/>
        <w:adjustRightInd w:val="0"/>
        <w:snapToGrid w:val="0"/>
        <w:spacing w:line="360" w:lineRule="auto"/>
        <w:jc w:val="left"/>
        <w:rPr>
          <w:rFonts w:ascii="宋体" w:hAnsi="宋体" w:cs="宋体"/>
          <w:i/>
          <w:iCs/>
          <w:color w:val="auto"/>
          <w:highlight w:val="none"/>
        </w:rPr>
      </w:pPr>
      <w:r>
        <w:rPr>
          <w:rFonts w:hint="eastAsia" w:ascii="宋体" w:hAnsi="宋体" w:cs="宋体"/>
          <w:color w:val="auto"/>
          <w:highlight w:val="none"/>
        </w:rPr>
        <w:t>特别说明：</w:t>
      </w:r>
    </w:p>
    <w:p w14:paraId="08F23A91">
      <w:pPr>
        <w:tabs>
          <w:tab w:val="left" w:pos="312"/>
        </w:tabs>
        <w:topLinePunct/>
        <w:autoSpaceDE w:val="0"/>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投标人如由被授权投标代表参与投标活动的，须同时提供《法定代表人授权委托书》、法定代表人身份证明(格式见1-2)(线上采购项目提供扫描件，下同)、授权代表身份证原件。《法定代表人授权委托书》应当按本格式要求加盖与供应商名称全称一致的标准公章，并签署法定代表人或授权代表的全名或加盖名章。(线上采购项目应上传扫描件)</w:t>
      </w:r>
      <w:r>
        <w:rPr>
          <w:rFonts w:hint="eastAsia" w:ascii="宋体" w:hAnsi="宋体" w:cs="宋体"/>
          <w:color w:val="auto"/>
          <w:szCs w:val="21"/>
          <w:highlight w:val="none"/>
        </w:rPr>
        <w:t>。</w:t>
      </w:r>
    </w:p>
    <w:p w14:paraId="71574B77">
      <w:pPr>
        <w:tabs>
          <w:tab w:val="left" w:pos="312"/>
        </w:tabs>
        <w:topLinePunct/>
        <w:autoSpaceDE w:val="0"/>
        <w:autoSpaceDN w:val="0"/>
        <w:adjustRightInd w:val="0"/>
        <w:snapToGrid w:val="0"/>
        <w:spacing w:line="360" w:lineRule="auto"/>
        <w:ind w:firstLine="420" w:firstLineChars="200"/>
        <w:rPr>
          <w:rFonts w:ascii="宋体" w:hAnsi="宋体" w:cs="宋体"/>
          <w:highlight w:val="none"/>
        </w:rPr>
      </w:pPr>
    </w:p>
    <w:p w14:paraId="45052C09">
      <w:pPr>
        <w:adjustRightInd w:val="0"/>
        <w:snapToGrid w:val="0"/>
        <w:spacing w:line="360" w:lineRule="auto"/>
        <w:ind w:firstLine="723"/>
        <w:jc w:val="center"/>
        <w:rPr>
          <w:rFonts w:ascii="宋体" w:hAnsi="宋体" w:cs="宋体"/>
          <w:b/>
          <w:bCs/>
          <w:sz w:val="36"/>
          <w:szCs w:val="36"/>
          <w:highlight w:val="none"/>
        </w:rPr>
      </w:pPr>
      <w:r>
        <w:rPr>
          <w:rFonts w:hint="eastAsia" w:ascii="宋体" w:hAnsi="宋体" w:cs="宋体"/>
          <w:b/>
          <w:bCs/>
          <w:sz w:val="36"/>
          <w:szCs w:val="36"/>
          <w:highlight w:val="none"/>
        </w:rPr>
        <w:br w:type="page"/>
      </w:r>
    </w:p>
    <w:p w14:paraId="655A96EE">
      <w:pPr>
        <w:adjustRightInd w:val="0"/>
        <w:snapToGrid w:val="0"/>
        <w:spacing w:line="360" w:lineRule="auto"/>
        <w:ind w:firstLine="723"/>
        <w:jc w:val="center"/>
        <w:rPr>
          <w:rFonts w:ascii="宋体" w:hAnsi="宋体" w:cs="宋体"/>
          <w:b/>
          <w:bCs/>
          <w:sz w:val="36"/>
          <w:szCs w:val="36"/>
          <w:highlight w:val="none"/>
        </w:rPr>
      </w:pPr>
    </w:p>
    <w:p w14:paraId="4AE99667">
      <w:pPr>
        <w:adjustRightInd w:val="0"/>
        <w:snapToGrid w:val="0"/>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1-2   法定代表人身份证明</w:t>
      </w:r>
    </w:p>
    <w:p w14:paraId="4184B8DA">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b/>
          <w:bCs/>
          <w:szCs w:val="21"/>
          <w:highlight w:val="none"/>
        </w:rPr>
        <w:t>适用于法定代表人参加投标</w:t>
      </w:r>
      <w:r>
        <w:rPr>
          <w:rFonts w:hint="eastAsia" w:ascii="宋体" w:hAnsi="宋体" w:cs="宋体"/>
          <w:szCs w:val="21"/>
          <w:highlight w:val="none"/>
        </w:rPr>
        <w:t>)</w:t>
      </w:r>
    </w:p>
    <w:p w14:paraId="7B590FB0">
      <w:pPr>
        <w:topLinePunct/>
        <w:autoSpaceDE w:val="0"/>
        <w:autoSpaceDN w:val="0"/>
        <w:adjustRightInd w:val="0"/>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供应商名称：</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14:paraId="2712CCF4">
      <w:pPr>
        <w:topLinePunct/>
        <w:autoSpaceDE w:val="0"/>
        <w:autoSpaceDN w:val="0"/>
        <w:adjustRightInd w:val="0"/>
        <w:snapToGrid w:val="0"/>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注  册  号：</w:t>
      </w:r>
      <w:r>
        <w:rPr>
          <w:rFonts w:hint="eastAsia" w:ascii="宋体" w:hAnsi="宋体" w:eastAsia="宋体" w:cs="宋体"/>
          <w:szCs w:val="21"/>
          <w:highlight w:val="none"/>
          <w:u w:val="single"/>
          <w:lang w:val="en-US" w:eastAsia="zh-CN"/>
        </w:rPr>
        <w:t xml:space="preserve">                           </w:t>
      </w:r>
    </w:p>
    <w:p w14:paraId="71A911C9">
      <w:pPr>
        <w:topLinePunct/>
        <w:autoSpaceDE w:val="0"/>
        <w:autoSpaceDN w:val="0"/>
        <w:adjustRightInd w:val="0"/>
        <w:snapToGrid w:val="0"/>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注册地址：</w:t>
      </w:r>
      <w:r>
        <w:rPr>
          <w:rFonts w:hint="eastAsia" w:ascii="宋体" w:hAnsi="宋体" w:eastAsia="宋体" w:cs="宋体"/>
          <w:szCs w:val="21"/>
          <w:highlight w:val="none"/>
          <w:u w:val="single"/>
          <w:lang w:val="en-US" w:eastAsia="zh-CN"/>
        </w:rPr>
        <w:t xml:space="preserve">                           </w:t>
      </w:r>
    </w:p>
    <w:p w14:paraId="10B08188">
      <w:pPr>
        <w:topLinePunct/>
        <w:autoSpaceDE w:val="0"/>
        <w:autoSpaceDN w:val="0"/>
        <w:adjustRightInd w:val="0"/>
        <w:snapToGrid w:val="0"/>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成立时间：</w:t>
      </w:r>
      <w:r>
        <w:rPr>
          <w:rFonts w:hint="eastAsia" w:ascii="宋体" w:hAnsi="宋体" w:eastAsia="宋体" w:cs="宋体"/>
          <w:szCs w:val="21"/>
          <w:highlight w:val="none"/>
          <w:u w:val="single"/>
          <w:lang w:val="en-US" w:eastAsia="zh-CN"/>
        </w:rPr>
        <w:t xml:space="preserve">                           </w:t>
      </w:r>
    </w:p>
    <w:p w14:paraId="54C2467B">
      <w:pPr>
        <w:topLinePunct/>
        <w:autoSpaceDE w:val="0"/>
        <w:autoSpaceDN w:val="0"/>
        <w:adjustRightInd w:val="0"/>
        <w:snapToGrid w:val="0"/>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经营期限：</w:t>
      </w:r>
      <w:r>
        <w:rPr>
          <w:rFonts w:hint="eastAsia" w:ascii="宋体" w:hAnsi="宋体" w:eastAsia="宋体" w:cs="宋体"/>
          <w:szCs w:val="21"/>
          <w:highlight w:val="none"/>
          <w:u w:val="single"/>
          <w:lang w:val="en-US" w:eastAsia="zh-CN"/>
        </w:rPr>
        <w:t xml:space="preserve">                           </w:t>
      </w:r>
    </w:p>
    <w:p w14:paraId="06C54439">
      <w:pPr>
        <w:topLinePunct/>
        <w:autoSpaceDE w:val="0"/>
        <w:autoSpaceDN w:val="0"/>
        <w:adjustRightInd w:val="0"/>
        <w:snapToGrid w:val="0"/>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经营范围：</w:t>
      </w:r>
      <w:r>
        <w:rPr>
          <w:rFonts w:hint="eastAsia" w:ascii="宋体" w:hAnsi="宋体" w:eastAsia="宋体" w:cs="宋体"/>
          <w:szCs w:val="21"/>
          <w:highlight w:val="none"/>
          <w:u w:val="single"/>
          <w:lang w:val="en-US" w:eastAsia="zh-CN"/>
        </w:rPr>
        <w:t xml:space="preserve">             主营：                          兼营：              </w:t>
      </w:r>
    </w:p>
    <w:p w14:paraId="4EA7DCD8">
      <w:pPr>
        <w:topLinePunct/>
        <w:autoSpaceDE w:val="0"/>
        <w:autoSpaceDN w:val="0"/>
        <w:adjustRightInd w:val="0"/>
        <w:snapToGrid w:val="0"/>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姓名：</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性别：</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年龄：</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系</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（供应商名称）的法定代表人。</w:t>
      </w:r>
    </w:p>
    <w:p w14:paraId="11E58DA7">
      <w:pPr>
        <w:topLinePunct/>
        <w:autoSpaceDE w:val="0"/>
        <w:autoSpaceDN w:val="0"/>
        <w:adjustRightInd w:val="0"/>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特此证明。</w:t>
      </w:r>
    </w:p>
    <w:tbl>
      <w:tblPr>
        <w:tblStyle w:val="24"/>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6DC6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vAlign w:val="center"/>
          </w:tcPr>
          <w:p w14:paraId="79FF5DDB">
            <w:pPr>
              <w:pStyle w:val="16"/>
              <w:adjustRightInd w:val="0"/>
              <w:snapToGrid w:val="0"/>
              <w:spacing w:line="360" w:lineRule="auto"/>
              <w:jc w:val="center"/>
              <w:rPr>
                <w:rFonts w:hAnsi="宋体" w:cs="宋体"/>
                <w:highlight w:val="none"/>
              </w:rPr>
            </w:pPr>
          </w:p>
          <w:p w14:paraId="1F2D83E5">
            <w:pPr>
              <w:pStyle w:val="16"/>
              <w:adjustRightInd w:val="0"/>
              <w:snapToGrid w:val="0"/>
              <w:spacing w:line="360" w:lineRule="auto"/>
              <w:jc w:val="center"/>
              <w:rPr>
                <w:rFonts w:hAnsi="宋体" w:cs="宋体"/>
                <w:highlight w:val="none"/>
              </w:rPr>
            </w:pPr>
          </w:p>
          <w:p w14:paraId="739B6707">
            <w:pPr>
              <w:pStyle w:val="16"/>
              <w:adjustRightInd w:val="0"/>
              <w:snapToGrid w:val="0"/>
              <w:spacing w:line="360" w:lineRule="auto"/>
              <w:jc w:val="center"/>
              <w:rPr>
                <w:rFonts w:hAnsi="宋体" w:cs="宋体"/>
                <w:highlight w:val="none"/>
              </w:rPr>
            </w:pPr>
          </w:p>
          <w:p w14:paraId="4915826F">
            <w:pPr>
              <w:pStyle w:val="16"/>
              <w:adjustRightInd w:val="0"/>
              <w:snapToGrid w:val="0"/>
              <w:spacing w:line="360" w:lineRule="auto"/>
              <w:jc w:val="center"/>
              <w:rPr>
                <w:rFonts w:hAnsi="宋体" w:cs="宋体"/>
                <w:highlight w:val="none"/>
              </w:rPr>
            </w:pPr>
          </w:p>
          <w:p w14:paraId="1BED0ABF">
            <w:pPr>
              <w:pStyle w:val="16"/>
              <w:adjustRightInd w:val="0"/>
              <w:snapToGrid w:val="0"/>
              <w:spacing w:line="360" w:lineRule="auto"/>
              <w:jc w:val="center"/>
              <w:rPr>
                <w:rFonts w:hAnsi="宋体" w:cs="宋体"/>
                <w:highlight w:val="none"/>
              </w:rPr>
            </w:pPr>
            <w:r>
              <w:rPr>
                <w:rFonts w:hint="eastAsia" w:hAnsi="宋体" w:cs="宋体"/>
                <w:highlight w:val="none"/>
              </w:rPr>
              <w:t>法定代表人身份证明复印件</w:t>
            </w:r>
          </w:p>
          <w:p w14:paraId="21EAD8DF">
            <w:pPr>
              <w:pStyle w:val="16"/>
              <w:adjustRightInd w:val="0"/>
              <w:snapToGrid w:val="0"/>
              <w:spacing w:line="360" w:lineRule="auto"/>
              <w:jc w:val="center"/>
              <w:rPr>
                <w:rFonts w:hAnsi="宋体" w:cs="宋体"/>
                <w:highlight w:val="none"/>
              </w:rPr>
            </w:pPr>
          </w:p>
          <w:p w14:paraId="1A629565">
            <w:pPr>
              <w:pStyle w:val="16"/>
              <w:adjustRightInd w:val="0"/>
              <w:snapToGrid w:val="0"/>
              <w:spacing w:line="360" w:lineRule="auto"/>
              <w:jc w:val="center"/>
              <w:rPr>
                <w:rFonts w:hAnsi="宋体" w:cs="宋体"/>
                <w:highlight w:val="none"/>
              </w:rPr>
            </w:pPr>
          </w:p>
          <w:p w14:paraId="1B6B9F55">
            <w:pPr>
              <w:pStyle w:val="16"/>
              <w:adjustRightInd w:val="0"/>
              <w:snapToGrid w:val="0"/>
              <w:spacing w:line="360" w:lineRule="auto"/>
              <w:jc w:val="center"/>
              <w:rPr>
                <w:rFonts w:hAnsi="宋体" w:cs="宋体"/>
                <w:highlight w:val="none"/>
              </w:rPr>
            </w:pPr>
          </w:p>
          <w:p w14:paraId="570BFD7F">
            <w:pPr>
              <w:pStyle w:val="16"/>
              <w:adjustRightInd w:val="0"/>
              <w:snapToGrid w:val="0"/>
              <w:spacing w:line="360" w:lineRule="auto"/>
              <w:jc w:val="center"/>
              <w:rPr>
                <w:rFonts w:hAnsi="宋体" w:cs="宋体"/>
                <w:highlight w:val="none"/>
              </w:rPr>
            </w:pPr>
          </w:p>
        </w:tc>
      </w:tr>
    </w:tbl>
    <w:p w14:paraId="2C610F59">
      <w:pPr>
        <w:topLinePunct/>
        <w:autoSpaceDE w:val="0"/>
        <w:autoSpaceDN w:val="0"/>
        <w:adjustRightInd w:val="0"/>
        <w:snapToGrid w:val="0"/>
        <w:spacing w:line="360" w:lineRule="auto"/>
        <w:jc w:val="left"/>
        <w:rPr>
          <w:rFonts w:ascii="宋体" w:hAnsi="宋体" w:cs="宋体"/>
          <w:highlight w:val="none"/>
        </w:rPr>
      </w:pPr>
    </w:p>
    <w:p w14:paraId="3C383D53">
      <w:pPr>
        <w:tabs>
          <w:tab w:val="left" w:pos="312"/>
        </w:tabs>
        <w:topLinePunct/>
        <w:autoSpaceDE w:val="0"/>
        <w:autoSpaceDN w:val="0"/>
        <w:adjustRightInd w:val="0"/>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投标人名称（公章）：</w:t>
      </w:r>
      <w:r>
        <w:rPr>
          <w:rFonts w:hint="eastAsia" w:ascii="宋体" w:hAnsi="宋体" w:eastAsia="宋体" w:cs="宋体"/>
          <w:highlight w:val="none"/>
        </w:rPr>
        <w:t>____________</w:t>
      </w:r>
    </w:p>
    <w:p w14:paraId="22E35FCE">
      <w:pPr>
        <w:tabs>
          <w:tab w:val="left" w:pos="312"/>
        </w:tabs>
        <w:topLinePunct/>
        <w:autoSpaceDE w:val="0"/>
        <w:autoSpaceDN w:val="0"/>
        <w:adjustRightInd w:val="0"/>
        <w:snapToGrid w:val="0"/>
        <w:spacing w:line="360" w:lineRule="auto"/>
        <w:ind w:firstLine="420" w:firstLineChars="200"/>
        <w:rPr>
          <w:rFonts w:hint="default" w:ascii="宋体" w:hAnsi="宋体" w:eastAsia="宋体" w:cs="宋体"/>
          <w:highlight w:val="none"/>
          <w:lang w:val="en-US" w:eastAsia="zh-CN"/>
        </w:rPr>
      </w:pPr>
      <w:r>
        <w:rPr>
          <w:rFonts w:hint="eastAsia" w:ascii="宋体" w:hAnsi="宋体" w:eastAsia="宋体" w:cs="宋体"/>
          <w:highlight w:val="none"/>
        </w:rPr>
        <w:t>日期：____________</w:t>
      </w:r>
    </w:p>
    <w:p w14:paraId="12BC414E">
      <w:pPr>
        <w:rPr>
          <w:rFonts w:hint="default"/>
          <w:highlight w:val="none"/>
          <w:lang w:val="en-US" w:eastAsia="zh-CN"/>
        </w:rPr>
      </w:pPr>
    </w:p>
    <w:p w14:paraId="2D09F63D">
      <w:pPr>
        <w:topLinePunct/>
        <w:autoSpaceDE w:val="0"/>
        <w:autoSpaceDN w:val="0"/>
        <w:adjustRightInd w:val="0"/>
        <w:snapToGrid w:val="0"/>
        <w:spacing w:line="360" w:lineRule="auto"/>
        <w:jc w:val="left"/>
        <w:rPr>
          <w:rFonts w:hint="eastAsia" w:ascii="宋体" w:hAnsi="宋体" w:cs="宋体"/>
          <w:highlight w:val="none"/>
        </w:rPr>
      </w:pPr>
    </w:p>
    <w:p w14:paraId="6502E21D">
      <w:pPr>
        <w:tabs>
          <w:tab w:val="left" w:pos="312"/>
        </w:tabs>
        <w:topLinePunct/>
        <w:autoSpaceDE w:val="0"/>
        <w:autoSpaceDN w:val="0"/>
        <w:adjustRightInd w:val="0"/>
        <w:snapToGrid w:val="0"/>
        <w:spacing w:line="360" w:lineRule="auto"/>
        <w:ind w:firstLine="420" w:firstLineChars="200"/>
        <w:rPr>
          <w:rFonts w:hint="eastAsia" w:ascii="宋体" w:hAnsi="宋体" w:eastAsia="宋体" w:cs="宋体"/>
          <w:color w:val="FF0000"/>
          <w:highlight w:val="none"/>
        </w:rPr>
      </w:pPr>
    </w:p>
    <w:p w14:paraId="33A5856D">
      <w:pPr>
        <w:pStyle w:val="16"/>
        <w:ind w:firstLine="420" w:firstLineChars="200"/>
        <w:rPr>
          <w:rFonts w:hAnsi="宋体" w:cs="宋体"/>
          <w:highlight w:val="none"/>
        </w:rPr>
      </w:pPr>
    </w:p>
    <w:p w14:paraId="0CA0FC15">
      <w:pPr>
        <w:widowControl/>
        <w:ind w:firstLine="723"/>
        <w:jc w:val="left"/>
        <w:rPr>
          <w:rFonts w:ascii="宋体" w:hAnsi="宋体" w:cs="宋体"/>
          <w:b/>
          <w:bCs/>
          <w:sz w:val="36"/>
          <w:szCs w:val="36"/>
          <w:highlight w:val="none"/>
        </w:rPr>
      </w:pPr>
      <w:r>
        <w:rPr>
          <w:rFonts w:hint="eastAsia" w:ascii="宋体" w:hAnsi="宋体" w:cs="宋体"/>
          <w:b/>
          <w:bCs/>
          <w:sz w:val="36"/>
          <w:szCs w:val="36"/>
          <w:highlight w:val="none"/>
        </w:rPr>
        <w:br w:type="page"/>
      </w:r>
    </w:p>
    <w:p w14:paraId="7F171496">
      <w:pPr>
        <w:adjustRightInd w:val="0"/>
        <w:snapToGrid w:val="0"/>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二、投标函</w:t>
      </w:r>
    </w:p>
    <w:p w14:paraId="32C8FF83">
      <w:pPr>
        <w:spacing w:line="360" w:lineRule="auto"/>
        <w:rPr>
          <w:rFonts w:ascii="宋体" w:hAnsi="宋体" w:cs="宋体"/>
          <w:highlight w:val="none"/>
        </w:rPr>
      </w:pPr>
    </w:p>
    <w:p w14:paraId="19466768">
      <w:pPr>
        <w:spacing w:line="360" w:lineRule="auto"/>
        <w:rPr>
          <w:rFonts w:ascii="宋体" w:hAnsi="宋体" w:cs="宋体"/>
          <w:highlight w:val="none"/>
        </w:rPr>
      </w:pPr>
      <w:r>
        <w:rPr>
          <w:rFonts w:hint="eastAsia" w:ascii="宋体" w:hAnsi="宋体" w:cs="宋体"/>
          <w:highlight w:val="none"/>
        </w:rPr>
        <w:t>致________（采购人或采购代理机构）：</w:t>
      </w:r>
    </w:p>
    <w:p w14:paraId="3A77871A">
      <w:pPr>
        <w:spacing w:line="360" w:lineRule="auto"/>
        <w:ind w:firstLine="420" w:firstLineChars="200"/>
        <w:rPr>
          <w:rFonts w:ascii="宋体" w:hAnsi="宋体" w:cs="宋体"/>
          <w:highlight w:val="none"/>
        </w:rPr>
      </w:pPr>
      <w:r>
        <w:rPr>
          <w:rFonts w:hint="eastAsia" w:ascii="宋体" w:hAnsi="宋体" w:cs="宋体"/>
          <w:highlight w:val="none"/>
        </w:rPr>
        <w:t>根据______（项目名称）（项目编号：______）的招标公告，______（姓名、职务）代表投标人______（投标人名称、地址）参加项目招标的有关活动。据此函，作如下承诺：</w:t>
      </w:r>
    </w:p>
    <w:p w14:paraId="4E7F4269">
      <w:pPr>
        <w:spacing w:line="360" w:lineRule="auto"/>
        <w:ind w:firstLine="420" w:firstLineChars="200"/>
        <w:rPr>
          <w:rFonts w:ascii="宋体" w:hAnsi="宋体" w:cs="宋体"/>
          <w:highlight w:val="none"/>
        </w:rPr>
      </w:pPr>
      <w:r>
        <w:rPr>
          <w:rFonts w:hint="eastAsia" w:ascii="宋体" w:hAnsi="宋体" w:cs="宋体"/>
          <w:highlight w:val="none"/>
        </w:rPr>
        <w:t>1.同意在本项目招标文件中规定的开标日起</w:t>
      </w:r>
      <w:r>
        <w:rPr>
          <w:rFonts w:ascii="宋体" w:hAnsi="宋体" w:cs="宋体"/>
          <w:highlight w:val="none"/>
        </w:rPr>
        <w:t>______</w:t>
      </w:r>
      <w:r>
        <w:rPr>
          <w:rFonts w:hint="eastAsia" w:ascii="宋体" w:hAnsi="宋体" w:cs="宋体"/>
          <w:highlight w:val="none"/>
        </w:rPr>
        <w:t>天遵守本投标文件中的承诺，且在期满之前均具有约束力。</w:t>
      </w:r>
    </w:p>
    <w:p w14:paraId="5A0E7923">
      <w:pPr>
        <w:spacing w:line="360" w:lineRule="auto"/>
        <w:ind w:firstLine="420" w:firstLineChars="200"/>
        <w:rPr>
          <w:rFonts w:ascii="宋体" w:hAnsi="宋体" w:cs="宋体"/>
          <w:highlight w:val="none"/>
        </w:rPr>
      </w:pPr>
      <w:r>
        <w:rPr>
          <w:rFonts w:hint="eastAsia" w:ascii="宋体" w:hAnsi="宋体" w:cs="宋体"/>
          <w:highlight w:val="none"/>
        </w:rPr>
        <w:t>2.具备政府采购相关法律法规规定的参加政府采购活动的供应商应当具备的条件：</w:t>
      </w:r>
    </w:p>
    <w:p w14:paraId="2B1629A8">
      <w:pPr>
        <w:spacing w:line="360" w:lineRule="auto"/>
        <w:ind w:firstLine="420" w:firstLineChars="200"/>
        <w:rPr>
          <w:rFonts w:ascii="宋体" w:hAnsi="宋体" w:cs="宋体"/>
          <w:highlight w:val="none"/>
        </w:rPr>
      </w:pPr>
      <w:r>
        <w:rPr>
          <w:rFonts w:hint="eastAsia" w:ascii="宋体" w:hAnsi="宋体" w:cs="宋体"/>
          <w:highlight w:val="none"/>
        </w:rPr>
        <w:t>（1）具有独立承担民事责任的能力；</w:t>
      </w:r>
    </w:p>
    <w:p w14:paraId="1DE5E0CE">
      <w:pPr>
        <w:spacing w:line="360" w:lineRule="auto"/>
        <w:ind w:firstLine="420" w:firstLineChars="200"/>
        <w:rPr>
          <w:rFonts w:ascii="宋体" w:hAnsi="宋体" w:cs="宋体"/>
          <w:highlight w:val="none"/>
        </w:rPr>
      </w:pPr>
      <w:r>
        <w:rPr>
          <w:rFonts w:hint="eastAsia" w:ascii="宋体" w:hAnsi="宋体" w:cs="宋体"/>
          <w:highlight w:val="none"/>
        </w:rPr>
        <w:t>（2）具有良好的商业信誉和健全的财务会计制度；</w:t>
      </w:r>
    </w:p>
    <w:p w14:paraId="52D8A2CA">
      <w:pPr>
        <w:spacing w:line="360" w:lineRule="auto"/>
        <w:ind w:firstLine="420" w:firstLineChars="200"/>
        <w:rPr>
          <w:rFonts w:ascii="宋体" w:hAnsi="宋体" w:cs="宋体"/>
          <w:highlight w:val="none"/>
        </w:rPr>
      </w:pPr>
      <w:r>
        <w:rPr>
          <w:rFonts w:hint="eastAsia" w:ascii="宋体" w:hAnsi="宋体" w:cs="宋体"/>
          <w:highlight w:val="none"/>
        </w:rPr>
        <w:t>（3）具有履行合同所必需的设备和专业技术能力；</w:t>
      </w:r>
    </w:p>
    <w:p w14:paraId="2EA646BE">
      <w:pPr>
        <w:spacing w:line="360" w:lineRule="auto"/>
        <w:ind w:firstLine="420" w:firstLineChars="200"/>
        <w:rPr>
          <w:rFonts w:ascii="宋体" w:hAnsi="宋体" w:cs="宋体"/>
          <w:highlight w:val="none"/>
        </w:rPr>
      </w:pPr>
      <w:r>
        <w:rPr>
          <w:rFonts w:hint="eastAsia" w:ascii="宋体" w:hAnsi="宋体" w:cs="宋体"/>
          <w:highlight w:val="none"/>
        </w:rPr>
        <w:t>（4）有依法缴纳税收和社会保障资金的良好记录；</w:t>
      </w:r>
    </w:p>
    <w:p w14:paraId="5B547CB9">
      <w:pPr>
        <w:spacing w:line="360" w:lineRule="auto"/>
        <w:ind w:firstLine="420" w:firstLineChars="200"/>
        <w:rPr>
          <w:rFonts w:ascii="宋体" w:hAnsi="宋体" w:cs="宋体"/>
          <w:highlight w:val="none"/>
        </w:rPr>
      </w:pPr>
      <w:r>
        <w:rPr>
          <w:rFonts w:hint="eastAsia" w:ascii="宋体" w:hAnsi="宋体" w:cs="宋体"/>
          <w:highlight w:val="none"/>
        </w:rPr>
        <w:t>（5）参加此项采购活动前三年内，在经营活动中没有重大违法记录。</w:t>
      </w:r>
    </w:p>
    <w:p w14:paraId="224DEC52">
      <w:pPr>
        <w:spacing w:line="360" w:lineRule="auto"/>
        <w:ind w:firstLine="420" w:firstLineChars="200"/>
        <w:rPr>
          <w:rFonts w:ascii="宋体" w:hAnsi="宋体" w:cs="宋体"/>
          <w:highlight w:val="none"/>
        </w:rPr>
      </w:pPr>
      <w:r>
        <w:rPr>
          <w:rFonts w:hint="eastAsia" w:ascii="宋体" w:hAnsi="宋体" w:cs="宋体"/>
          <w:highlight w:val="none"/>
        </w:rPr>
        <w:t xml:space="preserve">（6）法律、行政法规规定的其他条件。 </w:t>
      </w:r>
    </w:p>
    <w:p w14:paraId="18C9375F">
      <w:pPr>
        <w:spacing w:line="360" w:lineRule="auto"/>
        <w:ind w:firstLine="420" w:firstLineChars="200"/>
        <w:rPr>
          <w:rFonts w:ascii="宋体" w:hAnsi="宋体" w:cs="宋体"/>
          <w:highlight w:val="none"/>
        </w:rPr>
      </w:pPr>
      <w:r>
        <w:rPr>
          <w:rFonts w:hint="eastAsia" w:ascii="宋体" w:hAnsi="宋体" w:cs="宋体"/>
          <w:highlight w:val="none"/>
        </w:rPr>
        <w:t>3.具备本项目招标文件中规定的其他要求和资质条件。</w:t>
      </w:r>
    </w:p>
    <w:p w14:paraId="509472CA">
      <w:pPr>
        <w:spacing w:line="360" w:lineRule="auto"/>
        <w:ind w:firstLine="420" w:firstLineChars="200"/>
        <w:rPr>
          <w:rFonts w:ascii="宋体" w:hAnsi="宋体" w:cs="宋体"/>
          <w:highlight w:val="none"/>
        </w:rPr>
      </w:pPr>
      <w:r>
        <w:rPr>
          <w:rFonts w:hint="eastAsia" w:ascii="宋体" w:hAnsi="宋体" w:cs="宋体"/>
          <w:highlight w:val="none"/>
        </w:rPr>
        <w:t>4.提供投标人须知规定的全部投标文件。</w:t>
      </w:r>
    </w:p>
    <w:p w14:paraId="5C42F892">
      <w:pPr>
        <w:spacing w:line="360" w:lineRule="auto"/>
        <w:ind w:firstLine="420" w:firstLineChars="200"/>
        <w:rPr>
          <w:rFonts w:ascii="宋体" w:hAnsi="宋体" w:cs="宋体"/>
          <w:highlight w:val="none"/>
        </w:rPr>
      </w:pPr>
      <w:r>
        <w:rPr>
          <w:rFonts w:hint="eastAsia" w:ascii="宋体" w:hAnsi="宋体" w:cs="宋体"/>
          <w:highlight w:val="none"/>
        </w:rPr>
        <w:t>5.已详细审阅全部招标文件（包括招标文件澄清函），理解投标人须知的所有条款。</w:t>
      </w:r>
    </w:p>
    <w:p w14:paraId="4068745C">
      <w:pPr>
        <w:spacing w:line="360" w:lineRule="auto"/>
        <w:ind w:firstLine="420" w:firstLineChars="200"/>
        <w:rPr>
          <w:rFonts w:ascii="宋体" w:hAnsi="宋体" w:cs="宋体"/>
          <w:highlight w:val="none"/>
        </w:rPr>
      </w:pPr>
      <w:r>
        <w:rPr>
          <w:rFonts w:hint="eastAsia" w:ascii="宋体" w:hAnsi="宋体" w:cs="宋体"/>
          <w:highlight w:val="none"/>
        </w:rPr>
        <w:t>6.完全理解贵方“最低报价不能作为中标的保证”的规定。</w:t>
      </w:r>
    </w:p>
    <w:p w14:paraId="142C46E0">
      <w:pPr>
        <w:spacing w:line="360" w:lineRule="auto"/>
        <w:ind w:firstLine="420" w:firstLineChars="200"/>
        <w:rPr>
          <w:rFonts w:ascii="宋体" w:hAnsi="宋体" w:cs="宋体"/>
          <w:highlight w:val="none"/>
        </w:rPr>
      </w:pPr>
      <w:r>
        <w:rPr>
          <w:rFonts w:hint="eastAsia" w:ascii="宋体" w:hAnsi="宋体" w:cs="宋体"/>
          <w:highlight w:val="none"/>
        </w:rPr>
        <w:t>7.接受招标文件中全部合同条款，且无任何异议；保证忠实地执行双方所签订的合同，并承担合同规定的责任和义务。</w:t>
      </w:r>
    </w:p>
    <w:p w14:paraId="00588A7D">
      <w:pPr>
        <w:spacing w:line="360" w:lineRule="auto"/>
        <w:ind w:firstLine="420" w:firstLineChars="200"/>
        <w:rPr>
          <w:rFonts w:ascii="宋体" w:hAnsi="宋体" w:cs="宋体"/>
          <w:highlight w:val="none"/>
        </w:rPr>
      </w:pPr>
      <w:r>
        <w:rPr>
          <w:rFonts w:hint="eastAsia" w:ascii="宋体" w:hAnsi="宋体" w:cs="宋体"/>
          <w:highlight w:val="none"/>
        </w:rPr>
        <w:t>8.完全满足和响应招标文件中的各项商务和技术要求，若有偏差，已在投标文件中明确说明。</w:t>
      </w:r>
    </w:p>
    <w:p w14:paraId="022781EE">
      <w:pPr>
        <w:spacing w:line="360" w:lineRule="auto"/>
        <w:ind w:firstLine="420" w:firstLineChars="200"/>
        <w:rPr>
          <w:rFonts w:ascii="宋体" w:hAnsi="宋体" w:cs="宋体"/>
          <w:highlight w:val="none"/>
        </w:rPr>
      </w:pPr>
      <w:r>
        <w:rPr>
          <w:rFonts w:hint="eastAsia" w:ascii="宋体" w:hAnsi="宋体" w:cs="宋体"/>
          <w:highlight w:val="none"/>
        </w:rPr>
        <w:t>9.愿意提供任何与投标有关的数据、情况和技术资料等。若贵方需要，愿意提供一切证明材料。</w:t>
      </w:r>
    </w:p>
    <w:p w14:paraId="34CEA411">
      <w:pPr>
        <w:spacing w:line="360" w:lineRule="auto"/>
        <w:ind w:firstLine="420" w:firstLineChars="200"/>
        <w:rPr>
          <w:rFonts w:ascii="宋体" w:hAnsi="宋体" w:cs="宋体"/>
          <w:highlight w:val="none"/>
        </w:rPr>
      </w:pPr>
      <w:r>
        <w:rPr>
          <w:rFonts w:hint="eastAsia" w:ascii="宋体" w:hAnsi="宋体" w:cs="宋体"/>
          <w:highlight w:val="none"/>
        </w:rPr>
        <w:t>10.我方已详细审核全部投标文件、参考资料及有关附件，确认无误。</w:t>
      </w:r>
    </w:p>
    <w:p w14:paraId="24AC9864">
      <w:pPr>
        <w:spacing w:line="360" w:lineRule="auto"/>
        <w:ind w:firstLine="420" w:firstLineChars="200"/>
        <w:rPr>
          <w:rFonts w:ascii="宋体" w:hAnsi="宋体" w:cs="宋体"/>
          <w:highlight w:val="none"/>
        </w:rPr>
      </w:pPr>
      <w:r>
        <w:rPr>
          <w:rFonts w:hint="eastAsia" w:ascii="宋体" w:hAnsi="宋体" w:cs="宋体"/>
          <w:highlight w:val="none"/>
        </w:rPr>
        <w:t>11.对本次招标内容及与本项目有关的知识产权、技术资料、商业秘密及相关信息保密。</w:t>
      </w:r>
    </w:p>
    <w:p w14:paraId="74E5642E">
      <w:pPr>
        <w:spacing w:line="360" w:lineRule="auto"/>
        <w:ind w:firstLine="420" w:firstLineChars="200"/>
        <w:rPr>
          <w:rFonts w:ascii="宋体" w:hAnsi="宋体" w:cs="宋体"/>
          <w:highlight w:val="none"/>
        </w:rPr>
      </w:pPr>
      <w:r>
        <w:rPr>
          <w:rFonts w:hint="eastAsia" w:ascii="宋体" w:hAnsi="宋体" w:cs="宋体"/>
          <w:highlight w:val="none"/>
        </w:rPr>
        <w:t>12.已知悉并承诺遵守《税务系统信息化服务商失信行为记录名单制度(试行) 》关于失信行为进行记录和结果应用的相关规定，及对于违反网络安全规定行为造成不良后果、“围猎”税务人员、违法违规聘用离职税务人员、国家税务总局发票电子化改革领导小组办公室认定的失信行为，3年内限制参加税务系统政府采购活动的相关规定。</w:t>
      </w:r>
    </w:p>
    <w:p w14:paraId="6CA2AF1B">
      <w:pPr>
        <w:spacing w:line="360" w:lineRule="auto"/>
        <w:ind w:firstLine="420" w:firstLineChars="200"/>
        <w:rPr>
          <w:rFonts w:ascii="宋体" w:hAnsi="宋体" w:cs="宋体"/>
          <w:highlight w:val="none"/>
        </w:rPr>
      </w:pPr>
    </w:p>
    <w:p w14:paraId="71C383A5">
      <w:pPr>
        <w:spacing w:line="360" w:lineRule="auto"/>
        <w:ind w:firstLine="420" w:firstLineChars="200"/>
        <w:rPr>
          <w:rFonts w:ascii="宋体" w:hAnsi="宋体" w:cs="宋体"/>
          <w:highlight w:val="none"/>
        </w:rPr>
      </w:pPr>
    </w:p>
    <w:p w14:paraId="21379DA6">
      <w:pPr>
        <w:spacing w:line="360" w:lineRule="auto"/>
        <w:ind w:firstLine="420" w:firstLineChars="200"/>
        <w:rPr>
          <w:rFonts w:ascii="宋体" w:hAnsi="宋体" w:cs="宋体"/>
          <w:highlight w:val="none"/>
        </w:rPr>
      </w:pPr>
    </w:p>
    <w:p w14:paraId="6F83FF17">
      <w:pPr>
        <w:spacing w:line="360" w:lineRule="auto"/>
        <w:ind w:firstLine="420" w:firstLineChars="200"/>
        <w:rPr>
          <w:rFonts w:ascii="宋体" w:hAnsi="宋体" w:cs="宋体"/>
          <w:highlight w:val="none"/>
        </w:rPr>
      </w:pPr>
      <w:r>
        <w:rPr>
          <w:rFonts w:hint="eastAsia" w:ascii="宋体" w:hAnsi="宋体" w:cs="宋体"/>
          <w:highlight w:val="none"/>
        </w:rPr>
        <w:t>投标人名称（公章）：____________</w:t>
      </w:r>
    </w:p>
    <w:p w14:paraId="7D2AC040">
      <w:pPr>
        <w:spacing w:line="360" w:lineRule="auto"/>
        <w:ind w:firstLine="420" w:firstLineChars="200"/>
        <w:rPr>
          <w:rFonts w:ascii="宋体" w:hAnsi="宋体" w:cs="宋体"/>
          <w:highlight w:val="none"/>
        </w:rPr>
      </w:pPr>
      <w:r>
        <w:rPr>
          <w:rFonts w:hint="eastAsia" w:ascii="宋体" w:hAnsi="宋体" w:cs="宋体"/>
          <w:highlight w:val="none"/>
        </w:rPr>
        <w:t>法定代表人（签字或签章）/被授权投标代表（签字）：____________</w:t>
      </w:r>
    </w:p>
    <w:p w14:paraId="311D529D">
      <w:pPr>
        <w:spacing w:line="360" w:lineRule="auto"/>
        <w:ind w:firstLine="420" w:firstLineChars="200"/>
        <w:rPr>
          <w:rFonts w:ascii="宋体" w:hAnsi="宋体" w:cs="宋体"/>
          <w:highlight w:val="none"/>
        </w:rPr>
      </w:pPr>
      <w:r>
        <w:rPr>
          <w:rFonts w:hint="eastAsia" w:ascii="宋体" w:hAnsi="宋体" w:cs="宋体"/>
          <w:highlight w:val="none"/>
        </w:rPr>
        <w:t>投标人地址：____________</w:t>
      </w:r>
    </w:p>
    <w:p w14:paraId="7644E778">
      <w:pPr>
        <w:spacing w:line="360" w:lineRule="auto"/>
        <w:ind w:firstLine="420" w:firstLineChars="200"/>
        <w:rPr>
          <w:rFonts w:ascii="宋体" w:hAnsi="宋体" w:cs="宋体"/>
          <w:highlight w:val="none"/>
        </w:rPr>
      </w:pPr>
      <w:r>
        <w:rPr>
          <w:rFonts w:hint="eastAsia" w:ascii="宋体" w:hAnsi="宋体" w:cs="宋体"/>
          <w:highlight w:val="none"/>
        </w:rPr>
        <w:t>邮编：____________</w:t>
      </w:r>
    </w:p>
    <w:p w14:paraId="7201712B">
      <w:pPr>
        <w:spacing w:line="360" w:lineRule="auto"/>
        <w:ind w:firstLine="420" w:firstLineChars="200"/>
        <w:rPr>
          <w:rFonts w:ascii="宋体" w:hAnsi="宋体" w:cs="宋体"/>
          <w:highlight w:val="none"/>
        </w:rPr>
      </w:pPr>
      <w:r>
        <w:rPr>
          <w:rFonts w:hint="eastAsia" w:ascii="宋体" w:hAnsi="宋体" w:cs="宋体"/>
          <w:highlight w:val="none"/>
        </w:rPr>
        <w:t>电话：____________</w:t>
      </w:r>
    </w:p>
    <w:p w14:paraId="52D1C12E">
      <w:pPr>
        <w:spacing w:line="360" w:lineRule="auto"/>
        <w:ind w:firstLine="420" w:firstLineChars="200"/>
        <w:rPr>
          <w:rFonts w:ascii="宋体" w:hAnsi="宋体" w:cs="宋体"/>
          <w:highlight w:val="none"/>
        </w:rPr>
      </w:pPr>
      <w:r>
        <w:rPr>
          <w:rFonts w:hint="eastAsia" w:ascii="宋体" w:hAnsi="宋体" w:cs="宋体"/>
          <w:highlight w:val="none"/>
        </w:rPr>
        <w:t>传真：____________</w:t>
      </w:r>
    </w:p>
    <w:p w14:paraId="5CA4F841">
      <w:pPr>
        <w:spacing w:line="360" w:lineRule="auto"/>
        <w:ind w:firstLine="420" w:firstLineChars="200"/>
        <w:rPr>
          <w:rFonts w:ascii="宋体" w:hAnsi="宋体" w:cs="宋体"/>
          <w:highlight w:val="none"/>
        </w:rPr>
      </w:pPr>
      <w:r>
        <w:rPr>
          <w:rFonts w:hint="eastAsia" w:ascii="宋体" w:hAnsi="宋体" w:cs="宋体"/>
          <w:highlight w:val="none"/>
        </w:rPr>
        <w:t>日期：____________</w:t>
      </w:r>
    </w:p>
    <w:p w14:paraId="30ABAA9A">
      <w:pPr>
        <w:spacing w:line="360" w:lineRule="auto"/>
        <w:ind w:firstLine="420" w:firstLineChars="200"/>
        <w:rPr>
          <w:rFonts w:ascii="宋体" w:hAnsi="宋体" w:cs="宋体"/>
          <w:highlight w:val="none"/>
        </w:rPr>
      </w:pPr>
    </w:p>
    <w:p w14:paraId="0A5F53AA">
      <w:pPr>
        <w:ind w:firstLine="480" w:firstLineChars="200"/>
        <w:rPr>
          <w:rFonts w:ascii="宋体" w:hAnsi="宋体" w:cs="宋体"/>
          <w:sz w:val="24"/>
          <w:highlight w:val="none"/>
        </w:rPr>
      </w:pPr>
    </w:p>
    <w:p w14:paraId="70CEA573">
      <w:pPr>
        <w:adjustRightInd w:val="0"/>
        <w:snapToGrid w:val="0"/>
        <w:spacing w:line="360" w:lineRule="auto"/>
        <w:rPr>
          <w:rFonts w:ascii="宋体" w:hAnsi="宋体" w:cs="宋体"/>
          <w:highlight w:val="none"/>
        </w:rPr>
      </w:pPr>
      <w:r>
        <w:rPr>
          <w:rFonts w:hint="eastAsia" w:ascii="宋体" w:hAnsi="宋体" w:cs="宋体"/>
          <w:highlight w:val="none"/>
        </w:rPr>
        <w:t>特别说明：</w:t>
      </w:r>
    </w:p>
    <w:p w14:paraId="52DBABE0">
      <w:pPr>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投标人应当按上述格式要求加盖与投标人名称全称一致的标准公章，并签署法定代表人或</w:t>
      </w:r>
      <w:r>
        <w:rPr>
          <w:rFonts w:hint="eastAsia" w:ascii="宋体" w:hAnsi="宋体" w:cs="宋体"/>
          <w:bCs/>
          <w:szCs w:val="21"/>
          <w:highlight w:val="none"/>
        </w:rPr>
        <w:t>被授权投标代表</w:t>
      </w:r>
      <w:r>
        <w:rPr>
          <w:rFonts w:hint="eastAsia" w:ascii="宋体" w:hAnsi="宋体" w:cs="宋体"/>
          <w:szCs w:val="21"/>
          <w:highlight w:val="none"/>
        </w:rPr>
        <w:t>的全名或加盖名章。</w:t>
      </w:r>
    </w:p>
    <w:p w14:paraId="14E23506">
      <w:pPr>
        <w:adjustRightInd w:val="0"/>
        <w:snapToGrid w:val="0"/>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br w:type="page"/>
      </w:r>
      <w:r>
        <w:rPr>
          <w:rFonts w:hint="eastAsia" w:ascii="宋体" w:hAnsi="宋体" w:cs="宋体"/>
          <w:b/>
          <w:bCs/>
          <w:sz w:val="28"/>
          <w:szCs w:val="28"/>
          <w:highlight w:val="none"/>
        </w:rPr>
        <w:t>三、投标报价表</w:t>
      </w:r>
    </w:p>
    <w:p w14:paraId="6D86E4BF">
      <w:pPr>
        <w:pStyle w:val="16"/>
        <w:topLinePunct/>
        <w:autoSpaceDE w:val="0"/>
        <w:autoSpaceDN w:val="0"/>
        <w:adjustRightInd w:val="0"/>
        <w:snapToGrid w:val="0"/>
        <w:spacing w:line="360" w:lineRule="auto"/>
        <w:jc w:val="center"/>
        <w:rPr>
          <w:rFonts w:hAnsi="宋体" w:cs="宋体"/>
          <w:b/>
          <w:bCs/>
          <w:sz w:val="28"/>
          <w:szCs w:val="28"/>
          <w:highlight w:val="none"/>
        </w:rPr>
      </w:pPr>
      <w:r>
        <w:rPr>
          <w:rFonts w:hint="eastAsia" w:hAnsi="宋体" w:cs="宋体"/>
          <w:b/>
          <w:bCs/>
          <w:sz w:val="28"/>
          <w:szCs w:val="28"/>
          <w:highlight w:val="none"/>
        </w:rPr>
        <w:t>1.开标一览表（总报价表）</w:t>
      </w:r>
    </w:p>
    <w:p w14:paraId="16E92378">
      <w:pPr>
        <w:pStyle w:val="16"/>
        <w:topLinePunct/>
        <w:autoSpaceDE w:val="0"/>
        <w:autoSpaceDN w:val="0"/>
        <w:adjustRightInd w:val="0"/>
        <w:snapToGrid w:val="0"/>
        <w:spacing w:line="360" w:lineRule="auto"/>
        <w:jc w:val="center"/>
        <w:rPr>
          <w:rFonts w:hAnsi="宋体" w:cs="宋体"/>
          <w:highlight w:val="none"/>
        </w:rPr>
      </w:pPr>
      <w:r>
        <w:rPr>
          <w:rFonts w:hint="eastAsia" w:hAnsi="宋体" w:cs="宋体"/>
          <w:highlight w:val="none"/>
        </w:rPr>
        <w:t>(</w:t>
      </w:r>
      <w:r>
        <w:rPr>
          <w:rFonts w:hint="eastAsia" w:hAnsi="宋体" w:cs="宋体"/>
          <w:highlight w:val="none"/>
          <w:lang w:val="en-US" w:eastAsia="zh-CN"/>
        </w:rPr>
        <w:t>服务</w:t>
      </w:r>
      <w:r>
        <w:rPr>
          <w:rFonts w:hint="eastAsia" w:hAnsi="宋体" w:cs="宋体"/>
          <w:highlight w:val="none"/>
        </w:rPr>
        <w:t>类项目适用)</w:t>
      </w:r>
    </w:p>
    <w:p w14:paraId="155DABBD">
      <w:pPr>
        <w:topLinePunct/>
        <w:autoSpaceDE w:val="0"/>
        <w:autoSpaceDN w:val="0"/>
        <w:adjustRightInd w:val="0"/>
        <w:snapToGrid w:val="0"/>
        <w:spacing w:line="360" w:lineRule="auto"/>
        <w:jc w:val="left"/>
        <w:rPr>
          <w:rFonts w:ascii="宋体" w:hAnsi="宋体" w:cs="宋体"/>
          <w:highlight w:val="none"/>
        </w:rPr>
      </w:pPr>
      <w:r>
        <w:rPr>
          <w:rFonts w:hint="eastAsia" w:ascii="宋体" w:hAnsi="宋体" w:cs="宋体"/>
          <w:highlight w:val="none"/>
        </w:rPr>
        <w:t xml:space="preserve">项目名称：____________ </w:t>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ab/>
      </w:r>
      <w:r>
        <w:rPr>
          <w:rFonts w:hint="eastAsia" w:ascii="宋体" w:hAnsi="宋体" w:cs="宋体"/>
          <w:highlight w:val="none"/>
        </w:rPr>
        <w:t xml:space="preserve">项目编号：____________ </w:t>
      </w:r>
    </w:p>
    <w:p w14:paraId="6ECED213">
      <w:pPr>
        <w:adjustRightInd w:val="0"/>
        <w:snapToGrid w:val="0"/>
        <w:spacing w:line="360" w:lineRule="auto"/>
        <w:ind w:right="840"/>
        <w:rPr>
          <w:rFonts w:ascii="宋体" w:hAnsi="宋体" w:cs="宋体"/>
          <w:highlight w:val="none"/>
        </w:rPr>
      </w:pPr>
      <w:r>
        <w:rPr>
          <w:rFonts w:hint="eastAsia" w:ascii="宋体" w:hAnsi="宋体" w:cs="宋体"/>
          <w:highlight w:val="none"/>
        </w:rPr>
        <w:t>采购包号：____________                                  价格单位：人民币   元</w:t>
      </w:r>
    </w:p>
    <w:tbl>
      <w:tblPr>
        <w:tblStyle w:val="24"/>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4498"/>
        <w:gridCol w:w="2956"/>
      </w:tblGrid>
      <w:tr w14:paraId="632F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856" w:type="dxa"/>
            <w:vAlign w:val="center"/>
          </w:tcPr>
          <w:p w14:paraId="299E09DD">
            <w:pPr>
              <w:adjustRightInd w:val="0"/>
              <w:snapToGrid w:val="0"/>
              <w:spacing w:before="48" w:beforeLines="20" w:after="48" w:afterLines="20"/>
              <w:jc w:val="center"/>
              <w:rPr>
                <w:rFonts w:ascii="宋体" w:hAnsi="宋体" w:cs="宋体"/>
                <w:b/>
                <w:szCs w:val="21"/>
                <w:highlight w:val="none"/>
              </w:rPr>
            </w:pPr>
            <w:r>
              <w:rPr>
                <w:rFonts w:hint="eastAsia" w:ascii="宋体" w:hAnsi="宋体" w:cs="宋体"/>
                <w:b/>
                <w:szCs w:val="21"/>
                <w:highlight w:val="none"/>
              </w:rPr>
              <w:t>序号</w:t>
            </w:r>
          </w:p>
        </w:tc>
        <w:tc>
          <w:tcPr>
            <w:tcW w:w="4498" w:type="dxa"/>
            <w:vAlign w:val="center"/>
          </w:tcPr>
          <w:p w14:paraId="77E9E5C1">
            <w:pPr>
              <w:adjustRightInd w:val="0"/>
              <w:snapToGrid w:val="0"/>
              <w:spacing w:before="48" w:beforeLines="20" w:after="48" w:afterLines="20"/>
              <w:jc w:val="center"/>
              <w:rPr>
                <w:rFonts w:ascii="宋体" w:hAnsi="宋体" w:cs="宋体"/>
                <w:b/>
                <w:szCs w:val="21"/>
                <w:highlight w:val="none"/>
              </w:rPr>
            </w:pPr>
            <w:r>
              <w:rPr>
                <w:rFonts w:hint="eastAsia" w:ascii="宋体" w:hAnsi="宋体" w:cs="宋体"/>
                <w:b/>
                <w:szCs w:val="21"/>
                <w:highlight w:val="none"/>
              </w:rPr>
              <w:t>内容</w:t>
            </w:r>
          </w:p>
        </w:tc>
        <w:tc>
          <w:tcPr>
            <w:tcW w:w="2956" w:type="dxa"/>
            <w:vAlign w:val="center"/>
          </w:tcPr>
          <w:p w14:paraId="2AE1AEF0">
            <w:pPr>
              <w:adjustRightInd w:val="0"/>
              <w:snapToGrid w:val="0"/>
              <w:spacing w:before="48" w:beforeLines="20" w:after="48" w:afterLines="20"/>
              <w:jc w:val="center"/>
              <w:rPr>
                <w:rFonts w:ascii="宋体" w:hAnsi="宋体" w:cs="宋体"/>
                <w:b/>
                <w:szCs w:val="21"/>
                <w:highlight w:val="none"/>
              </w:rPr>
            </w:pPr>
            <w:r>
              <w:rPr>
                <w:rFonts w:hint="eastAsia" w:ascii="宋体" w:hAnsi="宋体" w:cs="宋体"/>
                <w:b/>
                <w:szCs w:val="21"/>
                <w:highlight w:val="none"/>
              </w:rPr>
              <w:t>价格小计</w:t>
            </w:r>
          </w:p>
        </w:tc>
      </w:tr>
      <w:tr w14:paraId="775B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856" w:type="dxa"/>
            <w:vAlign w:val="center"/>
          </w:tcPr>
          <w:p w14:paraId="682415C9">
            <w:pPr>
              <w:adjustRightInd w:val="0"/>
              <w:snapToGrid w:val="0"/>
              <w:spacing w:before="48" w:beforeLines="20" w:after="48" w:afterLines="20"/>
              <w:jc w:val="center"/>
              <w:rPr>
                <w:rFonts w:ascii="宋体" w:hAnsi="宋体" w:cs="宋体"/>
                <w:szCs w:val="21"/>
                <w:highlight w:val="none"/>
              </w:rPr>
            </w:pPr>
            <w:r>
              <w:rPr>
                <w:rFonts w:hint="eastAsia" w:ascii="宋体" w:hAnsi="宋体" w:cs="宋体"/>
                <w:szCs w:val="21"/>
                <w:highlight w:val="none"/>
              </w:rPr>
              <w:t>1</w:t>
            </w:r>
          </w:p>
        </w:tc>
        <w:tc>
          <w:tcPr>
            <w:tcW w:w="4498" w:type="dxa"/>
            <w:vAlign w:val="center"/>
          </w:tcPr>
          <w:p w14:paraId="39777CC0">
            <w:pPr>
              <w:adjustRightInd w:val="0"/>
              <w:snapToGrid w:val="0"/>
              <w:spacing w:before="48" w:beforeLines="20" w:after="48" w:afterLines="20"/>
              <w:jc w:val="center"/>
              <w:rPr>
                <w:rFonts w:ascii="宋体" w:hAnsi="宋体" w:cs="宋体"/>
                <w:szCs w:val="21"/>
                <w:highlight w:val="none"/>
              </w:rPr>
            </w:pPr>
          </w:p>
        </w:tc>
        <w:tc>
          <w:tcPr>
            <w:tcW w:w="2956" w:type="dxa"/>
            <w:vAlign w:val="center"/>
          </w:tcPr>
          <w:p w14:paraId="071DAA5C">
            <w:pPr>
              <w:adjustRightInd w:val="0"/>
              <w:snapToGrid w:val="0"/>
              <w:spacing w:before="48" w:beforeLines="20" w:after="48" w:afterLines="20"/>
              <w:ind w:firstLine="422"/>
              <w:jc w:val="center"/>
              <w:rPr>
                <w:rFonts w:ascii="宋体" w:hAnsi="宋体" w:cs="宋体"/>
                <w:b/>
                <w:bCs/>
                <w:szCs w:val="21"/>
                <w:highlight w:val="none"/>
              </w:rPr>
            </w:pPr>
          </w:p>
        </w:tc>
      </w:tr>
      <w:tr w14:paraId="5BEC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856" w:type="dxa"/>
            <w:vAlign w:val="center"/>
          </w:tcPr>
          <w:p w14:paraId="0F8DDC23">
            <w:pPr>
              <w:adjustRightInd w:val="0"/>
              <w:snapToGrid w:val="0"/>
              <w:spacing w:before="48" w:beforeLines="20" w:after="48" w:afterLines="20"/>
              <w:jc w:val="center"/>
              <w:rPr>
                <w:rFonts w:ascii="宋体" w:hAnsi="宋体" w:cs="宋体"/>
                <w:szCs w:val="21"/>
                <w:highlight w:val="none"/>
              </w:rPr>
            </w:pPr>
            <w:r>
              <w:rPr>
                <w:rFonts w:hint="eastAsia" w:ascii="宋体" w:hAnsi="宋体" w:cs="宋体"/>
                <w:szCs w:val="21"/>
                <w:highlight w:val="none"/>
              </w:rPr>
              <w:t>2</w:t>
            </w:r>
          </w:p>
        </w:tc>
        <w:tc>
          <w:tcPr>
            <w:tcW w:w="4498" w:type="dxa"/>
            <w:vAlign w:val="center"/>
          </w:tcPr>
          <w:p w14:paraId="4CB058E9">
            <w:pPr>
              <w:adjustRightInd w:val="0"/>
              <w:snapToGrid w:val="0"/>
              <w:spacing w:before="48" w:beforeLines="20" w:after="48" w:afterLines="20"/>
              <w:jc w:val="center"/>
              <w:rPr>
                <w:rFonts w:ascii="宋体" w:hAnsi="宋体" w:cs="宋体"/>
                <w:szCs w:val="21"/>
                <w:highlight w:val="none"/>
              </w:rPr>
            </w:pPr>
          </w:p>
        </w:tc>
        <w:tc>
          <w:tcPr>
            <w:tcW w:w="2956" w:type="dxa"/>
            <w:vAlign w:val="center"/>
          </w:tcPr>
          <w:p w14:paraId="322AFE7E">
            <w:pPr>
              <w:adjustRightInd w:val="0"/>
              <w:snapToGrid w:val="0"/>
              <w:spacing w:before="48" w:beforeLines="20" w:after="48" w:afterLines="20"/>
              <w:ind w:firstLine="422"/>
              <w:jc w:val="center"/>
              <w:rPr>
                <w:rFonts w:ascii="宋体" w:hAnsi="宋体" w:cs="宋体"/>
                <w:b/>
                <w:bCs/>
                <w:szCs w:val="21"/>
                <w:highlight w:val="none"/>
              </w:rPr>
            </w:pPr>
          </w:p>
        </w:tc>
      </w:tr>
      <w:tr w14:paraId="2EF7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354" w:type="dxa"/>
            <w:gridSpan w:val="2"/>
            <w:vAlign w:val="center"/>
          </w:tcPr>
          <w:p w14:paraId="3CC7BFCC">
            <w:pPr>
              <w:adjustRightInd w:val="0"/>
              <w:snapToGrid w:val="0"/>
              <w:spacing w:before="48" w:beforeLines="20" w:after="48" w:afterLines="20"/>
              <w:jc w:val="center"/>
              <w:rPr>
                <w:rFonts w:ascii="宋体" w:hAnsi="宋体" w:cs="宋体"/>
                <w:szCs w:val="21"/>
                <w:highlight w:val="none"/>
              </w:rPr>
            </w:pPr>
            <w:r>
              <w:rPr>
                <w:rFonts w:hint="eastAsia" w:ascii="宋体" w:hAnsi="宋体" w:cs="宋体"/>
                <w:szCs w:val="21"/>
                <w:highlight w:val="none"/>
              </w:rPr>
              <w:t>报价合计（小写）</w:t>
            </w:r>
          </w:p>
        </w:tc>
        <w:tc>
          <w:tcPr>
            <w:tcW w:w="2956" w:type="dxa"/>
            <w:vAlign w:val="center"/>
          </w:tcPr>
          <w:p w14:paraId="318BE6B6">
            <w:pPr>
              <w:adjustRightInd w:val="0"/>
              <w:snapToGrid w:val="0"/>
              <w:spacing w:before="48" w:beforeLines="20" w:after="48" w:afterLines="20"/>
              <w:ind w:firstLine="422"/>
              <w:jc w:val="center"/>
              <w:rPr>
                <w:rFonts w:ascii="宋体" w:hAnsi="宋体" w:cs="宋体"/>
                <w:b/>
                <w:bCs/>
                <w:szCs w:val="21"/>
                <w:highlight w:val="none"/>
              </w:rPr>
            </w:pPr>
          </w:p>
        </w:tc>
      </w:tr>
      <w:tr w14:paraId="63DD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354" w:type="dxa"/>
            <w:gridSpan w:val="2"/>
            <w:vAlign w:val="center"/>
          </w:tcPr>
          <w:p w14:paraId="08D9198A">
            <w:pPr>
              <w:adjustRightInd w:val="0"/>
              <w:snapToGrid w:val="0"/>
              <w:spacing w:before="48" w:beforeLines="20" w:after="48" w:afterLines="20"/>
              <w:jc w:val="center"/>
              <w:rPr>
                <w:rFonts w:ascii="宋体" w:hAnsi="宋体" w:cs="宋体"/>
                <w:b/>
                <w:bCs/>
                <w:szCs w:val="21"/>
                <w:highlight w:val="none"/>
              </w:rPr>
            </w:pPr>
            <w:r>
              <w:rPr>
                <w:rFonts w:hint="eastAsia" w:ascii="宋体" w:hAnsi="宋体" w:cs="宋体"/>
                <w:szCs w:val="21"/>
                <w:highlight w:val="none"/>
              </w:rPr>
              <w:t>报价合计（大写）</w:t>
            </w:r>
          </w:p>
        </w:tc>
        <w:tc>
          <w:tcPr>
            <w:tcW w:w="2956" w:type="dxa"/>
            <w:vAlign w:val="center"/>
          </w:tcPr>
          <w:p w14:paraId="1DDAC853">
            <w:pPr>
              <w:adjustRightInd w:val="0"/>
              <w:snapToGrid w:val="0"/>
              <w:spacing w:before="48" w:beforeLines="20" w:after="48" w:afterLines="20"/>
              <w:ind w:firstLine="422"/>
              <w:jc w:val="center"/>
              <w:rPr>
                <w:rFonts w:ascii="宋体" w:hAnsi="宋体" w:cs="宋体"/>
                <w:b/>
                <w:bCs/>
                <w:szCs w:val="21"/>
                <w:highlight w:val="none"/>
              </w:rPr>
            </w:pPr>
          </w:p>
        </w:tc>
      </w:tr>
      <w:tr w14:paraId="36FD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354" w:type="dxa"/>
            <w:gridSpan w:val="2"/>
            <w:vAlign w:val="center"/>
          </w:tcPr>
          <w:p w14:paraId="1B61BF65">
            <w:pPr>
              <w:adjustRightInd w:val="0"/>
              <w:snapToGrid w:val="0"/>
              <w:spacing w:before="48" w:beforeLines="20" w:after="48" w:afterLines="2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服务期</w:t>
            </w:r>
          </w:p>
        </w:tc>
        <w:tc>
          <w:tcPr>
            <w:tcW w:w="2956" w:type="dxa"/>
            <w:vAlign w:val="center"/>
          </w:tcPr>
          <w:p w14:paraId="6B79F3BB">
            <w:pPr>
              <w:adjustRightInd w:val="0"/>
              <w:snapToGrid w:val="0"/>
              <w:spacing w:before="48" w:beforeLines="20" w:after="48" w:afterLines="20"/>
              <w:jc w:val="center"/>
              <w:rPr>
                <w:rFonts w:ascii="宋体" w:hAnsi="宋体" w:cs="宋体"/>
                <w:szCs w:val="21"/>
                <w:highlight w:val="none"/>
              </w:rPr>
            </w:pPr>
          </w:p>
        </w:tc>
      </w:tr>
      <w:tr w14:paraId="7F5F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354" w:type="dxa"/>
            <w:gridSpan w:val="2"/>
            <w:vAlign w:val="center"/>
          </w:tcPr>
          <w:p w14:paraId="3F857E30">
            <w:pPr>
              <w:adjustRightInd w:val="0"/>
              <w:snapToGrid w:val="0"/>
              <w:spacing w:before="48" w:beforeLines="20" w:after="48" w:afterLines="20"/>
              <w:jc w:val="center"/>
              <w:rPr>
                <w:rFonts w:ascii="宋体" w:hAnsi="宋体" w:cs="宋体"/>
                <w:szCs w:val="21"/>
                <w:highlight w:val="none"/>
              </w:rPr>
            </w:pPr>
            <w:r>
              <w:rPr>
                <w:rFonts w:hint="eastAsia" w:ascii="宋体" w:hAnsi="宋体" w:cs="宋体"/>
                <w:szCs w:val="21"/>
                <w:highlight w:val="none"/>
              </w:rPr>
              <w:t>备注</w:t>
            </w:r>
          </w:p>
        </w:tc>
        <w:tc>
          <w:tcPr>
            <w:tcW w:w="2956" w:type="dxa"/>
            <w:vAlign w:val="center"/>
          </w:tcPr>
          <w:p w14:paraId="1FBEBBA3">
            <w:pPr>
              <w:adjustRightInd w:val="0"/>
              <w:snapToGrid w:val="0"/>
              <w:spacing w:before="48" w:beforeLines="20" w:after="48" w:afterLines="20"/>
              <w:jc w:val="center"/>
              <w:rPr>
                <w:rFonts w:ascii="宋体" w:hAnsi="宋体" w:cs="宋体"/>
                <w:szCs w:val="21"/>
                <w:highlight w:val="none"/>
              </w:rPr>
            </w:pPr>
          </w:p>
        </w:tc>
      </w:tr>
    </w:tbl>
    <w:p w14:paraId="12512BCE">
      <w:pPr>
        <w:topLinePunct/>
        <w:autoSpaceDE w:val="0"/>
        <w:autoSpaceDN w:val="0"/>
        <w:spacing w:line="360" w:lineRule="auto"/>
        <w:rPr>
          <w:rFonts w:ascii="宋体" w:hAnsi="宋体" w:cs="宋体"/>
          <w:szCs w:val="21"/>
          <w:highlight w:val="none"/>
        </w:rPr>
      </w:pPr>
      <w:r>
        <w:rPr>
          <w:rFonts w:hint="eastAsia" w:ascii="宋体" w:hAnsi="宋体" w:cs="宋体"/>
          <w:szCs w:val="21"/>
          <w:highlight w:val="none"/>
        </w:rPr>
        <w:t>特别说明：</w:t>
      </w:r>
    </w:p>
    <w:p w14:paraId="19E0208A">
      <w:pPr>
        <w:topLinePunct/>
        <w:autoSpaceDE w:val="0"/>
        <w:autoSpaceDN w:val="0"/>
        <w:spacing w:line="360" w:lineRule="auto"/>
        <w:ind w:firstLine="420" w:firstLineChars="200"/>
        <w:rPr>
          <w:rFonts w:ascii="宋体" w:hAnsi="宋体" w:cs="宋体"/>
          <w:szCs w:val="21"/>
          <w:highlight w:val="none"/>
        </w:rPr>
      </w:pPr>
      <w:r>
        <w:rPr>
          <w:rFonts w:hint="eastAsia" w:ascii="宋体" w:hAnsi="宋体" w:cs="宋体"/>
          <w:szCs w:val="21"/>
          <w:highlight w:val="none"/>
        </w:rPr>
        <w:t>1.本项目总价及分项报价均不接受任何形式的赠送、“零”报价和折扣报价。</w:t>
      </w:r>
    </w:p>
    <w:p w14:paraId="36ED6160">
      <w:pPr>
        <w:topLinePunct/>
        <w:autoSpaceDE w:val="0"/>
        <w:autoSpaceDN w:val="0"/>
        <w:spacing w:line="360" w:lineRule="auto"/>
        <w:ind w:firstLine="420" w:firstLineChars="200"/>
        <w:rPr>
          <w:rFonts w:ascii="宋体" w:hAnsi="宋体" w:cs="宋体"/>
          <w:szCs w:val="21"/>
          <w:highlight w:val="none"/>
        </w:rPr>
      </w:pPr>
      <w:r>
        <w:rPr>
          <w:rFonts w:hint="eastAsia" w:ascii="宋体" w:hAnsi="宋体" w:cs="宋体"/>
          <w:szCs w:val="21"/>
          <w:highlight w:val="none"/>
        </w:rPr>
        <w:t>2.本项目执行中所发生的所有费用均计入投标报价中，采购人不再另行支付其他任何费用。</w:t>
      </w:r>
    </w:p>
    <w:p w14:paraId="5BD87676">
      <w:pPr>
        <w:topLinePunct/>
        <w:autoSpaceDE w:val="0"/>
        <w:autoSpaceDN w:val="0"/>
        <w:spacing w:line="360" w:lineRule="auto"/>
        <w:ind w:firstLine="420" w:firstLineChars="200"/>
        <w:rPr>
          <w:rFonts w:ascii="宋体" w:hAnsi="宋体" w:cs="宋体"/>
          <w:szCs w:val="21"/>
          <w:highlight w:val="none"/>
        </w:rPr>
      </w:pPr>
      <w:r>
        <w:rPr>
          <w:rFonts w:hint="eastAsia" w:ascii="宋体" w:hAnsi="宋体" w:cs="宋体"/>
          <w:szCs w:val="21"/>
          <w:highlight w:val="none"/>
        </w:rPr>
        <w:t>3.投标人应根据《招标文件-技术部分》相关要求填报。</w:t>
      </w:r>
    </w:p>
    <w:p w14:paraId="2E0BDE58">
      <w:pPr>
        <w:topLinePunct/>
        <w:autoSpaceDE w:val="0"/>
        <w:autoSpaceDN w:val="0"/>
        <w:spacing w:line="360" w:lineRule="auto"/>
        <w:ind w:firstLine="420" w:firstLineChars="200"/>
        <w:rPr>
          <w:rFonts w:ascii="宋体" w:hAnsi="宋体" w:cs="宋体"/>
          <w:szCs w:val="21"/>
          <w:highlight w:val="none"/>
        </w:rPr>
      </w:pPr>
      <w:r>
        <w:rPr>
          <w:rFonts w:hint="eastAsia" w:ascii="宋体" w:hAnsi="宋体" w:cs="宋体"/>
          <w:szCs w:val="21"/>
          <w:highlight w:val="none"/>
        </w:rPr>
        <w:t>4.如报价不一致，按照投标人须知“19.核价原则”进行修正。</w:t>
      </w:r>
    </w:p>
    <w:p w14:paraId="1B890728">
      <w:pPr>
        <w:topLinePunct/>
        <w:autoSpaceDE w:val="0"/>
        <w:autoSpaceDN w:val="0"/>
        <w:adjustRightInd w:val="0"/>
        <w:snapToGrid w:val="0"/>
        <w:spacing w:line="360" w:lineRule="auto"/>
        <w:ind w:firstLine="525" w:firstLineChars="250"/>
        <w:jc w:val="left"/>
        <w:rPr>
          <w:rFonts w:ascii="宋体" w:hAnsi="宋体" w:cs="宋体"/>
          <w:szCs w:val="21"/>
          <w:highlight w:val="none"/>
        </w:rPr>
      </w:pPr>
    </w:p>
    <w:p w14:paraId="064C67E0">
      <w:pPr>
        <w:tabs>
          <w:tab w:val="left" w:pos="123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w:t>
      </w:r>
      <w:r>
        <w:rPr>
          <w:rFonts w:hint="eastAsia" w:ascii="宋体" w:hAnsi="宋体" w:cs="宋体"/>
          <w:kern w:val="0"/>
          <w:szCs w:val="21"/>
          <w:highlight w:val="none"/>
        </w:rPr>
        <w:t>（全称并加盖公章</w:t>
      </w:r>
      <w:r>
        <w:rPr>
          <w:rFonts w:hint="eastAsia" w:ascii="宋体" w:hAnsi="宋体" w:cs="宋体"/>
          <w:szCs w:val="21"/>
          <w:highlight w:val="none"/>
        </w:rPr>
        <w:t>）：</w:t>
      </w:r>
      <w:r>
        <w:rPr>
          <w:rFonts w:hint="eastAsia" w:ascii="宋体" w:hAnsi="宋体" w:cs="宋体"/>
          <w:highlight w:val="none"/>
        </w:rPr>
        <w:t>____________</w:t>
      </w:r>
    </w:p>
    <w:p w14:paraId="440786A4">
      <w:pPr>
        <w:tabs>
          <w:tab w:val="left" w:pos="123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kern w:val="0"/>
          <w:szCs w:val="21"/>
          <w:highlight w:val="none"/>
        </w:rPr>
        <w:t>投标人代表（签字或盖章）</w:t>
      </w:r>
      <w:r>
        <w:rPr>
          <w:rFonts w:hint="eastAsia" w:ascii="宋体" w:hAnsi="宋体" w:cs="宋体"/>
          <w:szCs w:val="21"/>
          <w:highlight w:val="none"/>
        </w:rPr>
        <w:t>：</w:t>
      </w:r>
      <w:r>
        <w:rPr>
          <w:rFonts w:hint="eastAsia" w:ascii="宋体" w:hAnsi="宋体" w:cs="宋体"/>
          <w:highlight w:val="none"/>
        </w:rPr>
        <w:t>____________</w:t>
      </w:r>
    </w:p>
    <w:p w14:paraId="3ADB3CAB">
      <w:pPr>
        <w:tabs>
          <w:tab w:val="left" w:pos="1230"/>
        </w:tabs>
        <w:topLinePunct/>
        <w:autoSpaceDE w:val="0"/>
        <w:autoSpaceDN w:val="0"/>
        <w:adjustRightInd w:val="0"/>
        <w:snapToGrid w:val="0"/>
        <w:spacing w:line="360" w:lineRule="auto"/>
        <w:ind w:firstLine="420" w:firstLineChars="200"/>
        <w:rPr>
          <w:rFonts w:ascii="宋体" w:hAnsi="宋体" w:cs="宋体"/>
          <w:b/>
          <w:sz w:val="28"/>
          <w:highlight w:val="none"/>
        </w:rPr>
      </w:pPr>
      <w:r>
        <w:rPr>
          <w:rFonts w:hint="eastAsia" w:ascii="宋体" w:hAnsi="宋体" w:cs="宋体"/>
          <w:szCs w:val="21"/>
          <w:highlight w:val="none"/>
        </w:rPr>
        <w:t>日期：</w:t>
      </w:r>
      <w:r>
        <w:rPr>
          <w:rFonts w:hint="eastAsia" w:ascii="宋体" w:hAnsi="宋体" w:cs="宋体"/>
          <w:highlight w:val="none"/>
        </w:rPr>
        <w:t>____________</w:t>
      </w:r>
      <w:r>
        <w:rPr>
          <w:rFonts w:hint="eastAsia" w:ascii="宋体" w:hAnsi="宋体" w:cs="宋体"/>
          <w:szCs w:val="21"/>
          <w:highlight w:val="none"/>
        </w:rPr>
        <w:br w:type="page"/>
      </w:r>
      <w:r>
        <w:rPr>
          <w:rFonts w:hint="eastAsia" w:ascii="宋体" w:hAnsi="宋体" w:cs="宋体"/>
          <w:b/>
          <w:sz w:val="28"/>
          <w:highlight w:val="none"/>
        </w:rPr>
        <w:t>2.分项报价表</w:t>
      </w:r>
    </w:p>
    <w:p w14:paraId="3B4D502C">
      <w:pPr>
        <w:spacing w:line="360" w:lineRule="auto"/>
        <w:jc w:val="center"/>
        <w:rPr>
          <w:rFonts w:hint="default" w:ascii="宋体" w:hAnsi="宋体" w:eastAsia="宋体" w:cs="宋体"/>
          <w:b/>
          <w:color w:val="auto"/>
          <w:sz w:val="28"/>
          <w:highlight w:val="none"/>
          <w:lang w:val="en-US" w:eastAsia="zh-CN"/>
        </w:rPr>
      </w:pPr>
      <w:r>
        <w:rPr>
          <w:rFonts w:hint="eastAsia" w:ascii="宋体" w:hAnsi="宋体" w:cs="宋体"/>
          <w:b/>
          <w:color w:val="auto"/>
          <w:sz w:val="28"/>
          <w:highlight w:val="none"/>
        </w:rPr>
        <w:t>分项报价表</w:t>
      </w:r>
      <w:r>
        <w:rPr>
          <w:rFonts w:hint="eastAsia" w:ascii="宋体" w:hAnsi="宋体" w:cs="宋体"/>
          <w:b/>
          <w:color w:val="auto"/>
          <w:sz w:val="28"/>
          <w:highlight w:val="none"/>
          <w:lang w:val="en-US" w:eastAsia="zh-CN"/>
        </w:rPr>
        <w:t>-1</w:t>
      </w:r>
    </w:p>
    <w:p w14:paraId="06DD1226">
      <w:pPr>
        <w:pStyle w:val="16"/>
        <w:topLinePunct/>
        <w:autoSpaceDE w:val="0"/>
        <w:autoSpaceDN w:val="0"/>
        <w:adjustRightInd w:val="0"/>
        <w:snapToGrid w:val="0"/>
        <w:spacing w:line="360" w:lineRule="auto"/>
        <w:jc w:val="center"/>
        <w:rPr>
          <w:rFonts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服务</w:t>
      </w:r>
      <w:r>
        <w:rPr>
          <w:rFonts w:hint="eastAsia" w:hAnsi="宋体" w:cs="宋体"/>
          <w:color w:val="auto"/>
          <w:highlight w:val="none"/>
        </w:rPr>
        <w:t>类项目适用)</w:t>
      </w:r>
    </w:p>
    <w:p w14:paraId="286FB120">
      <w:pPr>
        <w:topLinePunct/>
        <w:autoSpaceDE w:val="0"/>
        <w:autoSpaceDN w:val="0"/>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 xml:space="preserve">项目名称：____________ </w:t>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项目编号：____________ </w:t>
      </w:r>
    </w:p>
    <w:p w14:paraId="4E1B2A1F">
      <w:pPr>
        <w:adjustRightInd w:val="0"/>
        <w:snapToGrid w:val="0"/>
        <w:spacing w:line="360" w:lineRule="auto"/>
        <w:ind w:right="840"/>
        <w:rPr>
          <w:rFonts w:ascii="宋体" w:hAnsi="宋体" w:cs="宋体"/>
          <w:color w:val="auto"/>
          <w:highlight w:val="none"/>
        </w:rPr>
      </w:pPr>
      <w:r>
        <w:rPr>
          <w:rFonts w:hint="eastAsia" w:ascii="宋体" w:hAnsi="宋体" w:cs="宋体"/>
          <w:color w:val="auto"/>
          <w:highlight w:val="none"/>
        </w:rPr>
        <w:t>采购包号：___________                                  价格单位：人民币   元</w:t>
      </w:r>
    </w:p>
    <w:tbl>
      <w:tblPr>
        <w:tblStyle w:val="24"/>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544"/>
        <w:gridCol w:w="2272"/>
        <w:gridCol w:w="2726"/>
      </w:tblGrid>
      <w:tr w14:paraId="00C2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16" w:type="dxa"/>
            <w:vAlign w:val="center"/>
          </w:tcPr>
          <w:p w14:paraId="7CDD28BF">
            <w:pPr>
              <w:pStyle w:val="16"/>
              <w:jc w:val="center"/>
              <w:rPr>
                <w:rFonts w:hAnsi="宋体" w:cs="宋体"/>
                <w:color w:val="auto"/>
                <w:highlight w:val="none"/>
              </w:rPr>
            </w:pPr>
            <w:r>
              <w:rPr>
                <w:rFonts w:hint="eastAsia" w:hAnsi="宋体" w:cs="宋体"/>
                <w:color w:val="auto"/>
                <w:highlight w:val="none"/>
              </w:rPr>
              <w:t>序号</w:t>
            </w:r>
          </w:p>
        </w:tc>
        <w:tc>
          <w:tcPr>
            <w:tcW w:w="2544" w:type="dxa"/>
            <w:vAlign w:val="center"/>
          </w:tcPr>
          <w:p w14:paraId="3EF12FFB">
            <w:pPr>
              <w:pStyle w:val="16"/>
              <w:jc w:val="center"/>
              <w:rPr>
                <w:rFonts w:hint="default" w:hAnsi="宋体" w:eastAsia="宋体" w:cs="宋体"/>
                <w:color w:val="auto"/>
                <w:highlight w:val="none"/>
                <w:lang w:val="en-US" w:eastAsia="zh-CN"/>
              </w:rPr>
            </w:pPr>
            <w:r>
              <w:rPr>
                <w:rFonts w:hint="eastAsia" w:hAnsi="宋体" w:cs="宋体"/>
                <w:color w:val="auto"/>
                <w:highlight w:val="none"/>
                <w:lang w:val="en-US" w:eastAsia="zh-CN"/>
              </w:rPr>
              <w:t>服务内容</w:t>
            </w:r>
          </w:p>
        </w:tc>
        <w:tc>
          <w:tcPr>
            <w:tcW w:w="2272" w:type="dxa"/>
            <w:vAlign w:val="center"/>
          </w:tcPr>
          <w:p w14:paraId="7A6B8AEE">
            <w:pPr>
              <w:pStyle w:val="16"/>
              <w:jc w:val="center"/>
              <w:rPr>
                <w:rFonts w:hint="default" w:hAnsi="宋体" w:eastAsia="宋体" w:cs="宋体"/>
                <w:color w:val="auto"/>
                <w:highlight w:val="none"/>
                <w:lang w:val="en-US" w:eastAsia="zh-CN"/>
              </w:rPr>
            </w:pPr>
            <w:r>
              <w:rPr>
                <w:rFonts w:hint="eastAsia" w:hAnsi="宋体" w:cs="宋体"/>
                <w:color w:val="auto"/>
                <w:highlight w:val="none"/>
                <w:lang w:val="en-US" w:eastAsia="zh-CN"/>
              </w:rPr>
              <w:t>报价</w:t>
            </w:r>
          </w:p>
        </w:tc>
        <w:tc>
          <w:tcPr>
            <w:tcW w:w="2726" w:type="dxa"/>
            <w:vAlign w:val="center"/>
          </w:tcPr>
          <w:p w14:paraId="4746A794">
            <w:pPr>
              <w:pStyle w:val="16"/>
              <w:jc w:val="center"/>
              <w:rPr>
                <w:rFonts w:hint="eastAsia" w:hAnsi="宋体" w:cs="宋体"/>
                <w:color w:val="auto"/>
                <w:highlight w:val="none"/>
                <w:lang w:val="en-US" w:eastAsia="zh-CN"/>
              </w:rPr>
            </w:pPr>
            <w:r>
              <w:rPr>
                <w:rFonts w:hint="eastAsia" w:hAnsi="宋体" w:cs="宋体"/>
                <w:color w:val="auto"/>
                <w:highlight w:val="none"/>
                <w:lang w:val="en-US" w:eastAsia="zh-CN"/>
              </w:rPr>
              <w:t>备注</w:t>
            </w:r>
          </w:p>
          <w:p w14:paraId="1D830B88">
            <w:pPr>
              <w:pStyle w:val="16"/>
              <w:jc w:val="center"/>
              <w:rPr>
                <w:rFonts w:hint="eastAsia" w:hAnsi="宋体" w:cs="宋体"/>
                <w:color w:val="auto"/>
                <w:highlight w:val="none"/>
                <w:lang w:val="en-US" w:eastAsia="zh-CN"/>
              </w:rPr>
            </w:pPr>
            <w:r>
              <w:rPr>
                <w:rFonts w:hint="eastAsia" w:hAnsi="宋体" w:cs="宋体"/>
                <w:color w:val="auto"/>
                <w:highlight w:val="none"/>
                <w:lang w:val="en-US" w:eastAsia="zh-CN"/>
              </w:rPr>
              <w:t>（收费依据、收费标准等）</w:t>
            </w:r>
          </w:p>
        </w:tc>
      </w:tr>
      <w:tr w14:paraId="4E00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6" w:type="dxa"/>
            <w:vAlign w:val="center"/>
          </w:tcPr>
          <w:p w14:paraId="10091D62">
            <w:pPr>
              <w:pStyle w:val="39"/>
              <w:widowControl/>
              <w:numPr>
                <w:ilvl w:val="0"/>
                <w:numId w:val="0"/>
              </w:numPr>
              <w:spacing w:line="320" w:lineRule="exact"/>
              <w:jc w:val="center"/>
              <w:textAlignment w:val="center"/>
              <w:rPr>
                <w:rFonts w:hAnsi="宋体" w:cs="宋体"/>
                <w:color w:val="auto"/>
                <w:highlight w:val="none"/>
              </w:rPr>
            </w:pPr>
            <w:r>
              <w:rPr>
                <w:rFonts w:hint="default" w:ascii="宋体" w:hAnsi="宋体" w:eastAsia="宋体" w:cstheme="minorEastAsia"/>
                <w:color w:val="auto"/>
                <w:kern w:val="2"/>
                <w:sz w:val="21"/>
                <w:szCs w:val="21"/>
                <w:highlight w:val="none"/>
                <w:lang w:val="en-US" w:eastAsia="zh-CN" w:bidi="ar-SA"/>
              </w:rPr>
              <w:t>1</w:t>
            </w:r>
          </w:p>
        </w:tc>
        <w:tc>
          <w:tcPr>
            <w:tcW w:w="2544" w:type="dxa"/>
            <w:vAlign w:val="center"/>
          </w:tcPr>
          <w:p w14:paraId="554B8583">
            <w:pPr>
              <w:widowControl/>
              <w:spacing w:line="320" w:lineRule="exact"/>
              <w:jc w:val="center"/>
              <w:textAlignment w:val="center"/>
              <w:rPr>
                <w:rFonts w:hint="eastAsia" w:hAnsi="宋体" w:cs="宋体"/>
                <w:color w:val="auto"/>
                <w:highlight w:val="none"/>
                <w:lang w:val="en-US" w:eastAsia="zh-CN"/>
              </w:rPr>
            </w:pPr>
            <w:r>
              <w:rPr>
                <w:rFonts w:hint="eastAsia" w:hAnsi="宋体" w:cs="宋体"/>
                <w:color w:val="auto"/>
                <w:highlight w:val="none"/>
                <w:lang w:val="en-US" w:eastAsia="zh-CN"/>
              </w:rPr>
              <w:t>人工费</w:t>
            </w:r>
          </w:p>
        </w:tc>
        <w:tc>
          <w:tcPr>
            <w:tcW w:w="2272" w:type="dxa"/>
            <w:vAlign w:val="center"/>
          </w:tcPr>
          <w:p w14:paraId="0369BF1C">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726" w:type="dxa"/>
            <w:vAlign w:val="center"/>
          </w:tcPr>
          <w:p w14:paraId="35A572E5">
            <w:pPr>
              <w:pStyle w:val="16"/>
              <w:jc w:val="center"/>
              <w:rPr>
                <w:rFonts w:hAnsi="宋体" w:cs="宋体"/>
                <w:color w:val="auto"/>
                <w:highlight w:val="none"/>
              </w:rPr>
            </w:pPr>
          </w:p>
        </w:tc>
      </w:tr>
      <w:tr w14:paraId="443B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6" w:type="dxa"/>
            <w:vAlign w:val="center"/>
          </w:tcPr>
          <w:p w14:paraId="43980689">
            <w:pPr>
              <w:pStyle w:val="39"/>
              <w:widowControl/>
              <w:numPr>
                <w:ilvl w:val="0"/>
                <w:numId w:val="0"/>
              </w:numPr>
              <w:spacing w:line="320" w:lineRule="exact"/>
              <w:jc w:val="center"/>
              <w:textAlignment w:val="center"/>
              <w:rPr>
                <w:rFonts w:hint="default" w:ascii="宋体" w:hAnsi="宋体" w:eastAsia="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2</w:t>
            </w:r>
          </w:p>
        </w:tc>
        <w:tc>
          <w:tcPr>
            <w:tcW w:w="2544" w:type="dxa"/>
            <w:vAlign w:val="center"/>
          </w:tcPr>
          <w:p w14:paraId="6B1BF192">
            <w:pPr>
              <w:widowControl/>
              <w:spacing w:line="320" w:lineRule="exact"/>
              <w:jc w:val="center"/>
              <w:textAlignment w:val="center"/>
              <w:rPr>
                <w:rFonts w:hint="eastAsia" w:hAnsi="宋体" w:cs="宋体"/>
                <w:color w:val="auto"/>
                <w:highlight w:val="none"/>
                <w:lang w:val="en-US" w:eastAsia="zh-CN"/>
              </w:rPr>
            </w:pPr>
            <w:r>
              <w:rPr>
                <w:rFonts w:hint="eastAsia" w:hAnsi="宋体" w:cs="宋体"/>
                <w:color w:val="auto"/>
                <w:highlight w:val="none"/>
                <w:lang w:val="en-US" w:eastAsia="zh-CN"/>
              </w:rPr>
              <w:t>管理费</w:t>
            </w:r>
          </w:p>
        </w:tc>
        <w:tc>
          <w:tcPr>
            <w:tcW w:w="2272" w:type="dxa"/>
            <w:vAlign w:val="center"/>
          </w:tcPr>
          <w:p w14:paraId="67180762">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726" w:type="dxa"/>
            <w:vAlign w:val="center"/>
          </w:tcPr>
          <w:p w14:paraId="03D19BCF">
            <w:pPr>
              <w:pStyle w:val="16"/>
              <w:jc w:val="center"/>
              <w:rPr>
                <w:rFonts w:hAnsi="宋体" w:cs="宋体"/>
                <w:color w:val="auto"/>
                <w:highlight w:val="none"/>
              </w:rPr>
            </w:pPr>
          </w:p>
        </w:tc>
      </w:tr>
      <w:tr w14:paraId="3C79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6" w:type="dxa"/>
            <w:vAlign w:val="center"/>
          </w:tcPr>
          <w:p w14:paraId="4A055B6E">
            <w:pPr>
              <w:pStyle w:val="39"/>
              <w:widowControl/>
              <w:numPr>
                <w:ilvl w:val="0"/>
                <w:numId w:val="0"/>
              </w:numPr>
              <w:spacing w:line="320" w:lineRule="exact"/>
              <w:jc w:val="center"/>
              <w:textAlignment w:val="center"/>
              <w:rPr>
                <w:rFonts w:hint="default" w:ascii="宋体" w:hAnsi="宋体" w:eastAsia="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3</w:t>
            </w:r>
          </w:p>
        </w:tc>
        <w:tc>
          <w:tcPr>
            <w:tcW w:w="2544" w:type="dxa"/>
            <w:vAlign w:val="center"/>
          </w:tcPr>
          <w:p w14:paraId="56120D47">
            <w:pPr>
              <w:widowControl/>
              <w:spacing w:line="320" w:lineRule="exact"/>
              <w:jc w:val="center"/>
              <w:textAlignment w:val="center"/>
              <w:rPr>
                <w:rFonts w:hint="eastAsia" w:hAnsi="宋体" w:cs="宋体"/>
                <w:color w:val="auto"/>
                <w:highlight w:val="none"/>
                <w:lang w:val="en-US" w:eastAsia="zh-CN"/>
              </w:rPr>
            </w:pPr>
            <w:r>
              <w:rPr>
                <w:rFonts w:hint="eastAsia" w:hAnsi="宋体" w:cs="宋体"/>
                <w:color w:val="auto"/>
                <w:highlight w:val="none"/>
                <w:lang w:val="en-US" w:eastAsia="zh-CN"/>
              </w:rPr>
              <w:t>运维费</w:t>
            </w:r>
          </w:p>
        </w:tc>
        <w:tc>
          <w:tcPr>
            <w:tcW w:w="2272" w:type="dxa"/>
            <w:vAlign w:val="center"/>
          </w:tcPr>
          <w:p w14:paraId="719E7402">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726" w:type="dxa"/>
            <w:vAlign w:val="center"/>
          </w:tcPr>
          <w:p w14:paraId="66789667">
            <w:pPr>
              <w:pStyle w:val="16"/>
              <w:jc w:val="center"/>
              <w:rPr>
                <w:rFonts w:hAnsi="宋体" w:cs="宋体"/>
                <w:color w:val="auto"/>
                <w:highlight w:val="none"/>
              </w:rPr>
            </w:pPr>
          </w:p>
        </w:tc>
      </w:tr>
      <w:tr w14:paraId="7930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6" w:type="dxa"/>
            <w:vAlign w:val="center"/>
          </w:tcPr>
          <w:p w14:paraId="218CB088">
            <w:pPr>
              <w:pStyle w:val="39"/>
              <w:widowControl/>
              <w:numPr>
                <w:ilvl w:val="0"/>
                <w:numId w:val="0"/>
              </w:numPr>
              <w:spacing w:line="320" w:lineRule="exact"/>
              <w:jc w:val="center"/>
              <w:textAlignment w:val="center"/>
              <w:rPr>
                <w:rFonts w:hint="default" w:ascii="宋体" w:hAnsi="宋体" w:eastAsia="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4</w:t>
            </w:r>
          </w:p>
        </w:tc>
        <w:tc>
          <w:tcPr>
            <w:tcW w:w="2544" w:type="dxa"/>
            <w:vAlign w:val="center"/>
          </w:tcPr>
          <w:p w14:paraId="1727BC92">
            <w:pPr>
              <w:widowControl/>
              <w:spacing w:line="320" w:lineRule="exact"/>
              <w:jc w:val="center"/>
              <w:textAlignment w:val="center"/>
              <w:rPr>
                <w:rFonts w:hint="default" w:hAnsi="宋体" w:cs="宋体"/>
                <w:color w:val="auto"/>
                <w:highlight w:val="none"/>
                <w:lang w:val="en-US" w:eastAsia="zh-CN"/>
              </w:rPr>
            </w:pPr>
            <w:r>
              <w:rPr>
                <w:rFonts w:hint="eastAsia" w:hAnsi="宋体" w:cs="宋体"/>
                <w:color w:val="auto"/>
                <w:highlight w:val="none"/>
                <w:lang w:val="en-US" w:eastAsia="zh-CN"/>
              </w:rPr>
              <w:t>质保费</w:t>
            </w:r>
          </w:p>
        </w:tc>
        <w:tc>
          <w:tcPr>
            <w:tcW w:w="2272" w:type="dxa"/>
            <w:vAlign w:val="center"/>
          </w:tcPr>
          <w:p w14:paraId="3619BEC6">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726" w:type="dxa"/>
            <w:vAlign w:val="center"/>
          </w:tcPr>
          <w:p w14:paraId="2D3F157B">
            <w:pPr>
              <w:pStyle w:val="16"/>
              <w:jc w:val="center"/>
              <w:rPr>
                <w:rFonts w:hAnsi="宋体" w:cs="宋体"/>
                <w:color w:val="auto"/>
                <w:highlight w:val="none"/>
              </w:rPr>
            </w:pPr>
          </w:p>
        </w:tc>
      </w:tr>
      <w:tr w14:paraId="0D85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6" w:type="dxa"/>
            <w:vAlign w:val="center"/>
          </w:tcPr>
          <w:p w14:paraId="1FB8B90C">
            <w:pPr>
              <w:pStyle w:val="39"/>
              <w:widowControl/>
              <w:numPr>
                <w:ilvl w:val="0"/>
                <w:numId w:val="0"/>
              </w:numPr>
              <w:spacing w:line="320" w:lineRule="exact"/>
              <w:jc w:val="center"/>
              <w:textAlignment w:val="center"/>
              <w:rPr>
                <w:rFonts w:hint="default" w:ascii="宋体" w:hAnsi="宋体" w:eastAsia="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5</w:t>
            </w:r>
          </w:p>
        </w:tc>
        <w:tc>
          <w:tcPr>
            <w:tcW w:w="2544" w:type="dxa"/>
            <w:vAlign w:val="center"/>
          </w:tcPr>
          <w:p w14:paraId="3A9A544B">
            <w:pPr>
              <w:widowControl/>
              <w:spacing w:line="320" w:lineRule="exact"/>
              <w:jc w:val="center"/>
              <w:textAlignment w:val="center"/>
              <w:rPr>
                <w:rFonts w:hint="default" w:hAnsi="宋体" w:cs="宋体"/>
                <w:color w:val="auto"/>
                <w:highlight w:val="none"/>
                <w:lang w:val="en-US" w:eastAsia="zh-CN"/>
              </w:rPr>
            </w:pPr>
            <w:r>
              <w:rPr>
                <w:rFonts w:hint="eastAsia" w:hAnsi="宋体" w:cs="宋体"/>
                <w:color w:val="auto"/>
                <w:highlight w:val="none"/>
                <w:lang w:val="en-US" w:eastAsia="zh-CN"/>
              </w:rPr>
              <w:t>培训费</w:t>
            </w:r>
          </w:p>
        </w:tc>
        <w:tc>
          <w:tcPr>
            <w:tcW w:w="2272" w:type="dxa"/>
            <w:vAlign w:val="center"/>
          </w:tcPr>
          <w:p w14:paraId="784919F4">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726" w:type="dxa"/>
            <w:vAlign w:val="center"/>
          </w:tcPr>
          <w:p w14:paraId="19C53D6E">
            <w:pPr>
              <w:pStyle w:val="16"/>
              <w:jc w:val="center"/>
              <w:rPr>
                <w:rFonts w:hAnsi="宋体" w:cs="宋体"/>
                <w:color w:val="auto"/>
                <w:highlight w:val="none"/>
              </w:rPr>
            </w:pPr>
          </w:p>
        </w:tc>
      </w:tr>
      <w:tr w14:paraId="6E5D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6" w:type="dxa"/>
            <w:vAlign w:val="center"/>
          </w:tcPr>
          <w:p w14:paraId="53BC3B1C">
            <w:pPr>
              <w:pStyle w:val="39"/>
              <w:widowControl/>
              <w:numPr>
                <w:ilvl w:val="0"/>
                <w:numId w:val="0"/>
              </w:numPr>
              <w:spacing w:line="320" w:lineRule="exact"/>
              <w:jc w:val="center"/>
              <w:textAlignment w:val="center"/>
              <w:rPr>
                <w:rFonts w:hint="default" w:ascii="宋体" w:hAnsi="宋体" w:eastAsia="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6</w:t>
            </w:r>
          </w:p>
        </w:tc>
        <w:tc>
          <w:tcPr>
            <w:tcW w:w="2544" w:type="dxa"/>
            <w:vAlign w:val="center"/>
          </w:tcPr>
          <w:p w14:paraId="63CE8C1A">
            <w:pPr>
              <w:widowControl/>
              <w:spacing w:line="320" w:lineRule="exact"/>
              <w:jc w:val="center"/>
              <w:textAlignment w:val="center"/>
              <w:rPr>
                <w:rFonts w:hint="default" w:hAnsi="宋体" w:cs="宋体"/>
                <w:color w:val="auto"/>
                <w:highlight w:val="none"/>
                <w:lang w:val="en-US" w:eastAsia="zh-CN"/>
              </w:rPr>
            </w:pPr>
            <w:r>
              <w:rPr>
                <w:rFonts w:hint="eastAsia" w:hAnsi="宋体" w:cs="宋体"/>
                <w:color w:val="auto"/>
                <w:highlight w:val="none"/>
                <w:lang w:val="en-US" w:eastAsia="zh-CN"/>
              </w:rPr>
              <w:t>利润</w:t>
            </w:r>
          </w:p>
        </w:tc>
        <w:tc>
          <w:tcPr>
            <w:tcW w:w="2272" w:type="dxa"/>
            <w:vAlign w:val="center"/>
          </w:tcPr>
          <w:p w14:paraId="4FEB5024">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726" w:type="dxa"/>
            <w:vAlign w:val="center"/>
          </w:tcPr>
          <w:p w14:paraId="3198247F">
            <w:pPr>
              <w:pStyle w:val="16"/>
              <w:jc w:val="center"/>
              <w:rPr>
                <w:rFonts w:hAnsi="宋体" w:cs="宋体"/>
                <w:color w:val="auto"/>
                <w:highlight w:val="none"/>
              </w:rPr>
            </w:pPr>
          </w:p>
        </w:tc>
      </w:tr>
      <w:tr w14:paraId="5246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6" w:type="dxa"/>
            <w:vAlign w:val="center"/>
          </w:tcPr>
          <w:p w14:paraId="673E178C">
            <w:pPr>
              <w:pStyle w:val="39"/>
              <w:widowControl/>
              <w:numPr>
                <w:ilvl w:val="0"/>
                <w:numId w:val="0"/>
              </w:numPr>
              <w:spacing w:line="320" w:lineRule="exact"/>
              <w:jc w:val="center"/>
              <w:textAlignment w:val="center"/>
              <w:rPr>
                <w:rFonts w:hint="default" w:ascii="宋体" w:hAnsi="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7</w:t>
            </w:r>
          </w:p>
        </w:tc>
        <w:tc>
          <w:tcPr>
            <w:tcW w:w="2544" w:type="dxa"/>
            <w:vAlign w:val="center"/>
          </w:tcPr>
          <w:p w14:paraId="527BF6D5">
            <w:pPr>
              <w:widowControl/>
              <w:spacing w:line="320" w:lineRule="exact"/>
              <w:jc w:val="center"/>
              <w:textAlignment w:val="center"/>
              <w:rPr>
                <w:rFonts w:hint="default" w:hAnsi="宋体" w:cs="宋体"/>
                <w:color w:val="auto"/>
                <w:highlight w:val="none"/>
                <w:lang w:val="en-US" w:eastAsia="zh-CN"/>
              </w:rPr>
            </w:pPr>
            <w:r>
              <w:rPr>
                <w:rFonts w:hint="eastAsia" w:hAnsi="宋体" w:cs="宋体"/>
                <w:color w:val="auto"/>
                <w:highlight w:val="none"/>
                <w:lang w:val="en-US" w:eastAsia="zh-CN"/>
              </w:rPr>
              <w:t>税金</w:t>
            </w:r>
          </w:p>
        </w:tc>
        <w:tc>
          <w:tcPr>
            <w:tcW w:w="2272" w:type="dxa"/>
            <w:vAlign w:val="center"/>
          </w:tcPr>
          <w:p w14:paraId="67C6B445">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726" w:type="dxa"/>
            <w:vAlign w:val="center"/>
          </w:tcPr>
          <w:p w14:paraId="4405FC19">
            <w:pPr>
              <w:pStyle w:val="16"/>
              <w:jc w:val="center"/>
              <w:rPr>
                <w:rFonts w:hAnsi="宋体" w:cs="宋体"/>
                <w:color w:val="auto"/>
                <w:highlight w:val="none"/>
              </w:rPr>
            </w:pPr>
          </w:p>
        </w:tc>
      </w:tr>
      <w:tr w14:paraId="2999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60" w:type="dxa"/>
            <w:gridSpan w:val="2"/>
            <w:vAlign w:val="center"/>
          </w:tcPr>
          <w:p w14:paraId="469D15A5">
            <w:pPr>
              <w:widowControl/>
              <w:spacing w:line="320" w:lineRule="exact"/>
              <w:jc w:val="center"/>
              <w:textAlignment w:val="center"/>
              <w:rPr>
                <w:rFonts w:hint="default" w:hAnsi="宋体" w:cs="宋体"/>
                <w:color w:val="auto"/>
                <w:highlight w:val="none"/>
                <w:lang w:val="en-US" w:eastAsia="zh-CN"/>
              </w:rPr>
            </w:pPr>
            <w:r>
              <w:rPr>
                <w:rFonts w:hint="eastAsia" w:hAnsi="宋体" w:cs="宋体"/>
                <w:color w:val="auto"/>
                <w:highlight w:val="none"/>
                <w:lang w:val="en-US" w:eastAsia="zh-CN"/>
              </w:rPr>
              <w:t>总计</w:t>
            </w:r>
          </w:p>
        </w:tc>
        <w:tc>
          <w:tcPr>
            <w:tcW w:w="4998" w:type="dxa"/>
            <w:gridSpan w:val="2"/>
            <w:vAlign w:val="center"/>
          </w:tcPr>
          <w:p w14:paraId="30F207D6">
            <w:pPr>
              <w:pStyle w:val="16"/>
              <w:jc w:val="left"/>
              <w:rPr>
                <w:rFonts w:hint="eastAsia" w:hAnsi="宋体" w:cs="宋体"/>
                <w:color w:val="auto"/>
                <w:highlight w:val="none"/>
                <w:u w:val="none"/>
                <w:lang w:val="en-US" w:eastAsia="zh-CN"/>
              </w:rPr>
            </w:pPr>
            <w:r>
              <w:rPr>
                <w:rFonts w:hint="eastAsia" w:hAnsi="宋体" w:cs="宋体"/>
                <w:color w:val="auto"/>
                <w:highlight w:val="none"/>
                <w:lang w:val="en-US" w:eastAsia="zh-CN"/>
              </w:rPr>
              <w:t>大写：人民币</w:t>
            </w:r>
            <w:r>
              <w:rPr>
                <w:rFonts w:hint="eastAsia" w:hAnsi="宋体" w:cs="宋体"/>
                <w:color w:val="auto"/>
                <w:highlight w:val="none"/>
                <w:u w:val="single"/>
                <w:lang w:val="en-US" w:eastAsia="zh-CN"/>
              </w:rPr>
              <w:t xml:space="preserve">              </w:t>
            </w:r>
            <w:r>
              <w:rPr>
                <w:rFonts w:hint="eastAsia" w:hAnsi="宋体" w:cs="宋体"/>
                <w:color w:val="auto"/>
                <w:highlight w:val="none"/>
                <w:u w:val="none"/>
                <w:lang w:val="en-US" w:eastAsia="zh-CN"/>
              </w:rPr>
              <w:t>元</w:t>
            </w:r>
          </w:p>
          <w:p w14:paraId="13593B3F">
            <w:pPr>
              <w:pStyle w:val="16"/>
              <w:jc w:val="left"/>
              <w:rPr>
                <w:rFonts w:hint="default" w:hAnsi="宋体" w:cs="宋体"/>
                <w:color w:val="auto"/>
                <w:highlight w:val="none"/>
                <w:u w:val="none"/>
                <w:lang w:val="en-US" w:eastAsia="zh-CN"/>
              </w:rPr>
            </w:pPr>
            <w:r>
              <w:rPr>
                <w:rFonts w:hint="eastAsia" w:hAnsi="宋体" w:cs="宋体"/>
                <w:color w:val="auto"/>
                <w:highlight w:val="none"/>
                <w:u w:val="none"/>
                <w:lang w:val="en-US" w:eastAsia="zh-CN"/>
              </w:rPr>
              <w:t xml:space="preserve">小写：¥ </w:t>
            </w:r>
            <w:r>
              <w:rPr>
                <w:rFonts w:hint="eastAsia" w:hAnsi="宋体" w:cs="宋体"/>
                <w:color w:val="auto"/>
                <w:highlight w:val="none"/>
                <w:u w:val="single"/>
                <w:lang w:val="en-US" w:eastAsia="zh-CN"/>
              </w:rPr>
              <w:t xml:space="preserve">                 </w:t>
            </w:r>
          </w:p>
        </w:tc>
      </w:tr>
    </w:tbl>
    <w:p w14:paraId="57857B11">
      <w:pPr>
        <w:topLinePunct/>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特别说明：</w:t>
      </w:r>
    </w:p>
    <w:p w14:paraId="5D59B8B0">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1.本项目总价及分项报价均不接受任何形式的赠送、“零”报价和折扣报价。</w:t>
      </w:r>
    </w:p>
    <w:p w14:paraId="5B4AE63C">
      <w:pPr>
        <w:topLinePunct/>
        <w:autoSpaceDE w:val="0"/>
        <w:autoSpaceDN w:val="0"/>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2.投标人按照以上费用内容，填列分项报价。</w:t>
      </w:r>
    </w:p>
    <w:p w14:paraId="22A3E0CF">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.如报价不一致，按照投标人须知“19.核价原则”进行修正。</w:t>
      </w:r>
    </w:p>
    <w:p w14:paraId="11DBE884">
      <w:pPr>
        <w:topLinePunct/>
        <w:autoSpaceDE w:val="0"/>
        <w:autoSpaceDN w:val="0"/>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.分项价格表1和表 2 的总价金额应当一致</w:t>
      </w:r>
      <w:r>
        <w:rPr>
          <w:rFonts w:hint="eastAsia" w:ascii="宋体" w:hAnsi="宋体" w:cs="宋体"/>
          <w:color w:val="auto"/>
          <w:szCs w:val="21"/>
          <w:highlight w:val="none"/>
          <w:lang w:val="en-US" w:eastAsia="zh-CN"/>
        </w:rPr>
        <w:t>。不一致的以表2金额修改表1金额。</w:t>
      </w:r>
    </w:p>
    <w:p w14:paraId="62A6DC4A">
      <w:pPr>
        <w:pStyle w:val="16"/>
        <w:ind w:firstLine="420" w:firstLineChars="200"/>
        <w:rPr>
          <w:rFonts w:hAnsi="宋体" w:cs="宋体"/>
          <w:highlight w:val="none"/>
        </w:rPr>
      </w:pPr>
    </w:p>
    <w:p w14:paraId="07D51093">
      <w:pPr>
        <w:tabs>
          <w:tab w:val="left" w:pos="123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w:t>
      </w:r>
      <w:r>
        <w:rPr>
          <w:rFonts w:hint="eastAsia" w:ascii="宋体" w:hAnsi="宋体" w:cs="宋体"/>
          <w:kern w:val="0"/>
          <w:szCs w:val="21"/>
          <w:highlight w:val="none"/>
        </w:rPr>
        <w:t>（全称并加盖公章</w:t>
      </w:r>
      <w:r>
        <w:rPr>
          <w:rFonts w:hint="eastAsia" w:ascii="宋体" w:hAnsi="宋体" w:cs="宋体"/>
          <w:szCs w:val="21"/>
          <w:highlight w:val="none"/>
        </w:rPr>
        <w:t>）：</w:t>
      </w:r>
      <w:r>
        <w:rPr>
          <w:rFonts w:hint="eastAsia" w:ascii="宋体" w:hAnsi="宋体" w:cs="宋体"/>
          <w:highlight w:val="none"/>
        </w:rPr>
        <w:t>____________</w:t>
      </w:r>
    </w:p>
    <w:p w14:paraId="210B140B">
      <w:pPr>
        <w:tabs>
          <w:tab w:val="left" w:pos="123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kern w:val="0"/>
          <w:szCs w:val="21"/>
          <w:highlight w:val="none"/>
        </w:rPr>
        <w:t>投标人代表（签字或盖章）</w:t>
      </w:r>
      <w:r>
        <w:rPr>
          <w:rFonts w:hint="eastAsia" w:ascii="宋体" w:hAnsi="宋体" w:cs="宋体"/>
          <w:szCs w:val="21"/>
          <w:highlight w:val="none"/>
        </w:rPr>
        <w:t>：</w:t>
      </w:r>
      <w:r>
        <w:rPr>
          <w:rFonts w:hint="eastAsia" w:ascii="宋体" w:hAnsi="宋体" w:cs="宋体"/>
          <w:highlight w:val="none"/>
        </w:rPr>
        <w:t>____________</w:t>
      </w:r>
    </w:p>
    <w:p w14:paraId="68967A08">
      <w:pPr>
        <w:tabs>
          <w:tab w:val="left" w:pos="1230"/>
        </w:tabs>
        <w:topLinePunct/>
        <w:autoSpaceDE w:val="0"/>
        <w:autoSpaceDN w:val="0"/>
        <w:adjustRightInd w:val="0"/>
        <w:snapToGrid w:val="0"/>
        <w:spacing w:line="360" w:lineRule="auto"/>
        <w:ind w:firstLine="420" w:firstLineChars="200"/>
        <w:rPr>
          <w:rFonts w:hint="eastAsia" w:ascii="宋体" w:hAnsi="宋体" w:cs="宋体"/>
          <w:highlight w:val="none"/>
        </w:rPr>
      </w:pPr>
      <w:r>
        <w:rPr>
          <w:rFonts w:hint="eastAsia" w:ascii="宋体" w:hAnsi="宋体" w:cs="宋体"/>
          <w:szCs w:val="21"/>
          <w:highlight w:val="none"/>
        </w:rPr>
        <w:t>日期：</w:t>
      </w:r>
      <w:r>
        <w:rPr>
          <w:rFonts w:hint="eastAsia" w:ascii="宋体" w:hAnsi="宋体" w:cs="宋体"/>
          <w:highlight w:val="none"/>
        </w:rPr>
        <w:t>____________</w:t>
      </w:r>
    </w:p>
    <w:p w14:paraId="1FB52740">
      <w:pPr>
        <w:topLinePunct/>
        <w:autoSpaceDE w:val="0"/>
        <w:autoSpaceDN w:val="0"/>
        <w:spacing w:line="360" w:lineRule="auto"/>
        <w:rPr>
          <w:rFonts w:hint="eastAsia" w:ascii="宋体" w:hAnsi="宋体" w:cs="宋体"/>
          <w:color w:val="auto"/>
          <w:szCs w:val="21"/>
          <w:highlight w:val="none"/>
        </w:rPr>
        <w:sectPr>
          <w:pgSz w:w="11907" w:h="16839"/>
          <w:pgMar w:top="1440" w:right="1334" w:bottom="1440" w:left="1332" w:header="851" w:footer="992" w:gutter="0"/>
          <w:pgBorders>
            <w:top w:val="none" w:sz="0" w:space="0"/>
            <w:left w:val="none" w:sz="0" w:space="0"/>
            <w:bottom w:val="none" w:sz="0" w:space="0"/>
            <w:right w:val="none" w:sz="0" w:space="0"/>
          </w:pgBorders>
          <w:cols w:space="720" w:num="1"/>
          <w:titlePg/>
          <w:docGrid w:linePitch="312" w:charSpace="0"/>
        </w:sectPr>
      </w:pPr>
    </w:p>
    <w:p w14:paraId="32B7A3AA">
      <w:pPr>
        <w:spacing w:line="360" w:lineRule="auto"/>
        <w:jc w:val="center"/>
        <w:rPr>
          <w:rFonts w:hint="default" w:ascii="宋体" w:hAnsi="宋体" w:eastAsia="宋体" w:cs="宋体"/>
          <w:b/>
          <w:color w:val="auto"/>
          <w:sz w:val="28"/>
          <w:highlight w:val="none"/>
          <w:lang w:val="en-US" w:eastAsia="zh-CN"/>
        </w:rPr>
      </w:pPr>
      <w:r>
        <w:rPr>
          <w:rFonts w:hint="eastAsia" w:ascii="宋体" w:hAnsi="宋体" w:cs="宋体"/>
          <w:b/>
          <w:color w:val="auto"/>
          <w:sz w:val="28"/>
          <w:highlight w:val="none"/>
        </w:rPr>
        <w:t>分项报价表</w:t>
      </w:r>
      <w:r>
        <w:rPr>
          <w:rFonts w:hint="eastAsia" w:ascii="宋体" w:hAnsi="宋体" w:cs="宋体"/>
          <w:b/>
          <w:color w:val="auto"/>
          <w:sz w:val="28"/>
          <w:highlight w:val="none"/>
          <w:lang w:val="en-US" w:eastAsia="zh-CN"/>
        </w:rPr>
        <w:t>-2</w:t>
      </w:r>
    </w:p>
    <w:p w14:paraId="549BD51F">
      <w:pPr>
        <w:pStyle w:val="16"/>
        <w:topLinePunct/>
        <w:autoSpaceDE w:val="0"/>
        <w:autoSpaceDN w:val="0"/>
        <w:adjustRightInd w:val="0"/>
        <w:snapToGrid w:val="0"/>
        <w:spacing w:line="360" w:lineRule="auto"/>
        <w:jc w:val="center"/>
        <w:rPr>
          <w:rFonts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服务</w:t>
      </w:r>
      <w:r>
        <w:rPr>
          <w:rFonts w:hint="eastAsia" w:hAnsi="宋体" w:cs="宋体"/>
          <w:color w:val="auto"/>
          <w:highlight w:val="none"/>
        </w:rPr>
        <w:t>类项目适用)</w:t>
      </w:r>
    </w:p>
    <w:p w14:paraId="1C15360D">
      <w:pPr>
        <w:topLinePunct/>
        <w:autoSpaceDE w:val="0"/>
        <w:autoSpaceDN w:val="0"/>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 xml:space="preserve">项目名称：____________ </w:t>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项目编号：____________ </w:t>
      </w:r>
    </w:p>
    <w:p w14:paraId="302450BF">
      <w:pPr>
        <w:adjustRightInd w:val="0"/>
        <w:snapToGrid w:val="0"/>
        <w:spacing w:line="360" w:lineRule="auto"/>
        <w:ind w:right="840"/>
        <w:rPr>
          <w:rFonts w:ascii="宋体" w:hAnsi="宋体" w:cs="宋体"/>
          <w:color w:val="auto"/>
          <w:highlight w:val="none"/>
        </w:rPr>
      </w:pPr>
      <w:r>
        <w:rPr>
          <w:rFonts w:hint="eastAsia" w:ascii="宋体" w:hAnsi="宋体" w:cs="宋体"/>
          <w:color w:val="auto"/>
          <w:highlight w:val="none"/>
        </w:rPr>
        <w:t>采购包号：___________                                  价格单位：人民币   元</w:t>
      </w:r>
    </w:p>
    <w:tbl>
      <w:tblPr>
        <w:tblStyle w:val="24"/>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35"/>
        <w:gridCol w:w="2648"/>
        <w:gridCol w:w="1551"/>
        <w:gridCol w:w="2610"/>
      </w:tblGrid>
      <w:tr w14:paraId="0693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14" w:type="dxa"/>
            <w:vAlign w:val="center"/>
          </w:tcPr>
          <w:p w14:paraId="32F7770E">
            <w:pPr>
              <w:pStyle w:val="16"/>
              <w:jc w:val="center"/>
              <w:rPr>
                <w:rFonts w:hAnsi="宋体" w:cs="宋体"/>
                <w:color w:val="auto"/>
                <w:highlight w:val="none"/>
              </w:rPr>
            </w:pPr>
            <w:r>
              <w:rPr>
                <w:rFonts w:hint="eastAsia" w:hAnsi="宋体" w:cs="宋体"/>
                <w:color w:val="auto"/>
                <w:highlight w:val="none"/>
              </w:rPr>
              <w:t>序号</w:t>
            </w:r>
          </w:p>
        </w:tc>
        <w:tc>
          <w:tcPr>
            <w:tcW w:w="3383" w:type="dxa"/>
            <w:gridSpan w:val="2"/>
            <w:vAlign w:val="center"/>
          </w:tcPr>
          <w:p w14:paraId="24DEA1F8">
            <w:pPr>
              <w:pStyle w:val="16"/>
              <w:jc w:val="center"/>
              <w:rPr>
                <w:rFonts w:hint="default" w:hAnsi="宋体" w:eastAsia="宋体" w:cs="宋体"/>
                <w:color w:val="auto"/>
                <w:highlight w:val="none"/>
                <w:lang w:val="en-US" w:eastAsia="zh-CN"/>
              </w:rPr>
            </w:pPr>
            <w:r>
              <w:rPr>
                <w:rFonts w:hint="eastAsia" w:hAnsi="宋体" w:cs="宋体"/>
                <w:color w:val="auto"/>
                <w:highlight w:val="none"/>
                <w:lang w:val="en-US" w:eastAsia="zh-CN"/>
              </w:rPr>
              <w:t>服务内容</w:t>
            </w:r>
          </w:p>
        </w:tc>
        <w:tc>
          <w:tcPr>
            <w:tcW w:w="1551" w:type="dxa"/>
            <w:vAlign w:val="center"/>
          </w:tcPr>
          <w:p w14:paraId="43CC1A63">
            <w:pPr>
              <w:pStyle w:val="16"/>
              <w:jc w:val="center"/>
              <w:rPr>
                <w:rFonts w:hint="default" w:hAnsi="宋体" w:eastAsia="宋体" w:cs="宋体"/>
                <w:color w:val="auto"/>
                <w:highlight w:val="none"/>
                <w:lang w:val="en-US" w:eastAsia="zh-CN"/>
              </w:rPr>
            </w:pPr>
            <w:r>
              <w:rPr>
                <w:rFonts w:hint="eastAsia" w:hAnsi="宋体" w:cs="宋体"/>
                <w:color w:val="auto"/>
                <w:highlight w:val="none"/>
                <w:lang w:val="en-US" w:eastAsia="zh-CN"/>
              </w:rPr>
              <w:t>报价</w:t>
            </w:r>
          </w:p>
        </w:tc>
        <w:tc>
          <w:tcPr>
            <w:tcW w:w="2610" w:type="dxa"/>
            <w:vAlign w:val="center"/>
          </w:tcPr>
          <w:p w14:paraId="468F1CE0">
            <w:pPr>
              <w:pStyle w:val="16"/>
              <w:jc w:val="center"/>
              <w:rPr>
                <w:rFonts w:hint="eastAsia" w:hAnsi="宋体" w:cs="宋体"/>
                <w:color w:val="auto"/>
                <w:highlight w:val="none"/>
                <w:lang w:val="en-US" w:eastAsia="zh-CN"/>
              </w:rPr>
            </w:pPr>
            <w:r>
              <w:rPr>
                <w:rFonts w:hint="eastAsia" w:hAnsi="宋体" w:cs="宋体"/>
                <w:color w:val="auto"/>
                <w:highlight w:val="none"/>
                <w:lang w:val="en-US" w:eastAsia="zh-CN"/>
              </w:rPr>
              <w:t>备注</w:t>
            </w:r>
          </w:p>
          <w:p w14:paraId="315D6693">
            <w:pPr>
              <w:pStyle w:val="16"/>
              <w:jc w:val="center"/>
              <w:rPr>
                <w:rFonts w:hint="eastAsia" w:hAnsi="宋体" w:cs="宋体"/>
                <w:color w:val="auto"/>
                <w:highlight w:val="none"/>
                <w:lang w:val="en-US" w:eastAsia="zh-CN"/>
              </w:rPr>
            </w:pPr>
            <w:r>
              <w:rPr>
                <w:rFonts w:hint="eastAsia" w:hAnsi="宋体" w:cs="宋体"/>
                <w:color w:val="auto"/>
                <w:highlight w:val="none"/>
                <w:lang w:val="en-US" w:eastAsia="zh-CN"/>
              </w:rPr>
              <w:t>（收费依据、收费标准等）</w:t>
            </w:r>
          </w:p>
        </w:tc>
      </w:tr>
      <w:tr w14:paraId="66DE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14:paraId="35B719FC">
            <w:pPr>
              <w:pStyle w:val="39"/>
              <w:widowControl/>
              <w:numPr>
                <w:ilvl w:val="0"/>
                <w:numId w:val="0"/>
              </w:numPr>
              <w:spacing w:line="320" w:lineRule="exact"/>
              <w:jc w:val="center"/>
              <w:textAlignment w:val="center"/>
              <w:rPr>
                <w:rFonts w:hAnsi="宋体" w:cs="宋体"/>
                <w:color w:val="auto"/>
                <w:highlight w:val="none"/>
              </w:rPr>
            </w:pPr>
            <w:r>
              <w:rPr>
                <w:rFonts w:hint="default" w:ascii="宋体" w:hAnsi="宋体" w:eastAsia="宋体" w:cstheme="minorEastAsia"/>
                <w:color w:val="auto"/>
                <w:kern w:val="2"/>
                <w:sz w:val="21"/>
                <w:szCs w:val="21"/>
                <w:highlight w:val="none"/>
                <w:lang w:val="en-US" w:eastAsia="zh-CN" w:bidi="ar-SA"/>
              </w:rPr>
              <w:t>1</w:t>
            </w:r>
          </w:p>
        </w:tc>
        <w:tc>
          <w:tcPr>
            <w:tcW w:w="735" w:type="dxa"/>
            <w:vMerge w:val="restart"/>
            <w:vAlign w:val="center"/>
          </w:tcPr>
          <w:p w14:paraId="7DD0BADA">
            <w:pPr>
              <w:pStyle w:val="16"/>
              <w:jc w:val="center"/>
              <w:rPr>
                <w:rFonts w:hint="eastAsia" w:hAnsi="宋体" w:cs="宋体"/>
                <w:color w:val="auto"/>
                <w:highlight w:val="none"/>
                <w:lang w:val="en-US" w:eastAsia="zh-CN"/>
              </w:rPr>
            </w:pPr>
            <w:r>
              <w:rPr>
                <w:rFonts w:hint="eastAsia" w:hAnsi="宋体" w:cs="宋体"/>
                <w:color w:val="auto"/>
                <w:highlight w:val="none"/>
                <w:lang w:val="en-US" w:eastAsia="zh-CN"/>
              </w:rPr>
              <w:t>环境类设备</w:t>
            </w:r>
          </w:p>
        </w:tc>
        <w:tc>
          <w:tcPr>
            <w:tcW w:w="2648" w:type="dxa"/>
            <w:vAlign w:val="center"/>
          </w:tcPr>
          <w:p w14:paraId="0E7ED861">
            <w:pPr>
              <w:pStyle w:val="16"/>
              <w:jc w:val="center"/>
              <w:rPr>
                <w:rFonts w:hint="eastAsia" w:hAnsi="宋体" w:cs="宋体"/>
                <w:color w:val="auto"/>
                <w:highlight w:val="none"/>
                <w:lang w:val="en-US" w:eastAsia="zh-CN"/>
              </w:rPr>
            </w:pPr>
            <w:r>
              <w:rPr>
                <w:rFonts w:hint="eastAsia" w:hAnsi="宋体" w:cs="宋体"/>
                <w:color w:val="auto"/>
                <w:highlight w:val="none"/>
                <w:lang w:val="en-US" w:eastAsia="zh-CN"/>
              </w:rPr>
              <w:t>空调</w:t>
            </w:r>
          </w:p>
        </w:tc>
        <w:tc>
          <w:tcPr>
            <w:tcW w:w="1551" w:type="dxa"/>
            <w:vAlign w:val="center"/>
          </w:tcPr>
          <w:p w14:paraId="0172FA05">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610" w:type="dxa"/>
            <w:vAlign w:val="center"/>
          </w:tcPr>
          <w:p w14:paraId="200A1C4B">
            <w:pPr>
              <w:pStyle w:val="16"/>
              <w:jc w:val="center"/>
              <w:rPr>
                <w:rFonts w:hAnsi="宋体" w:cs="宋体"/>
                <w:color w:val="auto"/>
                <w:highlight w:val="none"/>
              </w:rPr>
            </w:pPr>
          </w:p>
        </w:tc>
      </w:tr>
      <w:tr w14:paraId="0AA6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714" w:type="dxa"/>
            <w:vAlign w:val="center"/>
          </w:tcPr>
          <w:p w14:paraId="3E54CE21">
            <w:pPr>
              <w:pStyle w:val="39"/>
              <w:widowControl/>
              <w:numPr>
                <w:ilvl w:val="0"/>
                <w:numId w:val="0"/>
              </w:numPr>
              <w:spacing w:line="320" w:lineRule="exact"/>
              <w:jc w:val="center"/>
              <w:textAlignment w:val="center"/>
              <w:rPr>
                <w:rFonts w:hint="default" w:ascii="宋体" w:hAnsi="宋体" w:eastAsia="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2</w:t>
            </w:r>
          </w:p>
        </w:tc>
        <w:tc>
          <w:tcPr>
            <w:tcW w:w="735" w:type="dxa"/>
            <w:vMerge w:val="continue"/>
            <w:vAlign w:val="center"/>
          </w:tcPr>
          <w:p w14:paraId="2BB1261E">
            <w:pPr>
              <w:pStyle w:val="16"/>
              <w:jc w:val="center"/>
              <w:rPr>
                <w:rFonts w:hint="eastAsia" w:hAnsi="宋体" w:cs="宋体"/>
                <w:color w:val="auto"/>
                <w:highlight w:val="none"/>
                <w:lang w:val="en-US" w:eastAsia="zh-CN"/>
              </w:rPr>
            </w:pPr>
          </w:p>
        </w:tc>
        <w:tc>
          <w:tcPr>
            <w:tcW w:w="2648" w:type="dxa"/>
            <w:vAlign w:val="center"/>
          </w:tcPr>
          <w:p w14:paraId="15F689E1">
            <w:pPr>
              <w:pStyle w:val="16"/>
              <w:jc w:val="center"/>
              <w:rPr>
                <w:rFonts w:hint="eastAsia" w:hAnsi="宋体" w:cs="宋体"/>
                <w:color w:val="auto"/>
                <w:highlight w:val="none"/>
                <w:lang w:val="en-US" w:eastAsia="zh-CN"/>
              </w:rPr>
            </w:pPr>
            <w:r>
              <w:rPr>
                <w:rFonts w:hint="eastAsia" w:hAnsi="宋体" w:cs="宋体"/>
                <w:color w:val="auto"/>
                <w:highlight w:val="none"/>
                <w:lang w:val="en-US" w:eastAsia="zh-CN"/>
              </w:rPr>
              <w:t>新风</w:t>
            </w:r>
          </w:p>
        </w:tc>
        <w:tc>
          <w:tcPr>
            <w:tcW w:w="1551" w:type="dxa"/>
            <w:vAlign w:val="center"/>
          </w:tcPr>
          <w:p w14:paraId="38390481">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610" w:type="dxa"/>
            <w:vAlign w:val="center"/>
          </w:tcPr>
          <w:p w14:paraId="4EA213F2">
            <w:pPr>
              <w:pStyle w:val="16"/>
              <w:jc w:val="center"/>
              <w:rPr>
                <w:rFonts w:hAnsi="宋体" w:cs="宋体"/>
                <w:color w:val="auto"/>
                <w:highlight w:val="none"/>
              </w:rPr>
            </w:pPr>
          </w:p>
        </w:tc>
      </w:tr>
      <w:tr w14:paraId="06D4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14:paraId="4B2B0C8F">
            <w:pPr>
              <w:pStyle w:val="39"/>
              <w:widowControl/>
              <w:numPr>
                <w:ilvl w:val="0"/>
                <w:numId w:val="0"/>
              </w:numPr>
              <w:spacing w:line="320" w:lineRule="exact"/>
              <w:jc w:val="center"/>
              <w:textAlignment w:val="center"/>
              <w:rPr>
                <w:rFonts w:hint="default" w:ascii="宋体" w:hAnsi="宋体" w:eastAsia="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3</w:t>
            </w:r>
          </w:p>
        </w:tc>
        <w:tc>
          <w:tcPr>
            <w:tcW w:w="735" w:type="dxa"/>
            <w:vMerge w:val="continue"/>
            <w:vAlign w:val="center"/>
          </w:tcPr>
          <w:p w14:paraId="42CE5AA6">
            <w:pPr>
              <w:pStyle w:val="16"/>
              <w:jc w:val="center"/>
              <w:rPr>
                <w:rFonts w:hint="eastAsia" w:hAnsi="宋体" w:cs="宋体"/>
                <w:color w:val="auto"/>
                <w:highlight w:val="none"/>
                <w:lang w:val="en-US" w:eastAsia="zh-CN"/>
              </w:rPr>
            </w:pPr>
          </w:p>
        </w:tc>
        <w:tc>
          <w:tcPr>
            <w:tcW w:w="2648" w:type="dxa"/>
            <w:vAlign w:val="center"/>
          </w:tcPr>
          <w:p w14:paraId="526A7F91">
            <w:pPr>
              <w:pStyle w:val="16"/>
              <w:jc w:val="center"/>
              <w:rPr>
                <w:rFonts w:hint="eastAsia" w:hAnsi="宋体" w:cs="宋体"/>
                <w:color w:val="auto"/>
                <w:highlight w:val="none"/>
                <w:lang w:val="en-US" w:eastAsia="zh-CN"/>
              </w:rPr>
            </w:pPr>
            <w:r>
              <w:rPr>
                <w:rFonts w:hint="eastAsia" w:hAnsi="宋体" w:cs="宋体"/>
                <w:color w:val="auto"/>
                <w:highlight w:val="none"/>
                <w:lang w:val="en-US" w:eastAsia="zh-CN"/>
              </w:rPr>
              <w:t>机房环境设备</w:t>
            </w:r>
          </w:p>
        </w:tc>
        <w:tc>
          <w:tcPr>
            <w:tcW w:w="1551" w:type="dxa"/>
            <w:vAlign w:val="center"/>
          </w:tcPr>
          <w:p w14:paraId="4AF3ECED">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610" w:type="dxa"/>
            <w:vAlign w:val="center"/>
          </w:tcPr>
          <w:p w14:paraId="39AB8737">
            <w:pPr>
              <w:pStyle w:val="16"/>
              <w:jc w:val="center"/>
              <w:rPr>
                <w:rFonts w:hAnsi="宋体" w:cs="宋体"/>
                <w:color w:val="auto"/>
                <w:highlight w:val="none"/>
              </w:rPr>
            </w:pPr>
          </w:p>
        </w:tc>
      </w:tr>
      <w:tr w14:paraId="5139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14:paraId="2FA31206">
            <w:pPr>
              <w:pStyle w:val="39"/>
              <w:widowControl/>
              <w:numPr>
                <w:ilvl w:val="0"/>
                <w:numId w:val="0"/>
              </w:numPr>
              <w:spacing w:line="320" w:lineRule="exact"/>
              <w:jc w:val="center"/>
              <w:textAlignment w:val="center"/>
              <w:rPr>
                <w:rFonts w:hint="default" w:ascii="宋体" w:hAnsi="宋体" w:eastAsia="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4</w:t>
            </w:r>
          </w:p>
        </w:tc>
        <w:tc>
          <w:tcPr>
            <w:tcW w:w="735" w:type="dxa"/>
            <w:vMerge w:val="continue"/>
            <w:vAlign w:val="center"/>
          </w:tcPr>
          <w:p w14:paraId="6C9E3245">
            <w:pPr>
              <w:pStyle w:val="16"/>
              <w:jc w:val="center"/>
              <w:rPr>
                <w:rFonts w:hint="default" w:hAnsi="宋体" w:cs="宋体"/>
                <w:color w:val="auto"/>
                <w:highlight w:val="none"/>
                <w:lang w:val="en-US" w:eastAsia="zh-CN"/>
              </w:rPr>
            </w:pPr>
          </w:p>
        </w:tc>
        <w:tc>
          <w:tcPr>
            <w:tcW w:w="2648" w:type="dxa"/>
            <w:vAlign w:val="center"/>
          </w:tcPr>
          <w:p w14:paraId="0B895911">
            <w:pPr>
              <w:pStyle w:val="16"/>
              <w:jc w:val="center"/>
              <w:rPr>
                <w:rFonts w:hint="default" w:hAnsi="宋体" w:cs="宋体"/>
                <w:color w:val="auto"/>
                <w:highlight w:val="none"/>
                <w:lang w:val="en-US" w:eastAsia="zh-CN"/>
              </w:rPr>
            </w:pPr>
            <w:r>
              <w:rPr>
                <w:rFonts w:hint="eastAsia" w:hAnsi="宋体" w:cs="宋体"/>
                <w:color w:val="auto"/>
                <w:highlight w:val="none"/>
                <w:lang w:val="en-US" w:eastAsia="zh-CN"/>
              </w:rPr>
              <w:t>机房动力环境监控系统</w:t>
            </w:r>
          </w:p>
        </w:tc>
        <w:tc>
          <w:tcPr>
            <w:tcW w:w="1551" w:type="dxa"/>
            <w:vAlign w:val="center"/>
          </w:tcPr>
          <w:p w14:paraId="4647A8C8">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610" w:type="dxa"/>
            <w:vAlign w:val="center"/>
          </w:tcPr>
          <w:p w14:paraId="20FB19D4">
            <w:pPr>
              <w:pStyle w:val="16"/>
              <w:jc w:val="center"/>
              <w:rPr>
                <w:rFonts w:hAnsi="宋体" w:cs="宋体"/>
                <w:color w:val="auto"/>
                <w:highlight w:val="none"/>
              </w:rPr>
            </w:pPr>
          </w:p>
        </w:tc>
      </w:tr>
      <w:tr w14:paraId="6F1A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14:paraId="6C58CE9C">
            <w:pPr>
              <w:pStyle w:val="39"/>
              <w:widowControl/>
              <w:numPr>
                <w:ilvl w:val="0"/>
                <w:numId w:val="0"/>
              </w:numPr>
              <w:spacing w:line="320" w:lineRule="exact"/>
              <w:jc w:val="center"/>
              <w:textAlignment w:val="center"/>
              <w:rPr>
                <w:rFonts w:hint="default" w:ascii="宋体" w:hAnsi="宋体" w:eastAsia="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5</w:t>
            </w:r>
          </w:p>
        </w:tc>
        <w:tc>
          <w:tcPr>
            <w:tcW w:w="735" w:type="dxa"/>
            <w:vMerge w:val="restart"/>
            <w:vAlign w:val="center"/>
          </w:tcPr>
          <w:p w14:paraId="7714976B">
            <w:pPr>
              <w:pStyle w:val="16"/>
              <w:jc w:val="center"/>
              <w:rPr>
                <w:rFonts w:hint="default" w:hAnsi="宋体" w:cs="宋体"/>
                <w:color w:val="auto"/>
                <w:highlight w:val="none"/>
                <w:lang w:val="en-US" w:eastAsia="zh-CN"/>
              </w:rPr>
            </w:pPr>
            <w:r>
              <w:rPr>
                <w:rFonts w:hint="eastAsia" w:hAnsi="宋体" w:cs="宋体"/>
                <w:color w:val="auto"/>
                <w:highlight w:val="none"/>
                <w:lang w:val="en-US" w:eastAsia="zh-CN"/>
              </w:rPr>
              <w:t>IT类设备</w:t>
            </w:r>
          </w:p>
        </w:tc>
        <w:tc>
          <w:tcPr>
            <w:tcW w:w="2648" w:type="dxa"/>
            <w:vAlign w:val="center"/>
          </w:tcPr>
          <w:p w14:paraId="12B31D91">
            <w:pPr>
              <w:pStyle w:val="16"/>
              <w:jc w:val="center"/>
              <w:rPr>
                <w:rFonts w:hint="default" w:hAnsi="宋体" w:cs="宋体"/>
                <w:color w:val="auto"/>
                <w:highlight w:val="none"/>
                <w:lang w:val="en-US" w:eastAsia="zh-CN"/>
              </w:rPr>
            </w:pPr>
            <w:r>
              <w:rPr>
                <w:rFonts w:hint="eastAsia" w:hAnsi="宋体" w:cs="宋体"/>
                <w:color w:val="auto"/>
                <w:highlight w:val="none"/>
                <w:lang w:val="en-US" w:eastAsia="zh-CN"/>
              </w:rPr>
              <w:t>磁带库</w:t>
            </w:r>
          </w:p>
        </w:tc>
        <w:tc>
          <w:tcPr>
            <w:tcW w:w="1551" w:type="dxa"/>
            <w:vAlign w:val="center"/>
          </w:tcPr>
          <w:p w14:paraId="1AEF8750">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610" w:type="dxa"/>
            <w:vAlign w:val="center"/>
          </w:tcPr>
          <w:p w14:paraId="095229FE">
            <w:pPr>
              <w:pStyle w:val="16"/>
              <w:jc w:val="center"/>
              <w:rPr>
                <w:rFonts w:hAnsi="宋体" w:cs="宋体"/>
                <w:color w:val="auto"/>
                <w:highlight w:val="none"/>
              </w:rPr>
            </w:pPr>
          </w:p>
        </w:tc>
      </w:tr>
      <w:tr w14:paraId="37D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14:paraId="18E62701">
            <w:pPr>
              <w:pStyle w:val="39"/>
              <w:widowControl/>
              <w:numPr>
                <w:ilvl w:val="0"/>
                <w:numId w:val="0"/>
              </w:numPr>
              <w:spacing w:line="320" w:lineRule="exact"/>
              <w:jc w:val="center"/>
              <w:textAlignment w:val="center"/>
              <w:rPr>
                <w:rFonts w:hint="default" w:ascii="宋体" w:hAnsi="宋体" w:eastAsia="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6</w:t>
            </w:r>
          </w:p>
        </w:tc>
        <w:tc>
          <w:tcPr>
            <w:tcW w:w="735" w:type="dxa"/>
            <w:vMerge w:val="continue"/>
            <w:vAlign w:val="center"/>
          </w:tcPr>
          <w:p w14:paraId="5D6D1F87">
            <w:pPr>
              <w:pStyle w:val="16"/>
              <w:jc w:val="center"/>
              <w:rPr>
                <w:rFonts w:hint="default" w:hAnsi="宋体" w:cs="宋体"/>
                <w:color w:val="auto"/>
                <w:highlight w:val="none"/>
                <w:lang w:val="en-US" w:eastAsia="zh-CN"/>
              </w:rPr>
            </w:pPr>
          </w:p>
        </w:tc>
        <w:tc>
          <w:tcPr>
            <w:tcW w:w="2648" w:type="dxa"/>
            <w:vAlign w:val="center"/>
          </w:tcPr>
          <w:p w14:paraId="4E5EBA03">
            <w:pPr>
              <w:pStyle w:val="16"/>
              <w:jc w:val="center"/>
              <w:rPr>
                <w:rFonts w:hint="default" w:hAnsi="宋体" w:cs="宋体"/>
                <w:color w:val="auto"/>
                <w:highlight w:val="none"/>
                <w:lang w:val="en-US" w:eastAsia="zh-CN"/>
              </w:rPr>
            </w:pPr>
            <w:r>
              <w:rPr>
                <w:rFonts w:hint="eastAsia" w:hAnsi="宋体" w:cs="宋体"/>
                <w:color w:val="auto"/>
                <w:highlight w:val="none"/>
                <w:lang w:val="en-US" w:eastAsia="zh-CN"/>
              </w:rPr>
              <w:t>磁盘阵列</w:t>
            </w:r>
          </w:p>
        </w:tc>
        <w:tc>
          <w:tcPr>
            <w:tcW w:w="1551" w:type="dxa"/>
            <w:vAlign w:val="center"/>
          </w:tcPr>
          <w:p w14:paraId="604BC4F7">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610" w:type="dxa"/>
            <w:vAlign w:val="center"/>
          </w:tcPr>
          <w:p w14:paraId="7A379D27">
            <w:pPr>
              <w:pStyle w:val="16"/>
              <w:jc w:val="center"/>
              <w:rPr>
                <w:rFonts w:hAnsi="宋体" w:cs="宋体"/>
                <w:color w:val="auto"/>
                <w:highlight w:val="none"/>
              </w:rPr>
            </w:pPr>
          </w:p>
        </w:tc>
      </w:tr>
      <w:tr w14:paraId="01E4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14:paraId="59BB349F">
            <w:pPr>
              <w:pStyle w:val="39"/>
              <w:widowControl/>
              <w:numPr>
                <w:ilvl w:val="0"/>
                <w:numId w:val="0"/>
              </w:numPr>
              <w:spacing w:line="320" w:lineRule="exact"/>
              <w:jc w:val="center"/>
              <w:textAlignment w:val="center"/>
              <w:rPr>
                <w:rFonts w:hint="default" w:ascii="宋体" w:hAnsi="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7</w:t>
            </w:r>
          </w:p>
        </w:tc>
        <w:tc>
          <w:tcPr>
            <w:tcW w:w="735" w:type="dxa"/>
            <w:vMerge w:val="continue"/>
            <w:vAlign w:val="center"/>
          </w:tcPr>
          <w:p w14:paraId="2C3E9746">
            <w:pPr>
              <w:pStyle w:val="16"/>
              <w:jc w:val="center"/>
              <w:rPr>
                <w:rFonts w:hint="default" w:hAnsi="宋体" w:cs="宋体"/>
                <w:color w:val="auto"/>
                <w:highlight w:val="none"/>
                <w:lang w:val="en-US" w:eastAsia="zh-CN"/>
              </w:rPr>
            </w:pPr>
          </w:p>
        </w:tc>
        <w:tc>
          <w:tcPr>
            <w:tcW w:w="2648" w:type="dxa"/>
            <w:vAlign w:val="center"/>
          </w:tcPr>
          <w:p w14:paraId="31213D47">
            <w:pPr>
              <w:pStyle w:val="16"/>
              <w:jc w:val="center"/>
              <w:rPr>
                <w:rFonts w:hint="default" w:hAnsi="宋体" w:cs="宋体"/>
                <w:color w:val="auto"/>
                <w:highlight w:val="none"/>
                <w:lang w:val="en-US" w:eastAsia="zh-CN"/>
              </w:rPr>
            </w:pPr>
            <w:r>
              <w:rPr>
                <w:rFonts w:hint="eastAsia" w:hAnsi="宋体" w:cs="宋体"/>
                <w:color w:val="auto"/>
                <w:highlight w:val="none"/>
                <w:lang w:val="en-US" w:eastAsia="zh-CN"/>
              </w:rPr>
              <w:t>服务器</w:t>
            </w:r>
          </w:p>
        </w:tc>
        <w:tc>
          <w:tcPr>
            <w:tcW w:w="1551" w:type="dxa"/>
            <w:vAlign w:val="center"/>
          </w:tcPr>
          <w:p w14:paraId="5352388C">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610" w:type="dxa"/>
            <w:vAlign w:val="center"/>
          </w:tcPr>
          <w:p w14:paraId="2E667874">
            <w:pPr>
              <w:pStyle w:val="16"/>
              <w:jc w:val="center"/>
              <w:rPr>
                <w:rFonts w:hAnsi="宋体" w:cs="宋体"/>
                <w:color w:val="auto"/>
                <w:highlight w:val="none"/>
              </w:rPr>
            </w:pPr>
          </w:p>
        </w:tc>
      </w:tr>
      <w:tr w14:paraId="4A11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14:paraId="2EFAE3EC">
            <w:pPr>
              <w:pStyle w:val="39"/>
              <w:widowControl/>
              <w:numPr>
                <w:ilvl w:val="0"/>
                <w:numId w:val="0"/>
              </w:numPr>
              <w:spacing w:line="320" w:lineRule="exact"/>
              <w:jc w:val="center"/>
              <w:textAlignment w:val="center"/>
              <w:rPr>
                <w:rFonts w:hint="default" w:ascii="宋体" w:hAnsi="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8</w:t>
            </w:r>
          </w:p>
        </w:tc>
        <w:tc>
          <w:tcPr>
            <w:tcW w:w="735" w:type="dxa"/>
            <w:vMerge w:val="continue"/>
            <w:vAlign w:val="center"/>
          </w:tcPr>
          <w:p w14:paraId="3EFA6A23">
            <w:pPr>
              <w:pStyle w:val="16"/>
              <w:jc w:val="center"/>
              <w:rPr>
                <w:rFonts w:hint="eastAsia" w:hAnsi="宋体" w:cs="宋体"/>
                <w:color w:val="auto"/>
                <w:highlight w:val="none"/>
                <w:lang w:val="en-US" w:eastAsia="zh-CN"/>
              </w:rPr>
            </w:pPr>
          </w:p>
        </w:tc>
        <w:tc>
          <w:tcPr>
            <w:tcW w:w="2648" w:type="dxa"/>
            <w:vAlign w:val="center"/>
          </w:tcPr>
          <w:p w14:paraId="0293915E">
            <w:pPr>
              <w:pStyle w:val="16"/>
              <w:jc w:val="center"/>
              <w:rPr>
                <w:rFonts w:hint="eastAsia" w:hAnsi="宋体" w:cs="宋体"/>
                <w:color w:val="auto"/>
                <w:highlight w:val="none"/>
                <w:lang w:val="en-US" w:eastAsia="zh-CN"/>
              </w:rPr>
            </w:pPr>
            <w:r>
              <w:rPr>
                <w:rFonts w:hint="eastAsia" w:hAnsi="宋体" w:cs="宋体"/>
                <w:color w:val="auto"/>
                <w:highlight w:val="none"/>
                <w:lang w:val="en-US" w:eastAsia="zh-CN"/>
              </w:rPr>
              <w:t>小型机</w:t>
            </w:r>
          </w:p>
        </w:tc>
        <w:tc>
          <w:tcPr>
            <w:tcW w:w="1551" w:type="dxa"/>
            <w:vAlign w:val="center"/>
          </w:tcPr>
          <w:p w14:paraId="701A6F3E">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610" w:type="dxa"/>
            <w:vAlign w:val="center"/>
          </w:tcPr>
          <w:p w14:paraId="30B72722">
            <w:pPr>
              <w:pStyle w:val="16"/>
              <w:jc w:val="center"/>
              <w:rPr>
                <w:rFonts w:hAnsi="宋体" w:cs="宋体"/>
                <w:color w:val="auto"/>
                <w:highlight w:val="none"/>
              </w:rPr>
            </w:pPr>
          </w:p>
        </w:tc>
      </w:tr>
      <w:tr w14:paraId="4851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14:paraId="68CFB091">
            <w:pPr>
              <w:pStyle w:val="39"/>
              <w:widowControl/>
              <w:numPr>
                <w:ilvl w:val="0"/>
                <w:numId w:val="0"/>
              </w:numPr>
              <w:spacing w:line="320" w:lineRule="exact"/>
              <w:jc w:val="center"/>
              <w:textAlignment w:val="center"/>
              <w:rPr>
                <w:rFonts w:hint="default" w:ascii="宋体" w:hAnsi="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9</w:t>
            </w:r>
          </w:p>
        </w:tc>
        <w:tc>
          <w:tcPr>
            <w:tcW w:w="735" w:type="dxa"/>
            <w:vMerge w:val="continue"/>
            <w:vAlign w:val="center"/>
          </w:tcPr>
          <w:p w14:paraId="2D978624">
            <w:pPr>
              <w:pStyle w:val="16"/>
              <w:jc w:val="center"/>
              <w:rPr>
                <w:rFonts w:hint="eastAsia" w:hAnsi="宋体" w:cs="宋体"/>
                <w:color w:val="auto"/>
                <w:highlight w:val="none"/>
                <w:lang w:val="en-US" w:eastAsia="zh-CN"/>
              </w:rPr>
            </w:pPr>
          </w:p>
        </w:tc>
        <w:tc>
          <w:tcPr>
            <w:tcW w:w="2648" w:type="dxa"/>
            <w:vAlign w:val="center"/>
          </w:tcPr>
          <w:p w14:paraId="7007B39A">
            <w:pPr>
              <w:pStyle w:val="16"/>
              <w:jc w:val="center"/>
              <w:rPr>
                <w:rFonts w:hint="eastAsia" w:hAnsi="宋体" w:cs="宋体"/>
                <w:color w:val="auto"/>
                <w:highlight w:val="none"/>
                <w:lang w:val="en-US" w:eastAsia="zh-CN"/>
              </w:rPr>
            </w:pPr>
            <w:r>
              <w:rPr>
                <w:rFonts w:hint="eastAsia" w:hAnsi="宋体" w:cs="宋体"/>
                <w:color w:val="auto"/>
                <w:highlight w:val="none"/>
                <w:lang w:val="en-US" w:eastAsia="zh-CN"/>
              </w:rPr>
              <w:t>光纤交换机</w:t>
            </w:r>
          </w:p>
        </w:tc>
        <w:tc>
          <w:tcPr>
            <w:tcW w:w="1551" w:type="dxa"/>
            <w:vAlign w:val="center"/>
          </w:tcPr>
          <w:p w14:paraId="427CF5C2">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610" w:type="dxa"/>
            <w:vAlign w:val="center"/>
          </w:tcPr>
          <w:p w14:paraId="78CA00ED">
            <w:pPr>
              <w:pStyle w:val="16"/>
              <w:jc w:val="center"/>
              <w:rPr>
                <w:rFonts w:hAnsi="宋体" w:cs="宋体"/>
                <w:color w:val="auto"/>
                <w:highlight w:val="none"/>
              </w:rPr>
            </w:pPr>
          </w:p>
        </w:tc>
      </w:tr>
      <w:tr w14:paraId="227B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14:paraId="3BBF0FEB">
            <w:pPr>
              <w:pStyle w:val="39"/>
              <w:widowControl/>
              <w:numPr>
                <w:ilvl w:val="0"/>
                <w:numId w:val="0"/>
              </w:numPr>
              <w:spacing w:line="320" w:lineRule="exact"/>
              <w:jc w:val="center"/>
              <w:textAlignment w:val="center"/>
              <w:rPr>
                <w:rFonts w:hint="default" w:ascii="宋体" w:hAnsi="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10</w:t>
            </w:r>
          </w:p>
        </w:tc>
        <w:tc>
          <w:tcPr>
            <w:tcW w:w="735" w:type="dxa"/>
            <w:vMerge w:val="continue"/>
            <w:vAlign w:val="center"/>
          </w:tcPr>
          <w:p w14:paraId="7A6F9C9B">
            <w:pPr>
              <w:pStyle w:val="16"/>
              <w:jc w:val="center"/>
              <w:rPr>
                <w:rFonts w:hint="eastAsia" w:hAnsi="宋体" w:cs="宋体"/>
                <w:color w:val="auto"/>
                <w:highlight w:val="none"/>
                <w:lang w:val="en-US" w:eastAsia="zh-CN"/>
              </w:rPr>
            </w:pPr>
          </w:p>
        </w:tc>
        <w:tc>
          <w:tcPr>
            <w:tcW w:w="2648" w:type="dxa"/>
            <w:vAlign w:val="center"/>
          </w:tcPr>
          <w:p w14:paraId="4C1E3280">
            <w:pPr>
              <w:pStyle w:val="16"/>
              <w:jc w:val="center"/>
              <w:rPr>
                <w:rFonts w:hint="eastAsia" w:hAnsi="宋体" w:cs="宋体"/>
                <w:color w:val="auto"/>
                <w:highlight w:val="none"/>
                <w:lang w:val="en-US" w:eastAsia="zh-CN"/>
              </w:rPr>
            </w:pPr>
            <w:r>
              <w:rPr>
                <w:rFonts w:hint="eastAsia" w:hAnsi="宋体" w:cs="宋体"/>
                <w:color w:val="auto"/>
                <w:highlight w:val="none"/>
                <w:lang w:val="en-US" w:eastAsia="zh-CN"/>
              </w:rPr>
              <w:t>负载均衡设备</w:t>
            </w:r>
          </w:p>
        </w:tc>
        <w:tc>
          <w:tcPr>
            <w:tcW w:w="1551" w:type="dxa"/>
            <w:vAlign w:val="center"/>
          </w:tcPr>
          <w:p w14:paraId="48669335">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610" w:type="dxa"/>
            <w:vAlign w:val="center"/>
          </w:tcPr>
          <w:p w14:paraId="772E9445">
            <w:pPr>
              <w:pStyle w:val="16"/>
              <w:jc w:val="center"/>
              <w:rPr>
                <w:rFonts w:hAnsi="宋体" w:cs="宋体"/>
                <w:color w:val="auto"/>
                <w:highlight w:val="none"/>
              </w:rPr>
            </w:pPr>
          </w:p>
        </w:tc>
      </w:tr>
      <w:tr w14:paraId="3A88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714" w:type="dxa"/>
            <w:vAlign w:val="center"/>
          </w:tcPr>
          <w:p w14:paraId="11927AC3">
            <w:pPr>
              <w:pStyle w:val="39"/>
              <w:widowControl/>
              <w:numPr>
                <w:ilvl w:val="0"/>
                <w:numId w:val="0"/>
              </w:numPr>
              <w:spacing w:line="320" w:lineRule="exact"/>
              <w:jc w:val="center"/>
              <w:textAlignment w:val="center"/>
              <w:rPr>
                <w:rFonts w:hint="default" w:ascii="宋体" w:hAnsi="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11</w:t>
            </w:r>
          </w:p>
        </w:tc>
        <w:tc>
          <w:tcPr>
            <w:tcW w:w="735" w:type="dxa"/>
            <w:vMerge w:val="continue"/>
            <w:vAlign w:val="center"/>
          </w:tcPr>
          <w:p w14:paraId="085DD4D5">
            <w:pPr>
              <w:pStyle w:val="16"/>
              <w:jc w:val="center"/>
              <w:rPr>
                <w:rFonts w:hint="eastAsia" w:hAnsi="宋体" w:cs="宋体"/>
                <w:color w:val="auto"/>
                <w:highlight w:val="none"/>
                <w:lang w:val="en-US" w:eastAsia="zh-CN"/>
              </w:rPr>
            </w:pPr>
          </w:p>
        </w:tc>
        <w:tc>
          <w:tcPr>
            <w:tcW w:w="2648" w:type="dxa"/>
            <w:vAlign w:val="center"/>
          </w:tcPr>
          <w:p w14:paraId="6033C21B">
            <w:pPr>
              <w:pStyle w:val="16"/>
              <w:jc w:val="center"/>
              <w:rPr>
                <w:rFonts w:hint="eastAsia" w:hAnsi="宋体" w:cs="宋体"/>
                <w:color w:val="auto"/>
                <w:highlight w:val="none"/>
                <w:lang w:val="en-US" w:eastAsia="zh-CN"/>
              </w:rPr>
            </w:pPr>
            <w:r>
              <w:rPr>
                <w:rFonts w:hint="eastAsia" w:hAnsi="宋体" w:cs="宋体"/>
                <w:color w:val="auto"/>
                <w:highlight w:val="none"/>
                <w:lang w:val="en-US" w:eastAsia="zh-CN"/>
              </w:rPr>
              <w:t>其他辅助附属类设备</w:t>
            </w:r>
          </w:p>
        </w:tc>
        <w:tc>
          <w:tcPr>
            <w:tcW w:w="1551" w:type="dxa"/>
            <w:vAlign w:val="center"/>
          </w:tcPr>
          <w:p w14:paraId="37BAE53F">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610" w:type="dxa"/>
            <w:vAlign w:val="center"/>
          </w:tcPr>
          <w:p w14:paraId="0C6D1F5C">
            <w:pPr>
              <w:pStyle w:val="16"/>
              <w:jc w:val="center"/>
              <w:rPr>
                <w:rFonts w:hAnsi="宋体" w:cs="宋体"/>
                <w:color w:val="auto"/>
                <w:highlight w:val="none"/>
              </w:rPr>
            </w:pPr>
          </w:p>
        </w:tc>
      </w:tr>
      <w:tr w14:paraId="1299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14:paraId="4BD1F46A">
            <w:pPr>
              <w:pStyle w:val="39"/>
              <w:widowControl/>
              <w:numPr>
                <w:ilvl w:val="0"/>
                <w:numId w:val="0"/>
              </w:numPr>
              <w:spacing w:line="320" w:lineRule="exact"/>
              <w:jc w:val="center"/>
              <w:textAlignment w:val="center"/>
              <w:rPr>
                <w:rFonts w:hint="default" w:ascii="宋体" w:hAnsi="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12</w:t>
            </w:r>
          </w:p>
        </w:tc>
        <w:tc>
          <w:tcPr>
            <w:tcW w:w="735" w:type="dxa"/>
            <w:vMerge w:val="restart"/>
            <w:vAlign w:val="center"/>
          </w:tcPr>
          <w:p w14:paraId="65CACC52">
            <w:pPr>
              <w:pStyle w:val="16"/>
              <w:jc w:val="center"/>
              <w:rPr>
                <w:rFonts w:hint="eastAsia" w:hAnsi="宋体" w:cs="宋体"/>
                <w:color w:val="auto"/>
                <w:highlight w:val="none"/>
                <w:lang w:val="en-US" w:eastAsia="zh-CN"/>
              </w:rPr>
            </w:pPr>
            <w:r>
              <w:rPr>
                <w:rFonts w:hint="eastAsia" w:hAnsi="宋体" w:cs="宋体"/>
                <w:color w:val="auto"/>
                <w:highlight w:val="none"/>
                <w:lang w:val="en-US" w:eastAsia="zh-CN"/>
              </w:rPr>
              <w:t>系统软件</w:t>
            </w:r>
          </w:p>
        </w:tc>
        <w:tc>
          <w:tcPr>
            <w:tcW w:w="2648" w:type="dxa"/>
            <w:vAlign w:val="center"/>
          </w:tcPr>
          <w:p w14:paraId="2BBF82DD">
            <w:pPr>
              <w:pStyle w:val="16"/>
              <w:jc w:val="center"/>
              <w:rPr>
                <w:rFonts w:hint="eastAsia" w:hAnsi="宋体" w:cs="宋体"/>
                <w:color w:val="auto"/>
                <w:highlight w:val="none"/>
                <w:lang w:val="en-US" w:eastAsia="zh-CN"/>
              </w:rPr>
            </w:pPr>
            <w:r>
              <w:rPr>
                <w:rFonts w:hint="eastAsia" w:hAnsi="宋体" w:cs="宋体"/>
                <w:color w:val="auto"/>
                <w:highlight w:val="none"/>
                <w:lang w:val="en-US" w:eastAsia="zh-CN"/>
              </w:rPr>
              <w:t>操作系统类</w:t>
            </w:r>
          </w:p>
        </w:tc>
        <w:tc>
          <w:tcPr>
            <w:tcW w:w="1551" w:type="dxa"/>
            <w:vAlign w:val="center"/>
          </w:tcPr>
          <w:p w14:paraId="2DBA2EAE">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610" w:type="dxa"/>
            <w:vAlign w:val="center"/>
          </w:tcPr>
          <w:p w14:paraId="3754ADDC">
            <w:pPr>
              <w:pStyle w:val="16"/>
              <w:jc w:val="center"/>
              <w:rPr>
                <w:rFonts w:hAnsi="宋体" w:cs="宋体"/>
                <w:color w:val="auto"/>
                <w:highlight w:val="none"/>
              </w:rPr>
            </w:pPr>
          </w:p>
        </w:tc>
      </w:tr>
      <w:tr w14:paraId="4332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14" w:type="dxa"/>
            <w:vAlign w:val="center"/>
          </w:tcPr>
          <w:p w14:paraId="24EB8B29">
            <w:pPr>
              <w:pStyle w:val="39"/>
              <w:widowControl/>
              <w:numPr>
                <w:ilvl w:val="0"/>
                <w:numId w:val="0"/>
              </w:numPr>
              <w:spacing w:line="320" w:lineRule="exact"/>
              <w:jc w:val="center"/>
              <w:textAlignment w:val="center"/>
              <w:rPr>
                <w:rFonts w:hint="default" w:ascii="宋体" w:hAnsi="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13</w:t>
            </w:r>
          </w:p>
        </w:tc>
        <w:tc>
          <w:tcPr>
            <w:tcW w:w="735" w:type="dxa"/>
            <w:vMerge w:val="continue"/>
            <w:vAlign w:val="center"/>
          </w:tcPr>
          <w:p w14:paraId="577DCC10">
            <w:pPr>
              <w:pStyle w:val="16"/>
              <w:jc w:val="center"/>
              <w:rPr>
                <w:rFonts w:hint="eastAsia" w:hAnsi="宋体" w:cs="宋体"/>
                <w:color w:val="auto"/>
                <w:highlight w:val="none"/>
                <w:lang w:val="en-US" w:eastAsia="zh-CN"/>
              </w:rPr>
            </w:pPr>
          </w:p>
        </w:tc>
        <w:tc>
          <w:tcPr>
            <w:tcW w:w="2648" w:type="dxa"/>
            <w:vAlign w:val="center"/>
          </w:tcPr>
          <w:p w14:paraId="0ACF5A79">
            <w:pPr>
              <w:pStyle w:val="16"/>
              <w:jc w:val="center"/>
              <w:rPr>
                <w:rFonts w:hint="eastAsia" w:hAnsi="宋体" w:cs="宋体"/>
                <w:color w:val="auto"/>
                <w:highlight w:val="none"/>
                <w:lang w:val="en-US" w:eastAsia="zh-CN"/>
              </w:rPr>
            </w:pPr>
            <w:r>
              <w:rPr>
                <w:rFonts w:hint="eastAsia" w:hAnsi="宋体" w:cs="宋体"/>
                <w:color w:val="auto"/>
                <w:highlight w:val="none"/>
                <w:lang w:val="en-US" w:eastAsia="zh-CN"/>
              </w:rPr>
              <w:t>虚拟化类</w:t>
            </w:r>
          </w:p>
        </w:tc>
        <w:tc>
          <w:tcPr>
            <w:tcW w:w="1551" w:type="dxa"/>
            <w:vAlign w:val="center"/>
          </w:tcPr>
          <w:p w14:paraId="2CA717E6">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610" w:type="dxa"/>
            <w:vAlign w:val="center"/>
          </w:tcPr>
          <w:p w14:paraId="402A097E">
            <w:pPr>
              <w:pStyle w:val="16"/>
              <w:jc w:val="center"/>
              <w:rPr>
                <w:rFonts w:hAnsi="宋体" w:cs="宋体"/>
                <w:color w:val="auto"/>
                <w:highlight w:val="none"/>
              </w:rPr>
            </w:pPr>
          </w:p>
        </w:tc>
      </w:tr>
      <w:tr w14:paraId="149E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714" w:type="dxa"/>
            <w:vAlign w:val="center"/>
          </w:tcPr>
          <w:p w14:paraId="33A60745">
            <w:pPr>
              <w:pStyle w:val="39"/>
              <w:widowControl/>
              <w:numPr>
                <w:ilvl w:val="0"/>
                <w:numId w:val="0"/>
              </w:numPr>
              <w:spacing w:line="320" w:lineRule="exact"/>
              <w:jc w:val="center"/>
              <w:textAlignment w:val="center"/>
              <w:rPr>
                <w:rFonts w:hint="default" w:ascii="宋体" w:hAnsi="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14</w:t>
            </w:r>
          </w:p>
        </w:tc>
        <w:tc>
          <w:tcPr>
            <w:tcW w:w="735" w:type="dxa"/>
            <w:vMerge w:val="continue"/>
            <w:vAlign w:val="center"/>
          </w:tcPr>
          <w:p w14:paraId="68D557B0">
            <w:pPr>
              <w:pStyle w:val="16"/>
              <w:jc w:val="center"/>
              <w:rPr>
                <w:rFonts w:hint="eastAsia" w:hAnsi="宋体" w:cs="宋体"/>
                <w:color w:val="auto"/>
                <w:highlight w:val="none"/>
                <w:lang w:val="en-US" w:eastAsia="zh-CN"/>
              </w:rPr>
            </w:pPr>
          </w:p>
        </w:tc>
        <w:tc>
          <w:tcPr>
            <w:tcW w:w="2648" w:type="dxa"/>
            <w:vAlign w:val="center"/>
          </w:tcPr>
          <w:p w14:paraId="4B8BAC88">
            <w:pPr>
              <w:pStyle w:val="16"/>
              <w:jc w:val="center"/>
              <w:rPr>
                <w:rFonts w:hint="eastAsia" w:hAnsi="宋体" w:cs="宋体"/>
                <w:color w:val="auto"/>
                <w:highlight w:val="none"/>
                <w:lang w:val="en-US" w:eastAsia="zh-CN"/>
              </w:rPr>
            </w:pPr>
            <w:r>
              <w:rPr>
                <w:rFonts w:hint="eastAsia" w:hAnsi="宋体" w:cs="宋体"/>
                <w:color w:val="auto"/>
                <w:highlight w:val="none"/>
                <w:lang w:val="en-US" w:eastAsia="zh-CN"/>
              </w:rPr>
              <w:t>备份类</w:t>
            </w:r>
          </w:p>
        </w:tc>
        <w:tc>
          <w:tcPr>
            <w:tcW w:w="1551" w:type="dxa"/>
            <w:vAlign w:val="center"/>
          </w:tcPr>
          <w:p w14:paraId="57707B6E">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610" w:type="dxa"/>
            <w:vAlign w:val="center"/>
          </w:tcPr>
          <w:p w14:paraId="2EF859EA">
            <w:pPr>
              <w:pStyle w:val="16"/>
              <w:jc w:val="center"/>
              <w:rPr>
                <w:rFonts w:hAnsi="宋体" w:cs="宋体"/>
                <w:color w:val="auto"/>
                <w:highlight w:val="none"/>
              </w:rPr>
            </w:pPr>
          </w:p>
        </w:tc>
      </w:tr>
      <w:tr w14:paraId="0242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14" w:type="dxa"/>
            <w:vAlign w:val="center"/>
          </w:tcPr>
          <w:p w14:paraId="4C1638E9">
            <w:pPr>
              <w:pStyle w:val="39"/>
              <w:widowControl/>
              <w:numPr>
                <w:ilvl w:val="0"/>
                <w:numId w:val="0"/>
              </w:numPr>
              <w:spacing w:line="320" w:lineRule="exact"/>
              <w:jc w:val="center"/>
              <w:textAlignment w:val="center"/>
              <w:rPr>
                <w:rFonts w:hint="default" w:ascii="宋体" w:hAnsi="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15</w:t>
            </w:r>
          </w:p>
        </w:tc>
        <w:tc>
          <w:tcPr>
            <w:tcW w:w="735" w:type="dxa"/>
            <w:vMerge w:val="continue"/>
            <w:vAlign w:val="center"/>
          </w:tcPr>
          <w:p w14:paraId="0ADB6218">
            <w:pPr>
              <w:pStyle w:val="16"/>
              <w:jc w:val="center"/>
              <w:rPr>
                <w:rFonts w:hint="eastAsia" w:hAnsi="宋体" w:cs="宋体"/>
                <w:color w:val="auto"/>
                <w:highlight w:val="none"/>
                <w:lang w:val="en-US" w:eastAsia="zh-CN"/>
              </w:rPr>
            </w:pPr>
          </w:p>
        </w:tc>
        <w:tc>
          <w:tcPr>
            <w:tcW w:w="2648" w:type="dxa"/>
            <w:vAlign w:val="center"/>
          </w:tcPr>
          <w:p w14:paraId="7F61F89C">
            <w:pPr>
              <w:pStyle w:val="16"/>
              <w:jc w:val="center"/>
              <w:rPr>
                <w:rFonts w:hint="eastAsia" w:hAnsi="宋体" w:cs="宋体"/>
                <w:color w:val="auto"/>
                <w:highlight w:val="none"/>
                <w:lang w:val="en-US" w:eastAsia="zh-CN"/>
              </w:rPr>
            </w:pPr>
            <w:r>
              <w:rPr>
                <w:rFonts w:hint="eastAsia" w:hAnsi="宋体" w:cs="宋体"/>
                <w:color w:val="auto"/>
                <w:highlight w:val="none"/>
                <w:lang w:val="en-US" w:eastAsia="zh-CN"/>
              </w:rPr>
              <w:t>监控类</w:t>
            </w:r>
          </w:p>
        </w:tc>
        <w:tc>
          <w:tcPr>
            <w:tcW w:w="1551" w:type="dxa"/>
            <w:vAlign w:val="center"/>
          </w:tcPr>
          <w:p w14:paraId="0C4A4321">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610" w:type="dxa"/>
            <w:vAlign w:val="center"/>
          </w:tcPr>
          <w:p w14:paraId="4DB58398">
            <w:pPr>
              <w:pStyle w:val="16"/>
              <w:jc w:val="center"/>
              <w:rPr>
                <w:rFonts w:hAnsi="宋体" w:cs="宋体"/>
                <w:color w:val="auto"/>
                <w:highlight w:val="none"/>
              </w:rPr>
            </w:pPr>
          </w:p>
        </w:tc>
      </w:tr>
      <w:tr w14:paraId="59F8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4" w:type="dxa"/>
            <w:vAlign w:val="center"/>
          </w:tcPr>
          <w:p w14:paraId="3569878E">
            <w:pPr>
              <w:pStyle w:val="39"/>
              <w:widowControl/>
              <w:numPr>
                <w:ilvl w:val="0"/>
                <w:numId w:val="0"/>
              </w:numPr>
              <w:spacing w:line="320" w:lineRule="exact"/>
              <w:jc w:val="center"/>
              <w:textAlignment w:val="center"/>
              <w:rPr>
                <w:rFonts w:hint="default" w:ascii="宋体" w:hAnsi="宋体" w:cstheme="minorEastAsia"/>
                <w:color w:val="auto"/>
                <w:kern w:val="2"/>
                <w:sz w:val="21"/>
                <w:szCs w:val="21"/>
                <w:highlight w:val="none"/>
                <w:lang w:val="en-US" w:eastAsia="zh-CN" w:bidi="ar-SA"/>
              </w:rPr>
            </w:pPr>
            <w:r>
              <w:rPr>
                <w:rFonts w:hint="eastAsia" w:ascii="宋体" w:hAnsi="宋体" w:cstheme="minorEastAsia"/>
                <w:color w:val="auto"/>
                <w:kern w:val="2"/>
                <w:sz w:val="21"/>
                <w:szCs w:val="21"/>
                <w:highlight w:val="none"/>
                <w:lang w:val="en-US" w:eastAsia="zh-CN" w:bidi="ar-SA"/>
              </w:rPr>
              <w:t>16</w:t>
            </w:r>
          </w:p>
        </w:tc>
        <w:tc>
          <w:tcPr>
            <w:tcW w:w="735" w:type="dxa"/>
            <w:vMerge w:val="continue"/>
            <w:vAlign w:val="center"/>
          </w:tcPr>
          <w:p w14:paraId="76DB8FD3">
            <w:pPr>
              <w:pStyle w:val="16"/>
              <w:jc w:val="center"/>
              <w:rPr>
                <w:rFonts w:hint="eastAsia" w:hAnsi="宋体" w:cs="宋体"/>
                <w:color w:val="auto"/>
                <w:highlight w:val="none"/>
                <w:lang w:val="en-US" w:eastAsia="zh-CN"/>
              </w:rPr>
            </w:pPr>
          </w:p>
        </w:tc>
        <w:tc>
          <w:tcPr>
            <w:tcW w:w="2648" w:type="dxa"/>
            <w:vAlign w:val="center"/>
          </w:tcPr>
          <w:p w14:paraId="262D008A">
            <w:pPr>
              <w:pStyle w:val="16"/>
              <w:jc w:val="center"/>
              <w:rPr>
                <w:rFonts w:hint="eastAsia" w:hAnsi="宋体" w:cs="宋体"/>
                <w:color w:val="auto"/>
                <w:highlight w:val="none"/>
                <w:lang w:val="en-US" w:eastAsia="zh-CN"/>
              </w:rPr>
            </w:pPr>
            <w:r>
              <w:rPr>
                <w:rFonts w:hint="eastAsia" w:hAnsi="宋体" w:cs="宋体"/>
                <w:color w:val="auto"/>
                <w:highlight w:val="none"/>
                <w:lang w:val="en-US" w:eastAsia="zh-CN"/>
              </w:rPr>
              <w:t>其他（爱数文档云、海颐特权帐户管理系统等以上未列明，但属于运维工作职责内的或服务期内新上线的系统软件）</w:t>
            </w:r>
          </w:p>
        </w:tc>
        <w:tc>
          <w:tcPr>
            <w:tcW w:w="1551" w:type="dxa"/>
            <w:vAlign w:val="center"/>
          </w:tcPr>
          <w:p w14:paraId="70F3F163">
            <w:pPr>
              <w:pStyle w:val="8"/>
              <w:keepNext/>
              <w:keepLines/>
              <w:pageBreakBefore w:val="0"/>
              <w:widowControl w:val="0"/>
              <w:kinsoku/>
              <w:wordWrap/>
              <w:overflowPunct/>
              <w:topLinePunct w:val="0"/>
              <w:autoSpaceDE/>
              <w:autoSpaceDN/>
              <w:bidi w:val="0"/>
              <w:adjustRightInd/>
              <w:snapToGrid/>
              <w:spacing w:before="0" w:after="0" w:line="360" w:lineRule="exact"/>
              <w:ind w:left="0" w:leftChars="0" w:firstLine="0" w:firstLineChars="0"/>
              <w:textAlignment w:val="auto"/>
              <w:rPr>
                <w:rFonts w:hint="eastAsia" w:ascii="宋体" w:hAnsi="宋体" w:eastAsia="宋体" w:cs="宋体"/>
                <w:bCs w:val="0"/>
                <w:color w:val="auto"/>
                <w:kern w:val="2"/>
                <w:sz w:val="21"/>
                <w:szCs w:val="21"/>
                <w:highlight w:val="none"/>
                <w:lang w:val="en-US" w:eastAsia="zh-CN" w:bidi="ar-SA"/>
              </w:rPr>
            </w:pPr>
          </w:p>
        </w:tc>
        <w:tc>
          <w:tcPr>
            <w:tcW w:w="2610" w:type="dxa"/>
            <w:vAlign w:val="center"/>
          </w:tcPr>
          <w:p w14:paraId="556F83CB">
            <w:pPr>
              <w:pStyle w:val="16"/>
              <w:jc w:val="center"/>
              <w:rPr>
                <w:rFonts w:hAnsi="宋体" w:cs="宋体"/>
                <w:color w:val="auto"/>
                <w:highlight w:val="none"/>
              </w:rPr>
            </w:pPr>
          </w:p>
        </w:tc>
      </w:tr>
      <w:tr w14:paraId="0405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4097" w:type="dxa"/>
            <w:gridSpan w:val="3"/>
            <w:vAlign w:val="center"/>
          </w:tcPr>
          <w:p w14:paraId="34B294C4">
            <w:pPr>
              <w:widowControl/>
              <w:spacing w:line="320" w:lineRule="exact"/>
              <w:jc w:val="center"/>
              <w:textAlignment w:val="center"/>
              <w:rPr>
                <w:rFonts w:hint="default" w:hAnsi="宋体" w:cs="宋体"/>
                <w:color w:val="auto"/>
                <w:highlight w:val="none"/>
                <w:lang w:val="en-US" w:eastAsia="zh-CN"/>
              </w:rPr>
            </w:pPr>
            <w:r>
              <w:rPr>
                <w:rFonts w:hint="eastAsia" w:hAnsi="宋体" w:cs="宋体"/>
                <w:color w:val="auto"/>
                <w:highlight w:val="none"/>
                <w:lang w:val="en-US" w:eastAsia="zh-CN"/>
              </w:rPr>
              <w:t>总计</w:t>
            </w:r>
          </w:p>
        </w:tc>
        <w:tc>
          <w:tcPr>
            <w:tcW w:w="4161" w:type="dxa"/>
            <w:gridSpan w:val="2"/>
            <w:vAlign w:val="center"/>
          </w:tcPr>
          <w:p w14:paraId="4E923574">
            <w:pPr>
              <w:pStyle w:val="16"/>
              <w:jc w:val="left"/>
              <w:rPr>
                <w:rFonts w:hint="eastAsia" w:hAnsi="宋体" w:cs="宋体"/>
                <w:color w:val="auto"/>
                <w:highlight w:val="none"/>
                <w:u w:val="none"/>
                <w:lang w:val="en-US" w:eastAsia="zh-CN"/>
              </w:rPr>
            </w:pPr>
            <w:r>
              <w:rPr>
                <w:rFonts w:hint="eastAsia" w:hAnsi="宋体" w:cs="宋体"/>
                <w:color w:val="auto"/>
                <w:highlight w:val="none"/>
                <w:lang w:val="en-US" w:eastAsia="zh-CN"/>
              </w:rPr>
              <w:t>大写：人民币</w:t>
            </w:r>
            <w:r>
              <w:rPr>
                <w:rFonts w:hint="eastAsia" w:hAnsi="宋体" w:cs="宋体"/>
                <w:color w:val="auto"/>
                <w:highlight w:val="none"/>
                <w:u w:val="single"/>
                <w:lang w:val="en-US" w:eastAsia="zh-CN"/>
              </w:rPr>
              <w:t xml:space="preserve">              </w:t>
            </w:r>
            <w:r>
              <w:rPr>
                <w:rFonts w:hint="eastAsia" w:hAnsi="宋体" w:cs="宋体"/>
                <w:color w:val="auto"/>
                <w:highlight w:val="none"/>
                <w:u w:val="none"/>
                <w:lang w:val="en-US" w:eastAsia="zh-CN"/>
              </w:rPr>
              <w:t>元</w:t>
            </w:r>
          </w:p>
          <w:p w14:paraId="62F1FCDB">
            <w:pPr>
              <w:pStyle w:val="16"/>
              <w:jc w:val="left"/>
              <w:rPr>
                <w:rFonts w:hint="default" w:hAnsi="宋体" w:cs="宋体"/>
                <w:color w:val="auto"/>
                <w:highlight w:val="none"/>
                <w:u w:val="none"/>
                <w:lang w:val="en-US" w:eastAsia="zh-CN"/>
              </w:rPr>
            </w:pPr>
            <w:r>
              <w:rPr>
                <w:rFonts w:hint="eastAsia" w:hAnsi="宋体" w:cs="宋体"/>
                <w:color w:val="auto"/>
                <w:highlight w:val="none"/>
                <w:u w:val="none"/>
                <w:lang w:val="en-US" w:eastAsia="zh-CN"/>
              </w:rPr>
              <w:t xml:space="preserve">小写：¥ </w:t>
            </w:r>
            <w:r>
              <w:rPr>
                <w:rFonts w:hint="eastAsia" w:hAnsi="宋体" w:cs="宋体"/>
                <w:color w:val="auto"/>
                <w:highlight w:val="none"/>
                <w:u w:val="single"/>
                <w:lang w:val="en-US" w:eastAsia="zh-CN"/>
              </w:rPr>
              <w:t xml:space="preserve">                 </w:t>
            </w:r>
          </w:p>
        </w:tc>
      </w:tr>
    </w:tbl>
    <w:p w14:paraId="1A5B74C1">
      <w:pPr>
        <w:topLinePunct/>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特别说明：</w:t>
      </w:r>
    </w:p>
    <w:p w14:paraId="67B561B3">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1.本项目总价及分项报价均不接受任何形式的赠送、“零”报价和折扣报价。</w:t>
      </w:r>
    </w:p>
    <w:p w14:paraId="3E99BDF4">
      <w:pPr>
        <w:topLinePunct/>
        <w:autoSpaceDE w:val="0"/>
        <w:autoSpaceDN w:val="0"/>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2.投标人按照以上费用内容，填列分项报价。</w:t>
      </w:r>
    </w:p>
    <w:p w14:paraId="3323FB54">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.如报价不一致，按照投标人须知“19.核价原则”进行修正。</w:t>
      </w:r>
    </w:p>
    <w:p w14:paraId="7A30E11C">
      <w:pPr>
        <w:topLinePunct/>
        <w:autoSpaceDE w:val="0"/>
        <w:autoSpaceDN w:val="0"/>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.分项价格表1和表2的总价金额应当一致</w:t>
      </w:r>
      <w:r>
        <w:rPr>
          <w:rFonts w:hint="eastAsia" w:ascii="宋体" w:hAnsi="宋体" w:cs="宋体"/>
          <w:color w:val="auto"/>
          <w:szCs w:val="21"/>
          <w:highlight w:val="none"/>
          <w:lang w:val="en-US" w:eastAsia="zh-CN"/>
        </w:rPr>
        <w:t>。不一致的以表2金额修改表1金额。</w:t>
      </w:r>
    </w:p>
    <w:p w14:paraId="610A6ACF">
      <w:pPr>
        <w:pStyle w:val="16"/>
        <w:ind w:firstLine="420" w:firstLineChars="200"/>
        <w:rPr>
          <w:rFonts w:hAnsi="宋体" w:cs="宋体"/>
          <w:highlight w:val="none"/>
        </w:rPr>
      </w:pPr>
    </w:p>
    <w:p w14:paraId="133744D8">
      <w:pPr>
        <w:tabs>
          <w:tab w:val="left" w:pos="123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w:t>
      </w:r>
      <w:r>
        <w:rPr>
          <w:rFonts w:hint="eastAsia" w:ascii="宋体" w:hAnsi="宋体" w:cs="宋体"/>
          <w:kern w:val="0"/>
          <w:szCs w:val="21"/>
          <w:highlight w:val="none"/>
        </w:rPr>
        <w:t>（全称并加盖公章</w:t>
      </w:r>
      <w:r>
        <w:rPr>
          <w:rFonts w:hint="eastAsia" w:ascii="宋体" w:hAnsi="宋体" w:cs="宋体"/>
          <w:szCs w:val="21"/>
          <w:highlight w:val="none"/>
        </w:rPr>
        <w:t>）：</w:t>
      </w:r>
      <w:r>
        <w:rPr>
          <w:rFonts w:hint="eastAsia" w:ascii="宋体" w:hAnsi="宋体" w:cs="宋体"/>
          <w:highlight w:val="none"/>
        </w:rPr>
        <w:t>____________</w:t>
      </w:r>
    </w:p>
    <w:p w14:paraId="3A1596D8">
      <w:pPr>
        <w:tabs>
          <w:tab w:val="left" w:pos="123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kern w:val="0"/>
          <w:szCs w:val="21"/>
          <w:highlight w:val="none"/>
        </w:rPr>
        <w:t>投标人代表（签字或盖章）</w:t>
      </w:r>
      <w:r>
        <w:rPr>
          <w:rFonts w:hint="eastAsia" w:ascii="宋体" w:hAnsi="宋体" w:cs="宋体"/>
          <w:szCs w:val="21"/>
          <w:highlight w:val="none"/>
        </w:rPr>
        <w:t>：</w:t>
      </w:r>
      <w:r>
        <w:rPr>
          <w:rFonts w:hint="eastAsia" w:ascii="宋体" w:hAnsi="宋体" w:cs="宋体"/>
          <w:highlight w:val="none"/>
        </w:rPr>
        <w:t>____________</w:t>
      </w:r>
    </w:p>
    <w:p w14:paraId="25DC6AA4">
      <w:pPr>
        <w:tabs>
          <w:tab w:val="left" w:pos="1230"/>
        </w:tabs>
        <w:topLinePunct/>
        <w:autoSpaceDE w:val="0"/>
        <w:autoSpaceDN w:val="0"/>
        <w:adjustRightInd w:val="0"/>
        <w:snapToGrid w:val="0"/>
        <w:spacing w:line="360" w:lineRule="auto"/>
        <w:ind w:firstLine="420" w:firstLineChars="200"/>
        <w:rPr>
          <w:rFonts w:hint="eastAsia" w:ascii="宋体" w:hAnsi="宋体" w:cs="宋体"/>
          <w:highlight w:val="none"/>
        </w:rPr>
      </w:pPr>
      <w:r>
        <w:rPr>
          <w:rFonts w:hint="eastAsia" w:ascii="宋体" w:hAnsi="宋体" w:cs="宋体"/>
          <w:szCs w:val="21"/>
          <w:highlight w:val="none"/>
        </w:rPr>
        <w:t>日期：</w:t>
      </w:r>
      <w:r>
        <w:rPr>
          <w:rFonts w:hint="eastAsia" w:ascii="宋体" w:hAnsi="宋体" w:cs="宋体"/>
          <w:highlight w:val="none"/>
        </w:rPr>
        <w:t>____________</w:t>
      </w:r>
    </w:p>
    <w:p w14:paraId="012918D8">
      <w:pPr>
        <w:rPr>
          <w:rFonts w:hint="eastAsia" w:ascii="宋体" w:hAnsi="宋体" w:cs="宋体"/>
          <w:highlight w:val="none"/>
        </w:rPr>
      </w:pPr>
      <w:r>
        <w:rPr>
          <w:rFonts w:hint="eastAsia" w:ascii="宋体" w:hAnsi="宋体" w:cs="宋体"/>
          <w:highlight w:val="none"/>
        </w:rPr>
        <w:br w:type="page"/>
      </w:r>
    </w:p>
    <w:p w14:paraId="754BAB1D">
      <w:pPr>
        <w:adjustRightInd w:val="0"/>
        <w:snapToGrid w:val="0"/>
        <w:spacing w:line="360" w:lineRule="auto"/>
        <w:jc w:val="center"/>
        <w:rPr>
          <w:rFonts w:hint="eastAsia" w:ascii="宋体" w:hAnsi="宋体" w:cs="宋体"/>
          <w:b/>
          <w:bCs/>
          <w:sz w:val="28"/>
          <w:szCs w:val="28"/>
          <w:highlight w:val="none"/>
        </w:rPr>
      </w:pPr>
      <w:r>
        <w:rPr>
          <w:rFonts w:hint="eastAsia" w:ascii="宋体" w:hAnsi="宋体" w:cs="宋体"/>
          <w:b/>
          <w:bCs/>
          <w:sz w:val="28"/>
          <w:szCs w:val="28"/>
          <w:highlight w:val="none"/>
        </w:rPr>
        <w:t>四、商务条款偏离表</w:t>
      </w:r>
    </w:p>
    <w:tbl>
      <w:tblPr>
        <w:tblStyle w:val="24"/>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954"/>
        <w:gridCol w:w="1678"/>
        <w:gridCol w:w="1663"/>
        <w:gridCol w:w="1647"/>
        <w:gridCol w:w="1397"/>
      </w:tblGrid>
      <w:tr w14:paraId="34B3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6EF3E08B">
            <w:pPr>
              <w:topLinePunct/>
              <w:autoSpaceDE w:val="0"/>
              <w:autoSpaceDN w:val="0"/>
              <w:spacing w:after="120"/>
              <w:jc w:val="center"/>
              <w:rPr>
                <w:rFonts w:ascii="宋体" w:hAnsi="宋体" w:cs="宋体"/>
                <w:b/>
                <w:szCs w:val="21"/>
                <w:highlight w:val="none"/>
              </w:rPr>
            </w:pPr>
            <w:r>
              <w:rPr>
                <w:rFonts w:hint="eastAsia" w:ascii="宋体" w:hAnsi="宋体" w:cs="宋体"/>
                <w:b/>
                <w:szCs w:val="21"/>
                <w:highlight w:val="none"/>
              </w:rPr>
              <w:t>序号</w:t>
            </w:r>
          </w:p>
        </w:tc>
        <w:tc>
          <w:tcPr>
            <w:tcW w:w="1954" w:type="dxa"/>
            <w:tcBorders>
              <w:top w:val="single" w:color="auto" w:sz="4" w:space="0"/>
              <w:left w:val="single" w:color="auto" w:sz="4" w:space="0"/>
              <w:bottom w:val="single" w:color="auto" w:sz="4" w:space="0"/>
              <w:right w:val="single" w:color="auto" w:sz="4" w:space="0"/>
            </w:tcBorders>
            <w:vAlign w:val="center"/>
          </w:tcPr>
          <w:p w14:paraId="1F158A3B">
            <w:pPr>
              <w:topLinePunct/>
              <w:autoSpaceDE w:val="0"/>
              <w:autoSpaceDN w:val="0"/>
              <w:spacing w:after="120"/>
              <w:jc w:val="center"/>
              <w:rPr>
                <w:rFonts w:ascii="宋体" w:hAnsi="宋体" w:cs="宋体"/>
                <w:b/>
                <w:szCs w:val="21"/>
                <w:highlight w:val="none"/>
              </w:rPr>
            </w:pPr>
            <w:r>
              <w:rPr>
                <w:rFonts w:hint="eastAsia" w:ascii="宋体" w:hAnsi="宋体" w:cs="宋体"/>
                <w:b/>
                <w:szCs w:val="21"/>
                <w:highlight w:val="none"/>
              </w:rPr>
              <w:t>招标文件条目号</w:t>
            </w:r>
          </w:p>
        </w:tc>
        <w:tc>
          <w:tcPr>
            <w:tcW w:w="1678" w:type="dxa"/>
            <w:tcBorders>
              <w:top w:val="single" w:color="auto" w:sz="4" w:space="0"/>
              <w:left w:val="single" w:color="auto" w:sz="4" w:space="0"/>
              <w:bottom w:val="single" w:color="auto" w:sz="4" w:space="0"/>
              <w:right w:val="single" w:color="auto" w:sz="4" w:space="0"/>
            </w:tcBorders>
            <w:vAlign w:val="center"/>
          </w:tcPr>
          <w:p w14:paraId="5F44D12B">
            <w:pPr>
              <w:topLinePunct/>
              <w:autoSpaceDE w:val="0"/>
              <w:autoSpaceDN w:val="0"/>
              <w:spacing w:after="120"/>
              <w:jc w:val="center"/>
              <w:rPr>
                <w:rFonts w:ascii="宋体" w:hAnsi="宋体" w:cs="宋体"/>
                <w:b/>
                <w:szCs w:val="21"/>
                <w:highlight w:val="none"/>
              </w:rPr>
            </w:pPr>
            <w:r>
              <w:rPr>
                <w:rFonts w:hint="eastAsia" w:ascii="宋体" w:hAnsi="宋体" w:cs="宋体"/>
                <w:b/>
                <w:szCs w:val="21"/>
                <w:highlight w:val="none"/>
              </w:rPr>
              <w:t>招标文件</w:t>
            </w:r>
          </w:p>
          <w:p w14:paraId="1127B626">
            <w:pPr>
              <w:topLinePunct/>
              <w:autoSpaceDE w:val="0"/>
              <w:autoSpaceDN w:val="0"/>
              <w:spacing w:after="120"/>
              <w:jc w:val="center"/>
              <w:rPr>
                <w:rFonts w:ascii="宋体" w:hAnsi="宋体" w:cs="宋体"/>
                <w:b/>
                <w:szCs w:val="21"/>
                <w:highlight w:val="none"/>
              </w:rPr>
            </w:pPr>
            <w:r>
              <w:rPr>
                <w:rFonts w:hint="eastAsia" w:ascii="宋体" w:hAnsi="宋体" w:cs="宋体"/>
                <w:b/>
                <w:szCs w:val="21"/>
                <w:highlight w:val="none"/>
              </w:rPr>
              <w:t>商务条款</w:t>
            </w:r>
          </w:p>
        </w:tc>
        <w:tc>
          <w:tcPr>
            <w:tcW w:w="1663" w:type="dxa"/>
            <w:tcBorders>
              <w:top w:val="single" w:color="auto" w:sz="4" w:space="0"/>
              <w:left w:val="single" w:color="auto" w:sz="4" w:space="0"/>
              <w:bottom w:val="single" w:color="auto" w:sz="4" w:space="0"/>
              <w:right w:val="single" w:color="auto" w:sz="4" w:space="0"/>
            </w:tcBorders>
            <w:vAlign w:val="center"/>
          </w:tcPr>
          <w:p w14:paraId="338F23C6">
            <w:pPr>
              <w:topLinePunct/>
              <w:autoSpaceDE w:val="0"/>
              <w:autoSpaceDN w:val="0"/>
              <w:spacing w:after="120"/>
              <w:jc w:val="center"/>
              <w:rPr>
                <w:rFonts w:ascii="宋体" w:hAnsi="宋体" w:cs="宋体"/>
                <w:b/>
                <w:szCs w:val="21"/>
                <w:highlight w:val="none"/>
              </w:rPr>
            </w:pPr>
            <w:r>
              <w:rPr>
                <w:rFonts w:hint="eastAsia" w:ascii="宋体" w:hAnsi="宋体" w:cs="宋体"/>
                <w:b/>
                <w:szCs w:val="21"/>
                <w:highlight w:val="none"/>
              </w:rPr>
              <w:t>投标文件</w:t>
            </w:r>
          </w:p>
          <w:p w14:paraId="5C3F0A44">
            <w:pPr>
              <w:topLinePunct/>
              <w:autoSpaceDE w:val="0"/>
              <w:autoSpaceDN w:val="0"/>
              <w:spacing w:after="120"/>
              <w:jc w:val="center"/>
              <w:rPr>
                <w:rFonts w:ascii="宋体" w:hAnsi="宋体" w:cs="宋体"/>
                <w:b/>
                <w:szCs w:val="21"/>
                <w:highlight w:val="none"/>
              </w:rPr>
            </w:pPr>
            <w:r>
              <w:rPr>
                <w:rFonts w:hint="eastAsia" w:ascii="宋体" w:hAnsi="宋体" w:cs="宋体"/>
                <w:b/>
                <w:szCs w:val="21"/>
                <w:highlight w:val="none"/>
              </w:rPr>
              <w:t>商务条款</w:t>
            </w:r>
          </w:p>
        </w:tc>
        <w:tc>
          <w:tcPr>
            <w:tcW w:w="1647" w:type="dxa"/>
            <w:tcBorders>
              <w:top w:val="single" w:color="auto" w:sz="4" w:space="0"/>
              <w:left w:val="single" w:color="auto" w:sz="4" w:space="0"/>
              <w:bottom w:val="single" w:color="auto" w:sz="4" w:space="0"/>
              <w:right w:val="single" w:color="auto" w:sz="4" w:space="0"/>
            </w:tcBorders>
            <w:vAlign w:val="center"/>
          </w:tcPr>
          <w:p w14:paraId="094B91AD">
            <w:pPr>
              <w:topLinePunct/>
              <w:autoSpaceDE w:val="0"/>
              <w:autoSpaceDN w:val="0"/>
              <w:spacing w:after="120"/>
              <w:jc w:val="center"/>
              <w:rPr>
                <w:rFonts w:ascii="宋体" w:hAnsi="宋体" w:cs="宋体"/>
                <w:b/>
                <w:szCs w:val="21"/>
                <w:highlight w:val="none"/>
              </w:rPr>
            </w:pPr>
            <w:r>
              <w:rPr>
                <w:rFonts w:hint="eastAsia" w:ascii="宋体" w:hAnsi="宋体" w:cs="宋体"/>
                <w:b/>
                <w:szCs w:val="21"/>
                <w:highlight w:val="none"/>
              </w:rPr>
              <w:t>偏离</w:t>
            </w:r>
          </w:p>
          <w:p w14:paraId="348D707B">
            <w:pPr>
              <w:topLinePunct/>
              <w:autoSpaceDE w:val="0"/>
              <w:autoSpaceDN w:val="0"/>
              <w:spacing w:after="120"/>
              <w:jc w:val="center"/>
              <w:rPr>
                <w:rFonts w:ascii="宋体" w:hAnsi="宋体" w:cs="宋体"/>
                <w:b/>
                <w:szCs w:val="21"/>
                <w:highlight w:val="none"/>
              </w:rPr>
            </w:pPr>
            <w:r>
              <w:rPr>
                <w:rFonts w:hint="eastAsia" w:ascii="宋体" w:hAnsi="宋体" w:cs="宋体"/>
                <w:b/>
                <w:szCs w:val="21"/>
                <w:highlight w:val="none"/>
              </w:rPr>
              <w:t>（无/正/负）</w:t>
            </w:r>
          </w:p>
        </w:tc>
        <w:tc>
          <w:tcPr>
            <w:tcW w:w="1397" w:type="dxa"/>
            <w:tcBorders>
              <w:top w:val="single" w:color="auto" w:sz="4" w:space="0"/>
              <w:left w:val="single" w:color="auto" w:sz="4" w:space="0"/>
              <w:bottom w:val="single" w:color="auto" w:sz="4" w:space="0"/>
              <w:right w:val="single" w:color="auto" w:sz="4" w:space="0"/>
            </w:tcBorders>
            <w:vAlign w:val="center"/>
          </w:tcPr>
          <w:p w14:paraId="6A630F56">
            <w:pPr>
              <w:topLinePunct/>
              <w:autoSpaceDE w:val="0"/>
              <w:autoSpaceDN w:val="0"/>
              <w:spacing w:after="120"/>
              <w:jc w:val="center"/>
              <w:rPr>
                <w:rFonts w:ascii="宋体" w:hAnsi="宋体" w:cs="宋体"/>
                <w:b/>
                <w:szCs w:val="21"/>
                <w:highlight w:val="none"/>
              </w:rPr>
            </w:pPr>
            <w:r>
              <w:rPr>
                <w:rFonts w:hint="eastAsia" w:ascii="宋体" w:hAnsi="宋体" w:cs="宋体"/>
                <w:b/>
                <w:szCs w:val="21"/>
                <w:highlight w:val="none"/>
              </w:rPr>
              <w:t>说明</w:t>
            </w:r>
          </w:p>
        </w:tc>
      </w:tr>
      <w:tr w14:paraId="21F8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753C89A1">
            <w:pPr>
              <w:topLinePunct/>
              <w:autoSpaceDE w:val="0"/>
              <w:autoSpaceDN w:val="0"/>
              <w:spacing w:after="120"/>
              <w:jc w:val="center"/>
              <w:rPr>
                <w:rFonts w:ascii="宋体" w:hAnsi="宋体" w:cs="宋体"/>
                <w:szCs w:val="21"/>
                <w:highlight w:val="none"/>
              </w:rPr>
            </w:pPr>
            <w:r>
              <w:rPr>
                <w:rFonts w:hint="eastAsia" w:ascii="宋体" w:hAnsi="宋体" w:cs="宋体"/>
                <w:szCs w:val="21"/>
                <w:highlight w:val="none"/>
              </w:rPr>
              <w:t>1</w:t>
            </w:r>
          </w:p>
        </w:tc>
        <w:tc>
          <w:tcPr>
            <w:tcW w:w="1954" w:type="dxa"/>
            <w:tcBorders>
              <w:top w:val="single" w:color="auto" w:sz="4" w:space="0"/>
              <w:left w:val="single" w:color="auto" w:sz="4" w:space="0"/>
              <w:bottom w:val="single" w:color="auto" w:sz="4" w:space="0"/>
              <w:right w:val="single" w:color="auto" w:sz="4" w:space="0"/>
            </w:tcBorders>
          </w:tcPr>
          <w:p w14:paraId="5F798327">
            <w:pPr>
              <w:topLinePunct/>
              <w:autoSpaceDE w:val="0"/>
              <w:autoSpaceDN w:val="0"/>
              <w:spacing w:after="120"/>
              <w:ind w:firstLine="422"/>
              <w:jc w:val="center"/>
              <w:rPr>
                <w:rFonts w:ascii="宋体" w:hAnsi="宋体" w:cs="宋体"/>
                <w:b/>
                <w:bCs/>
                <w:szCs w:val="21"/>
                <w:highlight w:val="none"/>
              </w:rPr>
            </w:pPr>
          </w:p>
        </w:tc>
        <w:tc>
          <w:tcPr>
            <w:tcW w:w="1678" w:type="dxa"/>
            <w:tcBorders>
              <w:top w:val="single" w:color="auto" w:sz="4" w:space="0"/>
              <w:left w:val="single" w:color="auto" w:sz="4" w:space="0"/>
              <w:bottom w:val="single" w:color="auto" w:sz="4" w:space="0"/>
              <w:right w:val="single" w:color="auto" w:sz="4" w:space="0"/>
            </w:tcBorders>
          </w:tcPr>
          <w:p w14:paraId="5153B495">
            <w:pPr>
              <w:topLinePunct/>
              <w:autoSpaceDE w:val="0"/>
              <w:autoSpaceDN w:val="0"/>
              <w:spacing w:after="120"/>
              <w:ind w:firstLine="422"/>
              <w:jc w:val="center"/>
              <w:rPr>
                <w:rFonts w:ascii="宋体" w:hAnsi="宋体" w:cs="宋体"/>
                <w:b/>
                <w:bCs/>
                <w:szCs w:val="21"/>
                <w:highlight w:val="none"/>
              </w:rPr>
            </w:pPr>
          </w:p>
        </w:tc>
        <w:tc>
          <w:tcPr>
            <w:tcW w:w="1663" w:type="dxa"/>
            <w:tcBorders>
              <w:top w:val="single" w:color="auto" w:sz="4" w:space="0"/>
              <w:left w:val="single" w:color="auto" w:sz="4" w:space="0"/>
              <w:bottom w:val="single" w:color="auto" w:sz="4" w:space="0"/>
              <w:right w:val="single" w:color="auto" w:sz="4" w:space="0"/>
            </w:tcBorders>
          </w:tcPr>
          <w:p w14:paraId="4F09DDFB">
            <w:pPr>
              <w:topLinePunct/>
              <w:autoSpaceDE w:val="0"/>
              <w:autoSpaceDN w:val="0"/>
              <w:spacing w:after="120"/>
              <w:ind w:firstLine="422"/>
              <w:jc w:val="center"/>
              <w:rPr>
                <w:rFonts w:ascii="宋体" w:hAnsi="宋体" w:cs="宋体"/>
                <w:b/>
                <w:bCs/>
                <w:szCs w:val="21"/>
                <w:highlight w:val="none"/>
              </w:rPr>
            </w:pPr>
          </w:p>
        </w:tc>
        <w:tc>
          <w:tcPr>
            <w:tcW w:w="1647" w:type="dxa"/>
            <w:tcBorders>
              <w:top w:val="single" w:color="auto" w:sz="4" w:space="0"/>
              <w:left w:val="single" w:color="auto" w:sz="4" w:space="0"/>
              <w:bottom w:val="single" w:color="auto" w:sz="4" w:space="0"/>
              <w:right w:val="single" w:color="auto" w:sz="4" w:space="0"/>
            </w:tcBorders>
          </w:tcPr>
          <w:p w14:paraId="57943112">
            <w:pPr>
              <w:topLinePunct/>
              <w:autoSpaceDE w:val="0"/>
              <w:autoSpaceDN w:val="0"/>
              <w:spacing w:after="120"/>
              <w:ind w:firstLine="422"/>
              <w:jc w:val="center"/>
              <w:rPr>
                <w:rFonts w:ascii="宋体" w:hAnsi="宋体" w:cs="宋体"/>
                <w:b/>
                <w:bCs/>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A2318D9">
            <w:pPr>
              <w:topLinePunct/>
              <w:autoSpaceDE w:val="0"/>
              <w:autoSpaceDN w:val="0"/>
              <w:spacing w:after="120"/>
              <w:ind w:firstLine="422"/>
              <w:jc w:val="center"/>
              <w:rPr>
                <w:rFonts w:ascii="宋体" w:hAnsi="宋体" w:cs="宋体"/>
                <w:b/>
                <w:bCs/>
                <w:szCs w:val="21"/>
                <w:highlight w:val="none"/>
              </w:rPr>
            </w:pPr>
          </w:p>
        </w:tc>
      </w:tr>
      <w:tr w14:paraId="079E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5CA4CD74">
            <w:pPr>
              <w:topLinePunct/>
              <w:autoSpaceDE w:val="0"/>
              <w:autoSpaceDN w:val="0"/>
              <w:spacing w:after="120"/>
              <w:jc w:val="center"/>
              <w:rPr>
                <w:rFonts w:ascii="宋体" w:hAnsi="宋体" w:cs="宋体"/>
                <w:szCs w:val="21"/>
                <w:highlight w:val="none"/>
              </w:rPr>
            </w:pPr>
            <w:r>
              <w:rPr>
                <w:rFonts w:hint="eastAsia" w:ascii="宋体" w:hAnsi="宋体" w:cs="宋体"/>
                <w:szCs w:val="21"/>
                <w:highlight w:val="none"/>
              </w:rPr>
              <w:t>2</w:t>
            </w:r>
          </w:p>
        </w:tc>
        <w:tc>
          <w:tcPr>
            <w:tcW w:w="1954" w:type="dxa"/>
            <w:tcBorders>
              <w:top w:val="single" w:color="auto" w:sz="4" w:space="0"/>
              <w:left w:val="single" w:color="auto" w:sz="4" w:space="0"/>
              <w:bottom w:val="single" w:color="auto" w:sz="4" w:space="0"/>
              <w:right w:val="single" w:color="auto" w:sz="4" w:space="0"/>
            </w:tcBorders>
          </w:tcPr>
          <w:p w14:paraId="3ED28D61">
            <w:pPr>
              <w:topLinePunct/>
              <w:autoSpaceDE w:val="0"/>
              <w:autoSpaceDN w:val="0"/>
              <w:spacing w:after="120"/>
              <w:ind w:firstLine="422"/>
              <w:jc w:val="center"/>
              <w:rPr>
                <w:rFonts w:ascii="宋体" w:hAnsi="宋体" w:cs="宋体"/>
                <w:b/>
                <w:bCs/>
                <w:szCs w:val="21"/>
                <w:highlight w:val="none"/>
              </w:rPr>
            </w:pPr>
          </w:p>
        </w:tc>
        <w:tc>
          <w:tcPr>
            <w:tcW w:w="1678" w:type="dxa"/>
            <w:tcBorders>
              <w:top w:val="single" w:color="auto" w:sz="4" w:space="0"/>
              <w:left w:val="single" w:color="auto" w:sz="4" w:space="0"/>
              <w:bottom w:val="single" w:color="auto" w:sz="4" w:space="0"/>
              <w:right w:val="single" w:color="auto" w:sz="4" w:space="0"/>
            </w:tcBorders>
          </w:tcPr>
          <w:p w14:paraId="6D31275B">
            <w:pPr>
              <w:topLinePunct/>
              <w:autoSpaceDE w:val="0"/>
              <w:autoSpaceDN w:val="0"/>
              <w:spacing w:after="120"/>
              <w:ind w:firstLine="422"/>
              <w:jc w:val="center"/>
              <w:rPr>
                <w:rFonts w:ascii="宋体" w:hAnsi="宋体" w:cs="宋体"/>
                <w:b/>
                <w:bCs/>
                <w:szCs w:val="21"/>
                <w:highlight w:val="none"/>
              </w:rPr>
            </w:pPr>
          </w:p>
        </w:tc>
        <w:tc>
          <w:tcPr>
            <w:tcW w:w="1663" w:type="dxa"/>
            <w:tcBorders>
              <w:top w:val="single" w:color="auto" w:sz="4" w:space="0"/>
              <w:left w:val="single" w:color="auto" w:sz="4" w:space="0"/>
              <w:bottom w:val="single" w:color="auto" w:sz="4" w:space="0"/>
              <w:right w:val="single" w:color="auto" w:sz="4" w:space="0"/>
            </w:tcBorders>
          </w:tcPr>
          <w:p w14:paraId="0CCC4645">
            <w:pPr>
              <w:topLinePunct/>
              <w:autoSpaceDE w:val="0"/>
              <w:autoSpaceDN w:val="0"/>
              <w:spacing w:after="120"/>
              <w:ind w:firstLine="422"/>
              <w:jc w:val="center"/>
              <w:rPr>
                <w:rFonts w:ascii="宋体" w:hAnsi="宋体" w:cs="宋体"/>
                <w:b/>
                <w:bCs/>
                <w:szCs w:val="21"/>
                <w:highlight w:val="none"/>
              </w:rPr>
            </w:pPr>
          </w:p>
        </w:tc>
        <w:tc>
          <w:tcPr>
            <w:tcW w:w="1647" w:type="dxa"/>
            <w:tcBorders>
              <w:top w:val="single" w:color="auto" w:sz="4" w:space="0"/>
              <w:left w:val="single" w:color="auto" w:sz="4" w:space="0"/>
              <w:bottom w:val="single" w:color="auto" w:sz="4" w:space="0"/>
              <w:right w:val="single" w:color="auto" w:sz="4" w:space="0"/>
            </w:tcBorders>
          </w:tcPr>
          <w:p w14:paraId="36BC801B">
            <w:pPr>
              <w:topLinePunct/>
              <w:autoSpaceDE w:val="0"/>
              <w:autoSpaceDN w:val="0"/>
              <w:spacing w:after="120"/>
              <w:ind w:firstLine="422"/>
              <w:jc w:val="center"/>
              <w:rPr>
                <w:rFonts w:ascii="宋体" w:hAnsi="宋体" w:cs="宋体"/>
                <w:b/>
                <w:bCs/>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6A07AC3">
            <w:pPr>
              <w:topLinePunct/>
              <w:autoSpaceDE w:val="0"/>
              <w:autoSpaceDN w:val="0"/>
              <w:spacing w:after="120"/>
              <w:ind w:firstLine="422"/>
              <w:jc w:val="center"/>
              <w:rPr>
                <w:rFonts w:ascii="宋体" w:hAnsi="宋体" w:cs="宋体"/>
                <w:b/>
                <w:bCs/>
                <w:szCs w:val="21"/>
                <w:highlight w:val="none"/>
              </w:rPr>
            </w:pPr>
          </w:p>
        </w:tc>
      </w:tr>
      <w:tr w14:paraId="64F7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6860B355">
            <w:pPr>
              <w:topLinePunct/>
              <w:autoSpaceDE w:val="0"/>
              <w:autoSpaceDN w:val="0"/>
              <w:spacing w:after="120"/>
              <w:jc w:val="center"/>
              <w:rPr>
                <w:rFonts w:ascii="宋体" w:hAnsi="宋体" w:cs="宋体"/>
                <w:szCs w:val="21"/>
                <w:highlight w:val="none"/>
              </w:rPr>
            </w:pPr>
            <w:r>
              <w:rPr>
                <w:rFonts w:hint="eastAsia" w:ascii="宋体" w:hAnsi="宋体" w:cs="宋体"/>
                <w:szCs w:val="21"/>
                <w:highlight w:val="none"/>
              </w:rPr>
              <w:t>3</w:t>
            </w:r>
          </w:p>
        </w:tc>
        <w:tc>
          <w:tcPr>
            <w:tcW w:w="1954" w:type="dxa"/>
            <w:tcBorders>
              <w:top w:val="single" w:color="auto" w:sz="4" w:space="0"/>
              <w:left w:val="single" w:color="auto" w:sz="4" w:space="0"/>
              <w:bottom w:val="single" w:color="auto" w:sz="4" w:space="0"/>
              <w:right w:val="single" w:color="auto" w:sz="4" w:space="0"/>
            </w:tcBorders>
          </w:tcPr>
          <w:p w14:paraId="5DFBA9F0">
            <w:pPr>
              <w:topLinePunct/>
              <w:autoSpaceDE w:val="0"/>
              <w:autoSpaceDN w:val="0"/>
              <w:spacing w:after="120"/>
              <w:ind w:firstLine="422"/>
              <w:jc w:val="center"/>
              <w:rPr>
                <w:rFonts w:ascii="宋体" w:hAnsi="宋体" w:cs="宋体"/>
                <w:b/>
                <w:bCs/>
                <w:szCs w:val="21"/>
                <w:highlight w:val="none"/>
              </w:rPr>
            </w:pPr>
          </w:p>
        </w:tc>
        <w:tc>
          <w:tcPr>
            <w:tcW w:w="1678" w:type="dxa"/>
            <w:tcBorders>
              <w:top w:val="single" w:color="auto" w:sz="4" w:space="0"/>
              <w:left w:val="single" w:color="auto" w:sz="4" w:space="0"/>
              <w:bottom w:val="single" w:color="auto" w:sz="4" w:space="0"/>
              <w:right w:val="single" w:color="auto" w:sz="4" w:space="0"/>
            </w:tcBorders>
          </w:tcPr>
          <w:p w14:paraId="1BF180FE">
            <w:pPr>
              <w:topLinePunct/>
              <w:autoSpaceDE w:val="0"/>
              <w:autoSpaceDN w:val="0"/>
              <w:spacing w:after="120"/>
              <w:ind w:firstLine="422"/>
              <w:jc w:val="center"/>
              <w:rPr>
                <w:rFonts w:ascii="宋体" w:hAnsi="宋体" w:cs="宋体"/>
                <w:b/>
                <w:bCs/>
                <w:szCs w:val="21"/>
                <w:highlight w:val="none"/>
              </w:rPr>
            </w:pPr>
          </w:p>
        </w:tc>
        <w:tc>
          <w:tcPr>
            <w:tcW w:w="1663" w:type="dxa"/>
            <w:tcBorders>
              <w:top w:val="single" w:color="auto" w:sz="4" w:space="0"/>
              <w:left w:val="single" w:color="auto" w:sz="4" w:space="0"/>
              <w:bottom w:val="single" w:color="auto" w:sz="4" w:space="0"/>
              <w:right w:val="single" w:color="auto" w:sz="4" w:space="0"/>
            </w:tcBorders>
          </w:tcPr>
          <w:p w14:paraId="432F2F85">
            <w:pPr>
              <w:topLinePunct/>
              <w:autoSpaceDE w:val="0"/>
              <w:autoSpaceDN w:val="0"/>
              <w:spacing w:after="120"/>
              <w:ind w:firstLine="422"/>
              <w:jc w:val="center"/>
              <w:rPr>
                <w:rFonts w:ascii="宋体" w:hAnsi="宋体" w:cs="宋体"/>
                <w:b/>
                <w:bCs/>
                <w:szCs w:val="21"/>
                <w:highlight w:val="none"/>
              </w:rPr>
            </w:pPr>
          </w:p>
        </w:tc>
        <w:tc>
          <w:tcPr>
            <w:tcW w:w="1647" w:type="dxa"/>
            <w:tcBorders>
              <w:top w:val="single" w:color="auto" w:sz="4" w:space="0"/>
              <w:left w:val="single" w:color="auto" w:sz="4" w:space="0"/>
              <w:bottom w:val="single" w:color="auto" w:sz="4" w:space="0"/>
              <w:right w:val="single" w:color="auto" w:sz="4" w:space="0"/>
            </w:tcBorders>
          </w:tcPr>
          <w:p w14:paraId="40AA781C">
            <w:pPr>
              <w:topLinePunct/>
              <w:autoSpaceDE w:val="0"/>
              <w:autoSpaceDN w:val="0"/>
              <w:spacing w:after="120"/>
              <w:ind w:firstLine="422"/>
              <w:jc w:val="center"/>
              <w:rPr>
                <w:rFonts w:ascii="宋体" w:hAnsi="宋体" w:cs="宋体"/>
                <w:b/>
                <w:bCs/>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A87340E">
            <w:pPr>
              <w:topLinePunct/>
              <w:autoSpaceDE w:val="0"/>
              <w:autoSpaceDN w:val="0"/>
              <w:spacing w:after="120"/>
              <w:ind w:firstLine="422"/>
              <w:jc w:val="center"/>
              <w:rPr>
                <w:rFonts w:ascii="宋体" w:hAnsi="宋体" w:cs="宋体"/>
                <w:b/>
                <w:bCs/>
                <w:szCs w:val="21"/>
                <w:highlight w:val="none"/>
              </w:rPr>
            </w:pPr>
          </w:p>
        </w:tc>
      </w:tr>
      <w:tr w14:paraId="662C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3AE3F09D">
            <w:pPr>
              <w:topLinePunct/>
              <w:autoSpaceDE w:val="0"/>
              <w:autoSpaceDN w:val="0"/>
              <w:spacing w:after="120"/>
              <w:jc w:val="center"/>
              <w:rPr>
                <w:rFonts w:ascii="宋体" w:hAnsi="宋体" w:cs="宋体"/>
                <w:szCs w:val="21"/>
                <w:highlight w:val="none"/>
              </w:rPr>
            </w:pPr>
            <w:r>
              <w:rPr>
                <w:rFonts w:hint="eastAsia" w:ascii="宋体" w:hAnsi="宋体" w:cs="宋体"/>
                <w:szCs w:val="21"/>
                <w:highlight w:val="none"/>
              </w:rPr>
              <w:t>4</w:t>
            </w:r>
          </w:p>
        </w:tc>
        <w:tc>
          <w:tcPr>
            <w:tcW w:w="1954" w:type="dxa"/>
            <w:tcBorders>
              <w:top w:val="single" w:color="auto" w:sz="4" w:space="0"/>
              <w:left w:val="single" w:color="auto" w:sz="4" w:space="0"/>
              <w:bottom w:val="single" w:color="auto" w:sz="4" w:space="0"/>
              <w:right w:val="single" w:color="auto" w:sz="4" w:space="0"/>
            </w:tcBorders>
          </w:tcPr>
          <w:p w14:paraId="29C6F249">
            <w:pPr>
              <w:topLinePunct/>
              <w:autoSpaceDE w:val="0"/>
              <w:autoSpaceDN w:val="0"/>
              <w:spacing w:after="120"/>
              <w:ind w:firstLine="422"/>
              <w:jc w:val="center"/>
              <w:rPr>
                <w:rFonts w:ascii="宋体" w:hAnsi="宋体" w:cs="宋体"/>
                <w:b/>
                <w:bCs/>
                <w:szCs w:val="21"/>
                <w:highlight w:val="none"/>
              </w:rPr>
            </w:pPr>
          </w:p>
        </w:tc>
        <w:tc>
          <w:tcPr>
            <w:tcW w:w="1678" w:type="dxa"/>
            <w:tcBorders>
              <w:top w:val="single" w:color="auto" w:sz="4" w:space="0"/>
              <w:left w:val="single" w:color="auto" w:sz="4" w:space="0"/>
              <w:bottom w:val="single" w:color="auto" w:sz="4" w:space="0"/>
              <w:right w:val="single" w:color="auto" w:sz="4" w:space="0"/>
            </w:tcBorders>
          </w:tcPr>
          <w:p w14:paraId="42573FA2">
            <w:pPr>
              <w:topLinePunct/>
              <w:autoSpaceDE w:val="0"/>
              <w:autoSpaceDN w:val="0"/>
              <w:spacing w:after="120"/>
              <w:ind w:firstLine="422"/>
              <w:jc w:val="center"/>
              <w:rPr>
                <w:rFonts w:ascii="宋体" w:hAnsi="宋体" w:cs="宋体"/>
                <w:b/>
                <w:bCs/>
                <w:szCs w:val="21"/>
                <w:highlight w:val="none"/>
              </w:rPr>
            </w:pPr>
          </w:p>
        </w:tc>
        <w:tc>
          <w:tcPr>
            <w:tcW w:w="1663" w:type="dxa"/>
            <w:tcBorders>
              <w:top w:val="single" w:color="auto" w:sz="4" w:space="0"/>
              <w:left w:val="single" w:color="auto" w:sz="4" w:space="0"/>
              <w:bottom w:val="single" w:color="auto" w:sz="4" w:space="0"/>
              <w:right w:val="single" w:color="auto" w:sz="4" w:space="0"/>
            </w:tcBorders>
          </w:tcPr>
          <w:p w14:paraId="3A69C75A">
            <w:pPr>
              <w:topLinePunct/>
              <w:autoSpaceDE w:val="0"/>
              <w:autoSpaceDN w:val="0"/>
              <w:spacing w:after="120"/>
              <w:ind w:firstLine="422"/>
              <w:jc w:val="center"/>
              <w:rPr>
                <w:rFonts w:ascii="宋体" w:hAnsi="宋体" w:cs="宋体"/>
                <w:b/>
                <w:bCs/>
                <w:szCs w:val="21"/>
                <w:highlight w:val="none"/>
              </w:rPr>
            </w:pPr>
          </w:p>
        </w:tc>
        <w:tc>
          <w:tcPr>
            <w:tcW w:w="1647" w:type="dxa"/>
            <w:tcBorders>
              <w:top w:val="single" w:color="auto" w:sz="4" w:space="0"/>
              <w:left w:val="single" w:color="auto" w:sz="4" w:space="0"/>
              <w:bottom w:val="single" w:color="auto" w:sz="4" w:space="0"/>
              <w:right w:val="single" w:color="auto" w:sz="4" w:space="0"/>
            </w:tcBorders>
          </w:tcPr>
          <w:p w14:paraId="40CBAF80">
            <w:pPr>
              <w:topLinePunct/>
              <w:autoSpaceDE w:val="0"/>
              <w:autoSpaceDN w:val="0"/>
              <w:spacing w:after="120"/>
              <w:ind w:firstLine="422"/>
              <w:jc w:val="center"/>
              <w:rPr>
                <w:rFonts w:ascii="宋体" w:hAnsi="宋体" w:cs="宋体"/>
                <w:b/>
                <w:bCs/>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93E6EB3">
            <w:pPr>
              <w:topLinePunct/>
              <w:autoSpaceDE w:val="0"/>
              <w:autoSpaceDN w:val="0"/>
              <w:spacing w:after="120"/>
              <w:ind w:firstLine="422"/>
              <w:jc w:val="center"/>
              <w:rPr>
                <w:rFonts w:ascii="宋体" w:hAnsi="宋体" w:cs="宋体"/>
                <w:b/>
                <w:bCs/>
                <w:szCs w:val="21"/>
                <w:highlight w:val="none"/>
              </w:rPr>
            </w:pPr>
          </w:p>
        </w:tc>
      </w:tr>
      <w:tr w14:paraId="5F8B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14:paraId="55B593E8">
            <w:pPr>
              <w:topLinePunct/>
              <w:autoSpaceDE w:val="0"/>
              <w:autoSpaceDN w:val="0"/>
              <w:spacing w:after="120"/>
              <w:jc w:val="center"/>
              <w:rPr>
                <w:rFonts w:ascii="宋体" w:hAnsi="宋体" w:cs="宋体"/>
                <w:szCs w:val="21"/>
                <w:highlight w:val="none"/>
              </w:rPr>
            </w:pPr>
            <w:r>
              <w:rPr>
                <w:rFonts w:hint="eastAsia" w:ascii="宋体" w:hAnsi="宋体" w:cs="宋体"/>
                <w:szCs w:val="21"/>
                <w:highlight w:val="none"/>
              </w:rPr>
              <w:t>……</w:t>
            </w:r>
          </w:p>
        </w:tc>
        <w:tc>
          <w:tcPr>
            <w:tcW w:w="1954" w:type="dxa"/>
            <w:tcBorders>
              <w:top w:val="single" w:color="auto" w:sz="4" w:space="0"/>
              <w:left w:val="single" w:color="auto" w:sz="4" w:space="0"/>
              <w:bottom w:val="single" w:color="auto" w:sz="4" w:space="0"/>
              <w:right w:val="single" w:color="auto" w:sz="4" w:space="0"/>
            </w:tcBorders>
          </w:tcPr>
          <w:p w14:paraId="65CB57EE">
            <w:pPr>
              <w:topLinePunct/>
              <w:autoSpaceDE w:val="0"/>
              <w:autoSpaceDN w:val="0"/>
              <w:spacing w:after="120"/>
              <w:ind w:firstLine="422"/>
              <w:jc w:val="center"/>
              <w:rPr>
                <w:rFonts w:ascii="宋体" w:hAnsi="宋体" w:cs="宋体"/>
                <w:b/>
                <w:bCs/>
                <w:szCs w:val="21"/>
                <w:highlight w:val="none"/>
              </w:rPr>
            </w:pPr>
          </w:p>
        </w:tc>
        <w:tc>
          <w:tcPr>
            <w:tcW w:w="1678" w:type="dxa"/>
            <w:tcBorders>
              <w:top w:val="single" w:color="auto" w:sz="4" w:space="0"/>
              <w:left w:val="single" w:color="auto" w:sz="4" w:space="0"/>
              <w:bottom w:val="single" w:color="auto" w:sz="4" w:space="0"/>
              <w:right w:val="single" w:color="auto" w:sz="4" w:space="0"/>
            </w:tcBorders>
          </w:tcPr>
          <w:p w14:paraId="4DDFB631">
            <w:pPr>
              <w:topLinePunct/>
              <w:autoSpaceDE w:val="0"/>
              <w:autoSpaceDN w:val="0"/>
              <w:spacing w:after="120"/>
              <w:ind w:firstLine="422"/>
              <w:jc w:val="center"/>
              <w:rPr>
                <w:rFonts w:ascii="宋体" w:hAnsi="宋体" w:cs="宋体"/>
                <w:b/>
                <w:bCs/>
                <w:szCs w:val="21"/>
                <w:highlight w:val="none"/>
              </w:rPr>
            </w:pPr>
          </w:p>
        </w:tc>
        <w:tc>
          <w:tcPr>
            <w:tcW w:w="1663" w:type="dxa"/>
            <w:tcBorders>
              <w:top w:val="single" w:color="auto" w:sz="4" w:space="0"/>
              <w:left w:val="single" w:color="auto" w:sz="4" w:space="0"/>
              <w:bottom w:val="single" w:color="auto" w:sz="4" w:space="0"/>
              <w:right w:val="single" w:color="auto" w:sz="4" w:space="0"/>
            </w:tcBorders>
          </w:tcPr>
          <w:p w14:paraId="336035F4">
            <w:pPr>
              <w:topLinePunct/>
              <w:autoSpaceDE w:val="0"/>
              <w:autoSpaceDN w:val="0"/>
              <w:spacing w:after="120"/>
              <w:ind w:firstLine="422"/>
              <w:jc w:val="center"/>
              <w:rPr>
                <w:rFonts w:ascii="宋体" w:hAnsi="宋体" w:cs="宋体"/>
                <w:b/>
                <w:bCs/>
                <w:szCs w:val="21"/>
                <w:highlight w:val="none"/>
              </w:rPr>
            </w:pPr>
          </w:p>
        </w:tc>
        <w:tc>
          <w:tcPr>
            <w:tcW w:w="1647" w:type="dxa"/>
            <w:tcBorders>
              <w:top w:val="single" w:color="auto" w:sz="4" w:space="0"/>
              <w:left w:val="single" w:color="auto" w:sz="4" w:space="0"/>
              <w:bottom w:val="single" w:color="auto" w:sz="4" w:space="0"/>
              <w:right w:val="single" w:color="auto" w:sz="4" w:space="0"/>
            </w:tcBorders>
          </w:tcPr>
          <w:p w14:paraId="761536A9">
            <w:pPr>
              <w:topLinePunct/>
              <w:autoSpaceDE w:val="0"/>
              <w:autoSpaceDN w:val="0"/>
              <w:spacing w:after="120"/>
              <w:ind w:firstLine="422"/>
              <w:jc w:val="center"/>
              <w:rPr>
                <w:rFonts w:ascii="宋体" w:hAnsi="宋体" w:cs="宋体"/>
                <w:b/>
                <w:bCs/>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2D8DFEC">
            <w:pPr>
              <w:topLinePunct/>
              <w:autoSpaceDE w:val="0"/>
              <w:autoSpaceDN w:val="0"/>
              <w:spacing w:after="120"/>
              <w:ind w:firstLine="422"/>
              <w:jc w:val="center"/>
              <w:rPr>
                <w:rFonts w:ascii="宋体" w:hAnsi="宋体" w:cs="宋体"/>
                <w:b/>
                <w:bCs/>
                <w:szCs w:val="21"/>
                <w:highlight w:val="none"/>
              </w:rPr>
            </w:pPr>
          </w:p>
        </w:tc>
      </w:tr>
    </w:tbl>
    <w:p w14:paraId="783E3607">
      <w:pPr>
        <w:topLinePunct/>
        <w:autoSpaceDE w:val="0"/>
        <w:autoSpaceDN w:val="0"/>
        <w:spacing w:after="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2D911A53">
      <w:pPr>
        <w:topLinePunct/>
        <w:autoSpaceDE w:val="0"/>
        <w:autoSpaceDN w:val="0"/>
        <w:spacing w:after="0"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1.商务条款无需条对条应答，如无偏离，请在此表中填写“无偏离”；如有偏离，请在此表中应答为“正/负偏离”并说明偏离情况。</w:t>
      </w:r>
    </w:p>
    <w:p w14:paraId="548E84B6">
      <w:pPr>
        <w:topLinePunct/>
        <w:autoSpaceDE w:val="0"/>
        <w:autoSpaceDN w:val="0"/>
        <w:spacing w:after="0"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2.如《采购文件-商务部分》中有标注★号的，则为实质性要求，必须满足，如应答为“负偏离”，将导致响应无效。</w:t>
      </w:r>
    </w:p>
    <w:p w14:paraId="0BA1D8B4">
      <w:pPr>
        <w:topLinePunct/>
        <w:autoSpaceDE w:val="0"/>
        <w:autoSpaceDN w:val="0"/>
        <w:spacing w:after="0"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3.本表可扩展。</w:t>
      </w:r>
    </w:p>
    <w:p w14:paraId="1B18C7B0">
      <w:pPr>
        <w:topLinePunct/>
        <w:autoSpaceDE w:val="0"/>
        <w:autoSpaceDN w:val="0"/>
        <w:spacing w:line="500" w:lineRule="exact"/>
        <w:ind w:firstLine="480"/>
        <w:rPr>
          <w:rFonts w:ascii="宋体" w:hAnsi="宋体" w:cs="宋体"/>
          <w:sz w:val="24"/>
          <w:highlight w:val="none"/>
        </w:rPr>
      </w:pPr>
    </w:p>
    <w:p w14:paraId="5FFCFDB3">
      <w:pPr>
        <w:topLinePunct/>
        <w:autoSpaceDE w:val="0"/>
        <w:autoSpaceDN w:val="0"/>
        <w:spacing w:line="500" w:lineRule="exact"/>
        <w:ind w:firstLine="480"/>
        <w:rPr>
          <w:rFonts w:ascii="宋体" w:hAnsi="宋体" w:cs="宋体"/>
          <w:sz w:val="24"/>
          <w:highlight w:val="none"/>
        </w:rPr>
      </w:pPr>
    </w:p>
    <w:p w14:paraId="250A4CBC">
      <w:pPr>
        <w:topLinePunct/>
        <w:autoSpaceDE w:val="0"/>
        <w:autoSpaceDN w:val="0"/>
        <w:spacing w:line="500" w:lineRule="exact"/>
        <w:ind w:firstLine="480"/>
        <w:rPr>
          <w:rFonts w:ascii="宋体" w:hAnsi="宋体" w:cs="宋体"/>
          <w:sz w:val="24"/>
          <w:highlight w:val="none"/>
        </w:rPr>
      </w:pPr>
    </w:p>
    <w:p w14:paraId="13FFDAFB">
      <w:pPr>
        <w:tabs>
          <w:tab w:val="left" w:pos="123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w:t>
      </w:r>
      <w:r>
        <w:rPr>
          <w:rFonts w:hint="eastAsia" w:ascii="宋体" w:hAnsi="宋体" w:cs="宋体"/>
          <w:kern w:val="0"/>
          <w:szCs w:val="21"/>
          <w:highlight w:val="none"/>
        </w:rPr>
        <w:t>（全称并加盖公章</w:t>
      </w:r>
      <w:r>
        <w:rPr>
          <w:rFonts w:hint="eastAsia" w:ascii="宋体" w:hAnsi="宋体" w:cs="宋体"/>
          <w:szCs w:val="21"/>
          <w:highlight w:val="none"/>
        </w:rPr>
        <w:t>）：</w:t>
      </w:r>
      <w:r>
        <w:rPr>
          <w:rFonts w:hint="eastAsia" w:ascii="宋体" w:hAnsi="宋体" w:cs="宋体"/>
          <w:highlight w:val="none"/>
        </w:rPr>
        <w:t>____________</w:t>
      </w:r>
    </w:p>
    <w:p w14:paraId="071CEDF1">
      <w:pPr>
        <w:tabs>
          <w:tab w:val="left" w:pos="123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kern w:val="0"/>
          <w:szCs w:val="21"/>
          <w:highlight w:val="none"/>
        </w:rPr>
        <w:t>投标人代表（签字或盖章）</w:t>
      </w:r>
      <w:r>
        <w:rPr>
          <w:rFonts w:hint="eastAsia" w:ascii="宋体" w:hAnsi="宋体" w:cs="宋体"/>
          <w:szCs w:val="21"/>
          <w:highlight w:val="none"/>
        </w:rPr>
        <w:t>：</w:t>
      </w:r>
      <w:r>
        <w:rPr>
          <w:rFonts w:hint="eastAsia" w:ascii="宋体" w:hAnsi="宋体" w:cs="宋体"/>
          <w:highlight w:val="none"/>
        </w:rPr>
        <w:t>____________</w:t>
      </w:r>
    </w:p>
    <w:p w14:paraId="76116501">
      <w:pPr>
        <w:tabs>
          <w:tab w:val="left" w:pos="123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日期：</w:t>
      </w:r>
      <w:r>
        <w:rPr>
          <w:rFonts w:hint="eastAsia" w:ascii="宋体" w:hAnsi="宋体" w:cs="宋体"/>
          <w:highlight w:val="none"/>
        </w:rPr>
        <w:t>____________</w:t>
      </w:r>
    </w:p>
    <w:p w14:paraId="60A5D4AE">
      <w:pPr>
        <w:ind w:firstLine="562"/>
        <w:rPr>
          <w:rFonts w:ascii="宋体" w:hAnsi="宋体" w:cs="宋体"/>
          <w:b/>
          <w:bCs/>
          <w:sz w:val="28"/>
          <w:szCs w:val="28"/>
          <w:highlight w:val="none"/>
        </w:rPr>
      </w:pPr>
    </w:p>
    <w:p w14:paraId="181FD69F">
      <w:pPr>
        <w:snapToGrid w:val="0"/>
        <w:spacing w:line="360" w:lineRule="auto"/>
        <w:ind w:firstLine="562"/>
        <w:jc w:val="center"/>
        <w:rPr>
          <w:rFonts w:ascii="宋体" w:hAnsi="宋体" w:cs="宋体"/>
          <w:b/>
          <w:bCs/>
          <w:sz w:val="28"/>
          <w:szCs w:val="28"/>
          <w:highlight w:val="none"/>
        </w:rPr>
      </w:pPr>
      <w:r>
        <w:rPr>
          <w:rFonts w:hint="eastAsia" w:ascii="宋体" w:hAnsi="宋体" w:cs="宋体"/>
          <w:b/>
          <w:bCs/>
          <w:sz w:val="28"/>
          <w:szCs w:val="28"/>
          <w:highlight w:val="none"/>
        </w:rPr>
        <w:br w:type="page"/>
      </w:r>
    </w:p>
    <w:p w14:paraId="645B3312">
      <w:pPr>
        <w:adjustRightInd w:val="0"/>
        <w:snapToGrid w:val="0"/>
        <w:spacing w:line="360" w:lineRule="auto"/>
        <w:jc w:val="center"/>
        <w:rPr>
          <w:rFonts w:hint="eastAsia" w:ascii="宋体" w:hAnsi="宋体" w:cs="宋体"/>
          <w:b/>
          <w:bCs/>
          <w:sz w:val="28"/>
          <w:szCs w:val="28"/>
          <w:highlight w:val="none"/>
        </w:rPr>
      </w:pPr>
      <w:r>
        <w:rPr>
          <w:rFonts w:hint="eastAsia" w:ascii="宋体" w:hAnsi="宋体" w:cs="宋体"/>
          <w:b/>
          <w:bCs/>
          <w:sz w:val="28"/>
          <w:szCs w:val="28"/>
          <w:highlight w:val="none"/>
        </w:rPr>
        <w:t>五、投标人具备投标资格证明文件</w:t>
      </w:r>
    </w:p>
    <w:p w14:paraId="5ADC087C">
      <w:pPr>
        <w:adjustRightInd w:val="0"/>
        <w:snapToGrid w:val="0"/>
        <w:spacing w:line="360" w:lineRule="auto"/>
        <w:ind w:firstLine="562"/>
        <w:jc w:val="center"/>
        <w:rPr>
          <w:rFonts w:ascii="宋体" w:hAnsi="宋体" w:cs="宋体"/>
          <w:b/>
          <w:bCs/>
          <w:sz w:val="28"/>
          <w:szCs w:val="28"/>
          <w:highlight w:val="none"/>
        </w:rPr>
      </w:pPr>
      <w:r>
        <w:rPr>
          <w:rFonts w:hint="eastAsia" w:ascii="宋体" w:hAnsi="宋体" w:cs="宋体"/>
          <w:b/>
          <w:bCs/>
          <w:sz w:val="28"/>
          <w:szCs w:val="28"/>
          <w:highlight w:val="none"/>
        </w:rPr>
        <w:t>5-1投标人基本情况</w:t>
      </w:r>
    </w:p>
    <w:tbl>
      <w:tblPr>
        <w:tblStyle w:val="24"/>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0"/>
        <w:gridCol w:w="2191"/>
        <w:gridCol w:w="1862"/>
        <w:gridCol w:w="2964"/>
      </w:tblGrid>
      <w:tr w14:paraId="1F1E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440" w:type="dxa"/>
            <w:vAlign w:val="center"/>
          </w:tcPr>
          <w:p w14:paraId="2AEDFACA">
            <w:pPr>
              <w:pStyle w:val="16"/>
              <w:spacing w:line="360" w:lineRule="auto"/>
              <w:jc w:val="center"/>
              <w:rPr>
                <w:rFonts w:hAnsi="宋体" w:cs="宋体"/>
                <w:highlight w:val="none"/>
              </w:rPr>
            </w:pPr>
            <w:r>
              <w:rPr>
                <w:rFonts w:hint="eastAsia" w:hAnsi="宋体" w:cs="宋体"/>
                <w:highlight w:val="none"/>
              </w:rPr>
              <w:t>供应商名称</w:t>
            </w:r>
          </w:p>
        </w:tc>
        <w:tc>
          <w:tcPr>
            <w:tcW w:w="2191" w:type="dxa"/>
            <w:vAlign w:val="center"/>
          </w:tcPr>
          <w:p w14:paraId="361428D2">
            <w:pPr>
              <w:pStyle w:val="16"/>
              <w:spacing w:line="360" w:lineRule="auto"/>
              <w:jc w:val="center"/>
              <w:rPr>
                <w:rFonts w:hAnsi="宋体" w:cs="宋体"/>
                <w:highlight w:val="none"/>
              </w:rPr>
            </w:pPr>
          </w:p>
        </w:tc>
        <w:tc>
          <w:tcPr>
            <w:tcW w:w="1862" w:type="dxa"/>
            <w:vAlign w:val="center"/>
          </w:tcPr>
          <w:p w14:paraId="12D26D39">
            <w:pPr>
              <w:pStyle w:val="16"/>
              <w:spacing w:line="360" w:lineRule="auto"/>
              <w:jc w:val="center"/>
              <w:rPr>
                <w:rFonts w:hAnsi="宋体" w:cs="宋体"/>
                <w:highlight w:val="none"/>
              </w:rPr>
            </w:pPr>
            <w:r>
              <w:rPr>
                <w:rFonts w:hint="eastAsia" w:hAnsi="宋体" w:cs="宋体"/>
                <w:highlight w:val="none"/>
              </w:rPr>
              <w:t>法定代表人</w:t>
            </w:r>
          </w:p>
        </w:tc>
        <w:tc>
          <w:tcPr>
            <w:tcW w:w="2964" w:type="dxa"/>
            <w:vAlign w:val="center"/>
          </w:tcPr>
          <w:p w14:paraId="3F3717BF">
            <w:pPr>
              <w:pStyle w:val="16"/>
              <w:spacing w:line="360" w:lineRule="auto"/>
              <w:jc w:val="center"/>
              <w:rPr>
                <w:rFonts w:hAnsi="宋体" w:cs="宋体"/>
                <w:highlight w:val="none"/>
              </w:rPr>
            </w:pPr>
          </w:p>
        </w:tc>
      </w:tr>
      <w:tr w14:paraId="6884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440" w:type="dxa"/>
            <w:vAlign w:val="center"/>
          </w:tcPr>
          <w:p w14:paraId="5FABACFC">
            <w:pPr>
              <w:pStyle w:val="16"/>
              <w:spacing w:line="360" w:lineRule="auto"/>
              <w:jc w:val="center"/>
              <w:rPr>
                <w:rFonts w:hAnsi="宋体" w:cs="宋体"/>
                <w:highlight w:val="none"/>
              </w:rPr>
            </w:pPr>
            <w:r>
              <w:rPr>
                <w:rFonts w:hint="eastAsia" w:hAnsi="宋体" w:cs="宋体"/>
                <w:highlight w:val="none"/>
              </w:rPr>
              <w:t>统一社会信用代码</w:t>
            </w:r>
          </w:p>
        </w:tc>
        <w:tc>
          <w:tcPr>
            <w:tcW w:w="2191" w:type="dxa"/>
            <w:vAlign w:val="center"/>
          </w:tcPr>
          <w:p w14:paraId="29FC9339">
            <w:pPr>
              <w:pStyle w:val="16"/>
              <w:spacing w:line="360" w:lineRule="auto"/>
              <w:jc w:val="center"/>
              <w:rPr>
                <w:rFonts w:hAnsi="宋体" w:cs="宋体"/>
                <w:highlight w:val="none"/>
              </w:rPr>
            </w:pPr>
          </w:p>
        </w:tc>
        <w:tc>
          <w:tcPr>
            <w:tcW w:w="1862" w:type="dxa"/>
            <w:vAlign w:val="center"/>
          </w:tcPr>
          <w:p w14:paraId="48D8C898">
            <w:pPr>
              <w:pStyle w:val="16"/>
              <w:spacing w:line="360" w:lineRule="auto"/>
              <w:jc w:val="center"/>
              <w:rPr>
                <w:rFonts w:hAnsi="宋体" w:cs="宋体"/>
                <w:highlight w:val="none"/>
              </w:rPr>
            </w:pPr>
            <w:r>
              <w:rPr>
                <w:rFonts w:hint="eastAsia" w:hAnsi="宋体" w:cs="宋体"/>
                <w:highlight w:val="none"/>
              </w:rPr>
              <w:t>邮政编码</w:t>
            </w:r>
          </w:p>
        </w:tc>
        <w:tc>
          <w:tcPr>
            <w:tcW w:w="2964" w:type="dxa"/>
            <w:vAlign w:val="center"/>
          </w:tcPr>
          <w:p w14:paraId="2717B3A1">
            <w:pPr>
              <w:pStyle w:val="16"/>
              <w:spacing w:line="360" w:lineRule="auto"/>
              <w:jc w:val="center"/>
              <w:rPr>
                <w:rFonts w:hAnsi="宋体" w:cs="宋体"/>
                <w:highlight w:val="none"/>
              </w:rPr>
            </w:pPr>
          </w:p>
        </w:tc>
      </w:tr>
      <w:tr w14:paraId="37E9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440" w:type="dxa"/>
            <w:vAlign w:val="center"/>
          </w:tcPr>
          <w:p w14:paraId="68CBABEA">
            <w:pPr>
              <w:pStyle w:val="16"/>
              <w:spacing w:line="360" w:lineRule="auto"/>
              <w:jc w:val="center"/>
              <w:rPr>
                <w:rFonts w:hAnsi="宋体" w:cs="宋体"/>
                <w:highlight w:val="none"/>
              </w:rPr>
            </w:pPr>
            <w:r>
              <w:rPr>
                <w:rFonts w:hint="eastAsia" w:hAnsi="宋体" w:cs="宋体"/>
                <w:highlight w:val="none"/>
              </w:rPr>
              <w:t>授权代表</w:t>
            </w:r>
          </w:p>
        </w:tc>
        <w:tc>
          <w:tcPr>
            <w:tcW w:w="2191" w:type="dxa"/>
            <w:vAlign w:val="center"/>
          </w:tcPr>
          <w:p w14:paraId="54168A36">
            <w:pPr>
              <w:pStyle w:val="16"/>
              <w:spacing w:line="360" w:lineRule="auto"/>
              <w:jc w:val="center"/>
              <w:rPr>
                <w:rFonts w:hAnsi="宋体" w:cs="宋体"/>
                <w:highlight w:val="none"/>
              </w:rPr>
            </w:pPr>
          </w:p>
        </w:tc>
        <w:tc>
          <w:tcPr>
            <w:tcW w:w="1862" w:type="dxa"/>
            <w:vAlign w:val="center"/>
          </w:tcPr>
          <w:p w14:paraId="5C6A77A8">
            <w:pPr>
              <w:pStyle w:val="16"/>
              <w:spacing w:line="360" w:lineRule="auto"/>
              <w:jc w:val="center"/>
              <w:rPr>
                <w:rFonts w:hAnsi="宋体" w:cs="宋体"/>
                <w:highlight w:val="none"/>
              </w:rPr>
            </w:pPr>
            <w:r>
              <w:rPr>
                <w:rFonts w:hint="eastAsia" w:hAnsi="宋体" w:cs="宋体"/>
                <w:highlight w:val="none"/>
              </w:rPr>
              <w:t>联系电话</w:t>
            </w:r>
          </w:p>
        </w:tc>
        <w:tc>
          <w:tcPr>
            <w:tcW w:w="2964" w:type="dxa"/>
            <w:vAlign w:val="center"/>
          </w:tcPr>
          <w:p w14:paraId="2CE75E9A">
            <w:pPr>
              <w:pStyle w:val="16"/>
              <w:spacing w:line="360" w:lineRule="auto"/>
              <w:jc w:val="center"/>
              <w:rPr>
                <w:rFonts w:hAnsi="宋体" w:cs="宋体"/>
                <w:highlight w:val="none"/>
              </w:rPr>
            </w:pPr>
          </w:p>
        </w:tc>
      </w:tr>
      <w:tr w14:paraId="5D56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440" w:type="dxa"/>
            <w:vAlign w:val="center"/>
          </w:tcPr>
          <w:p w14:paraId="70B8943F">
            <w:pPr>
              <w:pStyle w:val="16"/>
              <w:spacing w:line="360" w:lineRule="auto"/>
              <w:jc w:val="center"/>
              <w:rPr>
                <w:rFonts w:hAnsi="宋体" w:cs="宋体"/>
                <w:highlight w:val="none"/>
              </w:rPr>
            </w:pPr>
            <w:r>
              <w:rPr>
                <w:rFonts w:hint="eastAsia" w:hAnsi="宋体" w:cs="宋体"/>
                <w:highlight w:val="none"/>
              </w:rPr>
              <w:t>电子邮箱</w:t>
            </w:r>
          </w:p>
        </w:tc>
        <w:tc>
          <w:tcPr>
            <w:tcW w:w="2191" w:type="dxa"/>
            <w:vAlign w:val="center"/>
          </w:tcPr>
          <w:p w14:paraId="5FC9C191">
            <w:pPr>
              <w:pStyle w:val="16"/>
              <w:spacing w:line="360" w:lineRule="auto"/>
              <w:jc w:val="center"/>
              <w:rPr>
                <w:rFonts w:hAnsi="宋体" w:cs="宋体"/>
                <w:highlight w:val="none"/>
              </w:rPr>
            </w:pPr>
          </w:p>
        </w:tc>
        <w:tc>
          <w:tcPr>
            <w:tcW w:w="1862" w:type="dxa"/>
            <w:vAlign w:val="center"/>
          </w:tcPr>
          <w:p w14:paraId="393A96D3">
            <w:pPr>
              <w:pStyle w:val="16"/>
              <w:spacing w:line="360" w:lineRule="auto"/>
              <w:jc w:val="center"/>
              <w:rPr>
                <w:rFonts w:hAnsi="宋体" w:cs="宋体"/>
                <w:highlight w:val="none"/>
              </w:rPr>
            </w:pPr>
            <w:r>
              <w:rPr>
                <w:rFonts w:hint="eastAsia" w:hAnsi="宋体" w:cs="宋体"/>
                <w:highlight w:val="none"/>
              </w:rPr>
              <w:t>传真</w:t>
            </w:r>
          </w:p>
        </w:tc>
        <w:tc>
          <w:tcPr>
            <w:tcW w:w="2964" w:type="dxa"/>
            <w:vAlign w:val="center"/>
          </w:tcPr>
          <w:p w14:paraId="1D86ECE6">
            <w:pPr>
              <w:pStyle w:val="16"/>
              <w:spacing w:line="360" w:lineRule="auto"/>
              <w:jc w:val="center"/>
              <w:rPr>
                <w:rFonts w:hAnsi="宋体" w:cs="宋体"/>
                <w:highlight w:val="none"/>
              </w:rPr>
            </w:pPr>
          </w:p>
        </w:tc>
      </w:tr>
      <w:tr w14:paraId="5047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440" w:type="dxa"/>
            <w:vAlign w:val="center"/>
          </w:tcPr>
          <w:p w14:paraId="67731A46">
            <w:pPr>
              <w:pStyle w:val="16"/>
              <w:spacing w:line="360" w:lineRule="auto"/>
              <w:jc w:val="center"/>
              <w:rPr>
                <w:rFonts w:hAnsi="宋体" w:cs="宋体"/>
                <w:highlight w:val="none"/>
              </w:rPr>
            </w:pPr>
            <w:r>
              <w:rPr>
                <w:rFonts w:hint="eastAsia" w:hAnsi="宋体" w:cs="宋体"/>
                <w:highlight w:val="none"/>
              </w:rPr>
              <w:t>上年营业收入</w:t>
            </w:r>
          </w:p>
        </w:tc>
        <w:tc>
          <w:tcPr>
            <w:tcW w:w="2191" w:type="dxa"/>
            <w:vAlign w:val="center"/>
          </w:tcPr>
          <w:p w14:paraId="573F4964">
            <w:pPr>
              <w:pStyle w:val="16"/>
              <w:spacing w:line="360" w:lineRule="auto"/>
              <w:jc w:val="center"/>
              <w:rPr>
                <w:rFonts w:hAnsi="宋体" w:cs="宋体"/>
                <w:highlight w:val="none"/>
              </w:rPr>
            </w:pPr>
          </w:p>
        </w:tc>
        <w:tc>
          <w:tcPr>
            <w:tcW w:w="1862" w:type="dxa"/>
            <w:vAlign w:val="center"/>
          </w:tcPr>
          <w:p w14:paraId="6320529E">
            <w:pPr>
              <w:pStyle w:val="16"/>
              <w:spacing w:line="360" w:lineRule="auto"/>
              <w:jc w:val="center"/>
              <w:rPr>
                <w:rFonts w:hAnsi="宋体" w:cs="宋体"/>
                <w:highlight w:val="none"/>
              </w:rPr>
            </w:pPr>
            <w:r>
              <w:rPr>
                <w:rFonts w:hint="eastAsia" w:hAnsi="宋体" w:cs="宋体"/>
                <w:highlight w:val="none"/>
              </w:rPr>
              <w:t>员工总人数</w:t>
            </w:r>
          </w:p>
        </w:tc>
        <w:tc>
          <w:tcPr>
            <w:tcW w:w="2964" w:type="dxa"/>
            <w:vAlign w:val="center"/>
          </w:tcPr>
          <w:p w14:paraId="4BD909D9">
            <w:pPr>
              <w:pStyle w:val="16"/>
              <w:spacing w:line="360" w:lineRule="auto"/>
              <w:jc w:val="center"/>
              <w:rPr>
                <w:rFonts w:hAnsi="宋体" w:cs="宋体"/>
                <w:highlight w:val="none"/>
              </w:rPr>
            </w:pPr>
          </w:p>
        </w:tc>
      </w:tr>
      <w:tr w14:paraId="1814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440" w:type="dxa"/>
            <w:vAlign w:val="center"/>
          </w:tcPr>
          <w:p w14:paraId="3CCDEE71">
            <w:pPr>
              <w:pStyle w:val="16"/>
              <w:spacing w:line="360" w:lineRule="auto"/>
              <w:jc w:val="center"/>
              <w:rPr>
                <w:rFonts w:hAnsi="宋体" w:cs="宋体"/>
                <w:highlight w:val="none"/>
              </w:rPr>
            </w:pPr>
            <w:r>
              <w:rPr>
                <w:rFonts w:hint="eastAsia" w:hAnsi="宋体" w:cs="宋体"/>
                <w:highlight w:val="none"/>
              </w:rPr>
              <w:t>基本账户开户行及账号</w:t>
            </w:r>
          </w:p>
        </w:tc>
        <w:tc>
          <w:tcPr>
            <w:tcW w:w="7017" w:type="dxa"/>
            <w:gridSpan w:val="3"/>
            <w:vAlign w:val="center"/>
          </w:tcPr>
          <w:p w14:paraId="6F55F0BB">
            <w:pPr>
              <w:pStyle w:val="16"/>
              <w:spacing w:line="360" w:lineRule="auto"/>
              <w:jc w:val="center"/>
              <w:rPr>
                <w:rFonts w:hAnsi="宋体" w:cs="宋体"/>
                <w:highlight w:val="none"/>
              </w:rPr>
            </w:pPr>
          </w:p>
        </w:tc>
      </w:tr>
      <w:tr w14:paraId="32D5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440" w:type="dxa"/>
            <w:vAlign w:val="center"/>
          </w:tcPr>
          <w:p w14:paraId="08EAB1B1">
            <w:pPr>
              <w:pStyle w:val="16"/>
              <w:spacing w:line="360" w:lineRule="auto"/>
              <w:jc w:val="center"/>
              <w:rPr>
                <w:rFonts w:hAnsi="宋体" w:cs="宋体"/>
                <w:highlight w:val="none"/>
              </w:rPr>
            </w:pPr>
            <w:r>
              <w:rPr>
                <w:rFonts w:hint="eastAsia" w:hAnsi="宋体" w:cs="宋体"/>
                <w:highlight w:val="none"/>
              </w:rPr>
              <w:t>税务登记机关</w:t>
            </w:r>
          </w:p>
        </w:tc>
        <w:tc>
          <w:tcPr>
            <w:tcW w:w="7017" w:type="dxa"/>
            <w:gridSpan w:val="3"/>
            <w:vAlign w:val="center"/>
          </w:tcPr>
          <w:p w14:paraId="47EBE439">
            <w:pPr>
              <w:pStyle w:val="16"/>
              <w:spacing w:line="360" w:lineRule="auto"/>
              <w:jc w:val="center"/>
              <w:rPr>
                <w:rFonts w:hAnsi="宋体" w:cs="宋体"/>
                <w:highlight w:val="none"/>
              </w:rPr>
            </w:pPr>
          </w:p>
        </w:tc>
      </w:tr>
      <w:tr w14:paraId="0B1E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440" w:type="dxa"/>
            <w:vAlign w:val="center"/>
          </w:tcPr>
          <w:p w14:paraId="18A4453B">
            <w:pPr>
              <w:pStyle w:val="16"/>
              <w:spacing w:line="360" w:lineRule="auto"/>
              <w:jc w:val="center"/>
              <w:rPr>
                <w:rFonts w:hAnsi="宋体" w:cs="宋体"/>
                <w:highlight w:val="none"/>
              </w:rPr>
            </w:pPr>
            <w:r>
              <w:rPr>
                <w:rFonts w:hint="eastAsia" w:hAnsi="宋体" w:cs="宋体"/>
                <w:highlight w:val="none"/>
              </w:rPr>
              <w:t>资质名称</w:t>
            </w:r>
          </w:p>
        </w:tc>
        <w:tc>
          <w:tcPr>
            <w:tcW w:w="2191" w:type="dxa"/>
            <w:vAlign w:val="center"/>
          </w:tcPr>
          <w:p w14:paraId="345774E2">
            <w:pPr>
              <w:pStyle w:val="16"/>
              <w:spacing w:line="360" w:lineRule="auto"/>
              <w:jc w:val="center"/>
              <w:rPr>
                <w:rFonts w:hAnsi="宋体" w:cs="宋体"/>
                <w:highlight w:val="none"/>
              </w:rPr>
            </w:pPr>
            <w:r>
              <w:rPr>
                <w:rFonts w:hint="eastAsia" w:hAnsi="宋体" w:cs="宋体"/>
                <w:highlight w:val="none"/>
              </w:rPr>
              <w:t>等级</w:t>
            </w:r>
          </w:p>
        </w:tc>
        <w:tc>
          <w:tcPr>
            <w:tcW w:w="1862" w:type="dxa"/>
            <w:vAlign w:val="center"/>
          </w:tcPr>
          <w:p w14:paraId="50F8D91C">
            <w:pPr>
              <w:pStyle w:val="16"/>
              <w:spacing w:line="360" w:lineRule="auto"/>
              <w:jc w:val="center"/>
              <w:rPr>
                <w:rFonts w:hAnsi="宋体" w:cs="宋体"/>
                <w:highlight w:val="none"/>
              </w:rPr>
            </w:pPr>
            <w:r>
              <w:rPr>
                <w:rFonts w:hint="eastAsia" w:hAnsi="宋体" w:cs="宋体"/>
                <w:highlight w:val="none"/>
              </w:rPr>
              <w:t>发证机关</w:t>
            </w:r>
          </w:p>
        </w:tc>
        <w:tc>
          <w:tcPr>
            <w:tcW w:w="2964" w:type="dxa"/>
            <w:vAlign w:val="center"/>
          </w:tcPr>
          <w:p w14:paraId="4950B8CB">
            <w:pPr>
              <w:pStyle w:val="16"/>
              <w:spacing w:line="360" w:lineRule="auto"/>
              <w:jc w:val="center"/>
              <w:rPr>
                <w:rFonts w:hAnsi="宋体" w:cs="宋体"/>
                <w:highlight w:val="none"/>
              </w:rPr>
            </w:pPr>
            <w:r>
              <w:rPr>
                <w:rFonts w:hint="eastAsia" w:hAnsi="宋体" w:cs="宋体"/>
                <w:highlight w:val="none"/>
              </w:rPr>
              <w:t>有效期</w:t>
            </w:r>
          </w:p>
        </w:tc>
      </w:tr>
      <w:tr w14:paraId="4904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440" w:type="dxa"/>
            <w:vAlign w:val="center"/>
          </w:tcPr>
          <w:p w14:paraId="2BAD3928">
            <w:pPr>
              <w:pStyle w:val="16"/>
              <w:spacing w:line="360" w:lineRule="auto"/>
              <w:jc w:val="center"/>
              <w:rPr>
                <w:rFonts w:hAnsi="宋体" w:cs="宋体"/>
                <w:highlight w:val="none"/>
              </w:rPr>
            </w:pPr>
          </w:p>
        </w:tc>
        <w:tc>
          <w:tcPr>
            <w:tcW w:w="2191" w:type="dxa"/>
            <w:vAlign w:val="center"/>
          </w:tcPr>
          <w:p w14:paraId="6A6434EF">
            <w:pPr>
              <w:pStyle w:val="16"/>
              <w:spacing w:line="360" w:lineRule="auto"/>
              <w:jc w:val="center"/>
              <w:rPr>
                <w:rFonts w:hAnsi="宋体" w:cs="宋体"/>
                <w:highlight w:val="none"/>
              </w:rPr>
            </w:pPr>
          </w:p>
        </w:tc>
        <w:tc>
          <w:tcPr>
            <w:tcW w:w="1862" w:type="dxa"/>
            <w:vAlign w:val="center"/>
          </w:tcPr>
          <w:p w14:paraId="4F62CBB1">
            <w:pPr>
              <w:pStyle w:val="16"/>
              <w:spacing w:line="360" w:lineRule="auto"/>
              <w:jc w:val="center"/>
              <w:rPr>
                <w:rFonts w:hAnsi="宋体" w:cs="宋体"/>
                <w:highlight w:val="none"/>
              </w:rPr>
            </w:pPr>
          </w:p>
        </w:tc>
        <w:tc>
          <w:tcPr>
            <w:tcW w:w="2964" w:type="dxa"/>
            <w:vAlign w:val="center"/>
          </w:tcPr>
          <w:p w14:paraId="04A8D519">
            <w:pPr>
              <w:pStyle w:val="16"/>
              <w:spacing w:line="360" w:lineRule="auto"/>
              <w:jc w:val="center"/>
              <w:rPr>
                <w:rFonts w:hAnsi="宋体" w:cs="宋体"/>
                <w:highlight w:val="none"/>
              </w:rPr>
            </w:pPr>
          </w:p>
        </w:tc>
      </w:tr>
      <w:tr w14:paraId="62BD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440" w:type="dxa"/>
            <w:vAlign w:val="center"/>
          </w:tcPr>
          <w:p w14:paraId="6CA82B0B">
            <w:pPr>
              <w:pStyle w:val="16"/>
              <w:spacing w:line="360" w:lineRule="auto"/>
              <w:jc w:val="center"/>
              <w:rPr>
                <w:rFonts w:hAnsi="宋体" w:cs="宋体"/>
                <w:highlight w:val="none"/>
              </w:rPr>
            </w:pPr>
          </w:p>
        </w:tc>
        <w:tc>
          <w:tcPr>
            <w:tcW w:w="2191" w:type="dxa"/>
            <w:vAlign w:val="center"/>
          </w:tcPr>
          <w:p w14:paraId="0401EB25">
            <w:pPr>
              <w:pStyle w:val="16"/>
              <w:spacing w:line="360" w:lineRule="auto"/>
              <w:jc w:val="center"/>
              <w:rPr>
                <w:rFonts w:hAnsi="宋体" w:cs="宋体"/>
                <w:highlight w:val="none"/>
              </w:rPr>
            </w:pPr>
          </w:p>
        </w:tc>
        <w:tc>
          <w:tcPr>
            <w:tcW w:w="1862" w:type="dxa"/>
            <w:vAlign w:val="center"/>
          </w:tcPr>
          <w:p w14:paraId="6E8FA642">
            <w:pPr>
              <w:pStyle w:val="16"/>
              <w:spacing w:line="360" w:lineRule="auto"/>
              <w:jc w:val="center"/>
              <w:rPr>
                <w:rFonts w:hAnsi="宋体" w:cs="宋体"/>
                <w:highlight w:val="none"/>
              </w:rPr>
            </w:pPr>
          </w:p>
        </w:tc>
        <w:tc>
          <w:tcPr>
            <w:tcW w:w="2964" w:type="dxa"/>
            <w:vAlign w:val="center"/>
          </w:tcPr>
          <w:p w14:paraId="1A672574">
            <w:pPr>
              <w:pStyle w:val="16"/>
              <w:spacing w:line="360" w:lineRule="auto"/>
              <w:jc w:val="center"/>
              <w:rPr>
                <w:rFonts w:hAnsi="宋体" w:cs="宋体"/>
                <w:highlight w:val="none"/>
              </w:rPr>
            </w:pPr>
          </w:p>
        </w:tc>
      </w:tr>
      <w:tr w14:paraId="3F88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440" w:type="dxa"/>
            <w:vAlign w:val="center"/>
          </w:tcPr>
          <w:p w14:paraId="0C79B088">
            <w:pPr>
              <w:pStyle w:val="16"/>
              <w:spacing w:line="360" w:lineRule="auto"/>
              <w:jc w:val="center"/>
              <w:rPr>
                <w:rFonts w:hAnsi="宋体" w:cs="宋体"/>
                <w:highlight w:val="none"/>
              </w:rPr>
            </w:pPr>
            <w:r>
              <w:rPr>
                <w:rFonts w:hint="eastAsia" w:hAnsi="宋体" w:cs="宋体"/>
                <w:highlight w:val="none"/>
              </w:rPr>
              <w:t>备注</w:t>
            </w:r>
          </w:p>
        </w:tc>
        <w:tc>
          <w:tcPr>
            <w:tcW w:w="7017" w:type="dxa"/>
            <w:gridSpan w:val="3"/>
            <w:vAlign w:val="center"/>
          </w:tcPr>
          <w:p w14:paraId="7CDABDAC">
            <w:pPr>
              <w:pStyle w:val="16"/>
              <w:spacing w:line="360" w:lineRule="auto"/>
              <w:jc w:val="center"/>
              <w:rPr>
                <w:rFonts w:hAnsi="宋体" w:cs="宋体"/>
                <w:highlight w:val="none"/>
              </w:rPr>
            </w:pPr>
          </w:p>
        </w:tc>
      </w:tr>
    </w:tbl>
    <w:p w14:paraId="5EF0946B">
      <w:pPr>
        <w:topLinePunct/>
        <w:autoSpaceDE w:val="0"/>
        <w:autoSpaceDN w:val="0"/>
        <w:spacing w:line="500" w:lineRule="exact"/>
        <w:ind w:firstLine="480"/>
        <w:rPr>
          <w:rFonts w:ascii="宋体" w:hAnsi="宋体" w:cs="宋体"/>
          <w:sz w:val="24"/>
          <w:highlight w:val="none"/>
        </w:rPr>
      </w:pPr>
    </w:p>
    <w:p w14:paraId="38C6E1C1">
      <w:pPr>
        <w:tabs>
          <w:tab w:val="left" w:pos="123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w:t>
      </w:r>
      <w:r>
        <w:rPr>
          <w:rFonts w:hint="eastAsia" w:ascii="宋体" w:hAnsi="宋体" w:cs="宋体"/>
          <w:kern w:val="0"/>
          <w:szCs w:val="21"/>
          <w:highlight w:val="none"/>
        </w:rPr>
        <w:t>（全称并加盖公章</w:t>
      </w:r>
      <w:r>
        <w:rPr>
          <w:rFonts w:hint="eastAsia" w:ascii="宋体" w:hAnsi="宋体" w:cs="宋体"/>
          <w:szCs w:val="21"/>
          <w:highlight w:val="none"/>
        </w:rPr>
        <w:t>）：</w:t>
      </w:r>
      <w:r>
        <w:rPr>
          <w:rFonts w:hint="eastAsia" w:ascii="宋体" w:hAnsi="宋体" w:cs="宋体"/>
          <w:highlight w:val="none"/>
        </w:rPr>
        <w:t>____________</w:t>
      </w:r>
    </w:p>
    <w:p w14:paraId="2DB00A9E">
      <w:pPr>
        <w:tabs>
          <w:tab w:val="left" w:pos="123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kern w:val="0"/>
          <w:szCs w:val="21"/>
          <w:highlight w:val="none"/>
        </w:rPr>
        <w:t>投标人代表（签字或盖章）</w:t>
      </w:r>
      <w:r>
        <w:rPr>
          <w:rFonts w:hint="eastAsia" w:ascii="宋体" w:hAnsi="宋体" w:cs="宋体"/>
          <w:szCs w:val="21"/>
          <w:highlight w:val="none"/>
        </w:rPr>
        <w:t>：</w:t>
      </w:r>
      <w:r>
        <w:rPr>
          <w:rFonts w:hint="eastAsia" w:ascii="宋体" w:hAnsi="宋体" w:cs="宋体"/>
          <w:highlight w:val="none"/>
        </w:rPr>
        <w:t>____________</w:t>
      </w:r>
    </w:p>
    <w:p w14:paraId="44729B65">
      <w:pPr>
        <w:tabs>
          <w:tab w:val="left" w:pos="123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日期：</w:t>
      </w:r>
      <w:r>
        <w:rPr>
          <w:rFonts w:hint="eastAsia" w:ascii="宋体" w:hAnsi="宋体" w:cs="宋体"/>
          <w:highlight w:val="none"/>
        </w:rPr>
        <w:t>____________</w:t>
      </w:r>
    </w:p>
    <w:p w14:paraId="54AD5F3A">
      <w:pPr>
        <w:pStyle w:val="16"/>
        <w:ind w:firstLine="420" w:firstLineChars="200"/>
        <w:rPr>
          <w:rFonts w:hAnsi="宋体" w:cs="宋体"/>
          <w:highlight w:val="none"/>
        </w:rPr>
      </w:pPr>
    </w:p>
    <w:p w14:paraId="3B61499E">
      <w:pPr>
        <w:widowControl/>
        <w:ind w:firstLine="723"/>
        <w:jc w:val="center"/>
        <w:rPr>
          <w:rFonts w:ascii="宋体" w:hAnsi="宋体" w:cs="宋体"/>
          <w:b/>
          <w:bCs/>
          <w:sz w:val="36"/>
          <w:szCs w:val="36"/>
          <w:highlight w:val="none"/>
        </w:rPr>
      </w:pPr>
      <w:r>
        <w:rPr>
          <w:rFonts w:hint="eastAsia" w:ascii="宋体" w:hAnsi="宋体" w:cs="宋体"/>
          <w:b/>
          <w:bCs/>
          <w:sz w:val="36"/>
          <w:szCs w:val="36"/>
          <w:highlight w:val="none"/>
        </w:rPr>
        <w:br w:type="page"/>
      </w:r>
    </w:p>
    <w:p w14:paraId="27D19114">
      <w:pPr>
        <w:widowControl/>
        <w:ind w:firstLine="562"/>
        <w:jc w:val="center"/>
        <w:rPr>
          <w:rFonts w:ascii="宋体" w:hAnsi="宋体" w:cs="宋体"/>
          <w:b/>
          <w:bCs/>
          <w:sz w:val="28"/>
          <w:szCs w:val="28"/>
          <w:highlight w:val="none"/>
        </w:rPr>
      </w:pPr>
      <w:r>
        <w:rPr>
          <w:rFonts w:hint="eastAsia" w:ascii="宋体" w:hAnsi="宋体" w:cs="宋体"/>
          <w:b/>
          <w:bCs/>
          <w:sz w:val="28"/>
          <w:szCs w:val="28"/>
          <w:highlight w:val="none"/>
        </w:rPr>
        <w:t>5-2 财务状况报告</w:t>
      </w:r>
    </w:p>
    <w:p w14:paraId="54208744">
      <w:pPr>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根据资格条件要求提供相应材料。</w:t>
      </w:r>
    </w:p>
    <w:p w14:paraId="312CE7A7">
      <w:pPr>
        <w:spacing w:line="360" w:lineRule="auto"/>
        <w:ind w:firstLine="480" w:firstLineChars="200"/>
        <w:jc w:val="left"/>
        <w:rPr>
          <w:rFonts w:ascii="宋体" w:hAnsi="宋体" w:cs="宋体"/>
          <w:kern w:val="0"/>
          <w:sz w:val="24"/>
          <w:highlight w:val="none"/>
        </w:rPr>
      </w:pPr>
    </w:p>
    <w:p w14:paraId="64A3A948">
      <w:pPr>
        <w:spacing w:line="360" w:lineRule="auto"/>
        <w:ind w:firstLine="480" w:firstLineChars="200"/>
        <w:jc w:val="left"/>
        <w:rPr>
          <w:rFonts w:ascii="宋体" w:hAnsi="宋体" w:cs="宋体"/>
          <w:kern w:val="0"/>
          <w:sz w:val="24"/>
          <w:highlight w:val="none"/>
        </w:rPr>
      </w:pPr>
    </w:p>
    <w:p w14:paraId="140421AD">
      <w:pPr>
        <w:spacing w:line="360" w:lineRule="auto"/>
        <w:ind w:firstLine="480" w:firstLineChars="200"/>
        <w:jc w:val="left"/>
        <w:rPr>
          <w:rFonts w:ascii="宋体" w:hAnsi="宋体" w:cs="宋体"/>
          <w:kern w:val="0"/>
          <w:sz w:val="24"/>
          <w:highlight w:val="none"/>
        </w:rPr>
      </w:pPr>
    </w:p>
    <w:p w14:paraId="27E46750">
      <w:pPr>
        <w:spacing w:line="360" w:lineRule="auto"/>
        <w:ind w:firstLine="480" w:firstLineChars="200"/>
        <w:jc w:val="left"/>
        <w:rPr>
          <w:rFonts w:ascii="宋体" w:hAnsi="宋体" w:cs="宋体"/>
          <w:kern w:val="0"/>
          <w:sz w:val="24"/>
          <w:highlight w:val="none"/>
        </w:rPr>
      </w:pPr>
    </w:p>
    <w:p w14:paraId="052F6D4A">
      <w:pPr>
        <w:spacing w:line="360" w:lineRule="auto"/>
        <w:ind w:firstLine="562"/>
        <w:jc w:val="center"/>
        <w:rPr>
          <w:rFonts w:ascii="宋体" w:hAnsi="宋体" w:cs="宋体"/>
          <w:b/>
          <w:bCs/>
          <w:sz w:val="28"/>
          <w:szCs w:val="28"/>
          <w:highlight w:val="none"/>
        </w:rPr>
      </w:pPr>
      <w:r>
        <w:rPr>
          <w:rFonts w:hint="eastAsia" w:ascii="宋体" w:hAnsi="宋体" w:cs="宋体"/>
          <w:b/>
          <w:bCs/>
          <w:sz w:val="28"/>
          <w:szCs w:val="28"/>
          <w:highlight w:val="none"/>
        </w:rPr>
        <w:t>5-3 依法缴纳税收的相关材料</w:t>
      </w:r>
    </w:p>
    <w:p w14:paraId="797C0223">
      <w:pPr>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根据资格条件要求提供相应材料。</w:t>
      </w:r>
    </w:p>
    <w:p w14:paraId="75DD63B8">
      <w:pPr>
        <w:spacing w:line="360" w:lineRule="auto"/>
        <w:ind w:firstLine="480" w:firstLineChars="200"/>
        <w:jc w:val="left"/>
        <w:rPr>
          <w:rFonts w:ascii="宋体" w:hAnsi="宋体" w:cs="宋体"/>
          <w:kern w:val="0"/>
          <w:sz w:val="24"/>
          <w:highlight w:val="none"/>
        </w:rPr>
      </w:pPr>
    </w:p>
    <w:p w14:paraId="1D82B6AD">
      <w:pPr>
        <w:spacing w:line="360" w:lineRule="auto"/>
        <w:ind w:firstLine="480" w:firstLineChars="200"/>
        <w:jc w:val="left"/>
        <w:rPr>
          <w:rFonts w:ascii="宋体" w:hAnsi="宋体" w:cs="宋体"/>
          <w:kern w:val="0"/>
          <w:sz w:val="24"/>
          <w:highlight w:val="none"/>
        </w:rPr>
      </w:pPr>
    </w:p>
    <w:p w14:paraId="5767334B">
      <w:pPr>
        <w:spacing w:line="360" w:lineRule="auto"/>
        <w:ind w:firstLine="480" w:firstLineChars="200"/>
        <w:jc w:val="left"/>
        <w:rPr>
          <w:rFonts w:ascii="宋体" w:hAnsi="宋体" w:cs="宋体"/>
          <w:kern w:val="0"/>
          <w:sz w:val="24"/>
          <w:highlight w:val="none"/>
        </w:rPr>
      </w:pPr>
    </w:p>
    <w:p w14:paraId="0D3BCF0F">
      <w:pPr>
        <w:spacing w:line="360" w:lineRule="auto"/>
        <w:ind w:firstLine="480" w:firstLineChars="200"/>
        <w:jc w:val="left"/>
        <w:rPr>
          <w:rFonts w:ascii="宋体" w:hAnsi="宋体" w:cs="宋体"/>
          <w:kern w:val="0"/>
          <w:sz w:val="24"/>
          <w:highlight w:val="none"/>
        </w:rPr>
      </w:pPr>
    </w:p>
    <w:p w14:paraId="5D6A2ABF">
      <w:pPr>
        <w:spacing w:line="360" w:lineRule="auto"/>
        <w:ind w:firstLine="562"/>
        <w:jc w:val="center"/>
        <w:rPr>
          <w:rFonts w:ascii="宋体" w:hAnsi="宋体" w:cs="宋体"/>
          <w:b/>
          <w:bCs/>
          <w:sz w:val="28"/>
          <w:szCs w:val="28"/>
          <w:highlight w:val="none"/>
        </w:rPr>
      </w:pPr>
      <w:r>
        <w:rPr>
          <w:rFonts w:hint="eastAsia" w:ascii="宋体" w:hAnsi="宋体" w:cs="宋体"/>
          <w:b/>
          <w:bCs/>
          <w:sz w:val="28"/>
          <w:szCs w:val="28"/>
          <w:highlight w:val="none"/>
        </w:rPr>
        <w:t>5-4 依法缴纳社会保障资金的相关材料</w:t>
      </w:r>
    </w:p>
    <w:p w14:paraId="668E0DE0">
      <w:pPr>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根据资格条件要求提供相应材料。</w:t>
      </w:r>
    </w:p>
    <w:p w14:paraId="442A778B">
      <w:pPr>
        <w:spacing w:line="360" w:lineRule="auto"/>
        <w:ind w:firstLine="480" w:firstLineChars="200"/>
        <w:jc w:val="left"/>
        <w:rPr>
          <w:rFonts w:ascii="宋体" w:hAnsi="宋体" w:cs="宋体"/>
          <w:kern w:val="0"/>
          <w:sz w:val="24"/>
          <w:highlight w:val="none"/>
        </w:rPr>
      </w:pPr>
    </w:p>
    <w:p w14:paraId="2DFDAE20">
      <w:pPr>
        <w:spacing w:line="360" w:lineRule="auto"/>
        <w:ind w:firstLine="480" w:firstLineChars="200"/>
        <w:jc w:val="left"/>
        <w:rPr>
          <w:rFonts w:ascii="宋体" w:hAnsi="宋体" w:cs="宋体"/>
          <w:kern w:val="0"/>
          <w:sz w:val="24"/>
          <w:highlight w:val="none"/>
        </w:rPr>
      </w:pPr>
    </w:p>
    <w:p w14:paraId="0ED33283">
      <w:pPr>
        <w:spacing w:line="360" w:lineRule="auto"/>
        <w:ind w:firstLine="480" w:firstLineChars="200"/>
        <w:jc w:val="left"/>
        <w:rPr>
          <w:rFonts w:ascii="宋体" w:hAnsi="宋体" w:cs="宋体"/>
          <w:kern w:val="0"/>
          <w:sz w:val="24"/>
          <w:highlight w:val="none"/>
        </w:rPr>
      </w:pPr>
    </w:p>
    <w:p w14:paraId="528BA943">
      <w:pPr>
        <w:spacing w:line="360" w:lineRule="auto"/>
        <w:ind w:firstLine="480" w:firstLineChars="200"/>
        <w:jc w:val="left"/>
        <w:rPr>
          <w:rFonts w:ascii="宋体" w:hAnsi="宋体" w:cs="宋体"/>
          <w:kern w:val="0"/>
          <w:sz w:val="24"/>
          <w:highlight w:val="none"/>
        </w:rPr>
      </w:pPr>
    </w:p>
    <w:p w14:paraId="1B18D686">
      <w:pPr>
        <w:spacing w:line="360" w:lineRule="auto"/>
        <w:ind w:firstLine="562"/>
        <w:jc w:val="center"/>
        <w:rPr>
          <w:rFonts w:ascii="宋体" w:hAnsi="宋体" w:cs="宋体"/>
          <w:b/>
          <w:bCs/>
          <w:sz w:val="28"/>
          <w:szCs w:val="28"/>
          <w:highlight w:val="none"/>
        </w:rPr>
      </w:pPr>
      <w:r>
        <w:rPr>
          <w:rFonts w:hint="eastAsia" w:ascii="宋体" w:hAnsi="宋体" w:cs="宋体"/>
          <w:b/>
          <w:bCs/>
          <w:sz w:val="28"/>
          <w:szCs w:val="28"/>
          <w:highlight w:val="none"/>
        </w:rPr>
        <w:t>5-5 具备履行合同所必需的设备和专业技术能力的证明材料</w:t>
      </w:r>
    </w:p>
    <w:p w14:paraId="6CBD2FAE">
      <w:pPr>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根据资格条件要求提供相应材料。</w:t>
      </w:r>
    </w:p>
    <w:p w14:paraId="64387908">
      <w:pPr>
        <w:adjustRightInd w:val="0"/>
        <w:snapToGrid w:val="0"/>
        <w:spacing w:line="360" w:lineRule="auto"/>
        <w:ind w:firstLine="723"/>
        <w:jc w:val="center"/>
        <w:rPr>
          <w:rFonts w:ascii="宋体" w:hAnsi="宋体" w:cs="宋体"/>
          <w:b/>
          <w:bCs/>
          <w:sz w:val="36"/>
          <w:szCs w:val="36"/>
          <w:highlight w:val="none"/>
        </w:rPr>
      </w:pPr>
      <w:r>
        <w:rPr>
          <w:rFonts w:hint="eastAsia" w:ascii="宋体" w:hAnsi="宋体" w:cs="宋体"/>
          <w:b/>
          <w:bCs/>
          <w:sz w:val="36"/>
          <w:szCs w:val="36"/>
          <w:highlight w:val="none"/>
        </w:rPr>
        <w:br w:type="page"/>
      </w:r>
    </w:p>
    <w:p w14:paraId="6FC252A3">
      <w:pPr>
        <w:adjustRightInd w:val="0"/>
        <w:snapToGrid w:val="0"/>
        <w:spacing w:line="360" w:lineRule="auto"/>
        <w:ind w:firstLine="562"/>
        <w:jc w:val="center"/>
        <w:rPr>
          <w:rFonts w:ascii="宋体" w:hAnsi="宋体" w:cs="宋体"/>
          <w:b/>
          <w:bCs/>
          <w:sz w:val="28"/>
          <w:szCs w:val="28"/>
          <w:highlight w:val="none"/>
        </w:rPr>
      </w:pPr>
      <w:r>
        <w:rPr>
          <w:rFonts w:hint="eastAsia" w:ascii="宋体" w:hAnsi="宋体" w:cs="宋体"/>
          <w:b/>
          <w:bCs/>
          <w:sz w:val="28"/>
          <w:szCs w:val="28"/>
          <w:highlight w:val="none"/>
        </w:rPr>
        <w:t>5-6 参加本次政府采购活动前三年内在经营活动中</w:t>
      </w:r>
    </w:p>
    <w:p w14:paraId="2981E937">
      <w:pPr>
        <w:snapToGrid w:val="0"/>
        <w:spacing w:line="360" w:lineRule="auto"/>
        <w:ind w:firstLine="562"/>
        <w:jc w:val="center"/>
        <w:rPr>
          <w:rFonts w:ascii="宋体" w:hAnsi="宋体" w:cs="宋体"/>
          <w:b/>
          <w:bCs/>
          <w:sz w:val="28"/>
          <w:szCs w:val="28"/>
          <w:highlight w:val="none"/>
        </w:rPr>
      </w:pPr>
      <w:r>
        <w:rPr>
          <w:rFonts w:hint="eastAsia" w:ascii="宋体" w:hAnsi="宋体" w:cs="宋体"/>
          <w:b/>
          <w:bCs/>
          <w:sz w:val="28"/>
          <w:szCs w:val="28"/>
          <w:highlight w:val="none"/>
        </w:rPr>
        <w:t>没有重大违法记录的书面声明</w:t>
      </w:r>
    </w:p>
    <w:p w14:paraId="24B44515">
      <w:pPr>
        <w:spacing w:line="360" w:lineRule="auto"/>
        <w:ind w:firstLine="420" w:firstLineChars="200"/>
        <w:rPr>
          <w:rFonts w:ascii="宋体" w:hAnsi="宋体" w:cs="宋体"/>
          <w:highlight w:val="none"/>
        </w:rPr>
      </w:pPr>
    </w:p>
    <w:p w14:paraId="2453F7B6">
      <w:pPr>
        <w:spacing w:line="360" w:lineRule="auto"/>
        <w:rPr>
          <w:rFonts w:ascii="宋体" w:hAnsi="宋体" w:cs="宋体"/>
          <w:highlight w:val="none"/>
        </w:rPr>
      </w:pPr>
      <w:r>
        <w:rPr>
          <w:rFonts w:hint="eastAsia" w:ascii="宋体" w:hAnsi="宋体" w:cs="宋体"/>
          <w:highlight w:val="none"/>
        </w:rPr>
        <w:t>致________（采购人或采购代理机构）：</w:t>
      </w:r>
    </w:p>
    <w:p w14:paraId="03CB8804">
      <w:pPr>
        <w:spacing w:line="360" w:lineRule="auto"/>
        <w:ind w:firstLine="420" w:firstLineChars="200"/>
        <w:rPr>
          <w:rFonts w:ascii="宋体" w:hAnsi="宋体" w:cs="宋体"/>
          <w:highlight w:val="none"/>
        </w:rPr>
      </w:pPr>
      <w:r>
        <w:rPr>
          <w:rFonts w:hint="eastAsia" w:ascii="宋体" w:hAnsi="宋体" w:cs="宋体"/>
          <w:highlight w:val="none"/>
        </w:rPr>
        <w:t>我单位在参加本次采购活动前三年内在经营活动中没有《政府采购法》第二十二条第一款第（五）项所称重大违法记录，包括：</w:t>
      </w:r>
    </w:p>
    <w:p w14:paraId="5032E6AD">
      <w:pPr>
        <w:spacing w:line="360" w:lineRule="auto"/>
        <w:ind w:firstLine="420" w:firstLineChars="200"/>
        <w:rPr>
          <w:rFonts w:ascii="宋体" w:hAnsi="宋体" w:cs="宋体"/>
          <w:highlight w:val="none"/>
        </w:rPr>
      </w:pPr>
      <w:r>
        <w:rPr>
          <w:rFonts w:hint="eastAsia" w:ascii="宋体" w:hAnsi="宋体" w:cs="宋体"/>
          <w:highlight w:val="none"/>
        </w:rPr>
        <w:t>我单位未因经营活动中的违法行为受到刑事处罚或者责令停产停业、吊销许可证或者执照、较大数额罚款等行政处罚。</w:t>
      </w:r>
    </w:p>
    <w:p w14:paraId="29438231">
      <w:pPr>
        <w:spacing w:line="360" w:lineRule="auto"/>
        <w:ind w:firstLine="420" w:firstLineChars="200"/>
        <w:rPr>
          <w:rFonts w:ascii="宋体" w:hAnsi="宋体" w:cs="宋体"/>
          <w:highlight w:val="none"/>
        </w:rPr>
      </w:pPr>
      <w:r>
        <w:rPr>
          <w:rFonts w:hint="eastAsia" w:ascii="宋体" w:hAnsi="宋体" w:cs="宋体"/>
          <w:highlight w:val="none"/>
        </w:rPr>
        <w:t>特此声明！</w:t>
      </w:r>
    </w:p>
    <w:p w14:paraId="3F129E07">
      <w:pPr>
        <w:spacing w:line="360" w:lineRule="auto"/>
        <w:ind w:firstLine="420" w:firstLineChars="200"/>
        <w:rPr>
          <w:rFonts w:ascii="宋体" w:hAnsi="宋体" w:cs="宋体"/>
          <w:highlight w:val="none"/>
        </w:rPr>
      </w:pPr>
    </w:p>
    <w:p w14:paraId="38DCDA26">
      <w:pPr>
        <w:spacing w:line="360" w:lineRule="auto"/>
        <w:ind w:firstLine="420" w:firstLineChars="200"/>
        <w:rPr>
          <w:rFonts w:ascii="宋体" w:hAnsi="宋体" w:cs="宋体"/>
          <w:highlight w:val="none"/>
        </w:rPr>
      </w:pPr>
      <w:r>
        <w:rPr>
          <w:rFonts w:hint="eastAsia" w:ascii="宋体" w:hAnsi="宋体" w:cs="宋体"/>
          <w:highlight w:val="none"/>
        </w:rPr>
        <w:t>（请投标人根据实际情况如实声明，否则视为提供虚假材料。）</w:t>
      </w:r>
    </w:p>
    <w:p w14:paraId="31B33705">
      <w:pPr>
        <w:spacing w:line="360" w:lineRule="auto"/>
        <w:ind w:firstLine="420" w:firstLineChars="200"/>
        <w:rPr>
          <w:rFonts w:ascii="宋体" w:hAnsi="宋体" w:cs="宋体"/>
          <w:highlight w:val="none"/>
        </w:rPr>
      </w:pPr>
    </w:p>
    <w:p w14:paraId="2BCBC166">
      <w:pPr>
        <w:spacing w:line="360" w:lineRule="auto"/>
        <w:ind w:firstLine="420" w:firstLineChars="200"/>
        <w:rPr>
          <w:rFonts w:ascii="宋体" w:hAnsi="宋体" w:cs="宋体"/>
          <w:highlight w:val="none"/>
        </w:rPr>
      </w:pPr>
    </w:p>
    <w:p w14:paraId="5A7B3BDF">
      <w:pPr>
        <w:spacing w:line="360" w:lineRule="auto"/>
        <w:ind w:firstLine="420" w:firstLineChars="200"/>
        <w:rPr>
          <w:rFonts w:ascii="宋体" w:hAnsi="宋体" w:cs="宋体"/>
          <w:highlight w:val="none"/>
        </w:rPr>
      </w:pPr>
    </w:p>
    <w:p w14:paraId="327211AB">
      <w:pPr>
        <w:spacing w:line="360" w:lineRule="auto"/>
        <w:ind w:firstLine="420" w:firstLineChars="200"/>
        <w:rPr>
          <w:rFonts w:ascii="宋体" w:hAnsi="宋体" w:cs="宋体"/>
          <w:highlight w:val="none"/>
        </w:rPr>
      </w:pPr>
    </w:p>
    <w:p w14:paraId="6BC8F951">
      <w:pPr>
        <w:tabs>
          <w:tab w:val="left" w:pos="123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w:t>
      </w:r>
      <w:r>
        <w:rPr>
          <w:rFonts w:hint="eastAsia" w:ascii="宋体" w:hAnsi="宋体" w:cs="宋体"/>
          <w:kern w:val="0"/>
          <w:szCs w:val="21"/>
          <w:highlight w:val="none"/>
        </w:rPr>
        <w:t>（全称并加盖公章</w:t>
      </w:r>
      <w:r>
        <w:rPr>
          <w:rFonts w:hint="eastAsia" w:ascii="宋体" w:hAnsi="宋体" w:cs="宋体"/>
          <w:szCs w:val="21"/>
          <w:highlight w:val="none"/>
        </w:rPr>
        <w:t>）：</w:t>
      </w:r>
      <w:r>
        <w:rPr>
          <w:rFonts w:hint="eastAsia" w:ascii="宋体" w:hAnsi="宋体" w:cs="宋体"/>
          <w:highlight w:val="none"/>
        </w:rPr>
        <w:t>____________</w:t>
      </w:r>
    </w:p>
    <w:p w14:paraId="3B48E12A">
      <w:pPr>
        <w:tabs>
          <w:tab w:val="left" w:pos="123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kern w:val="0"/>
          <w:szCs w:val="21"/>
          <w:highlight w:val="none"/>
        </w:rPr>
        <w:t>投标人代表（签字或盖章）</w:t>
      </w:r>
      <w:r>
        <w:rPr>
          <w:rFonts w:hint="eastAsia" w:ascii="宋体" w:hAnsi="宋体" w:cs="宋体"/>
          <w:szCs w:val="21"/>
          <w:highlight w:val="none"/>
        </w:rPr>
        <w:t>：</w:t>
      </w:r>
      <w:r>
        <w:rPr>
          <w:rFonts w:hint="eastAsia" w:ascii="宋体" w:hAnsi="宋体" w:cs="宋体"/>
          <w:highlight w:val="none"/>
        </w:rPr>
        <w:t>____________</w:t>
      </w:r>
    </w:p>
    <w:p w14:paraId="7FCB3BA7">
      <w:pPr>
        <w:tabs>
          <w:tab w:val="left" w:pos="123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日期：</w:t>
      </w:r>
      <w:r>
        <w:rPr>
          <w:rFonts w:hint="eastAsia" w:ascii="宋体" w:hAnsi="宋体" w:cs="宋体"/>
          <w:highlight w:val="none"/>
        </w:rPr>
        <w:t>____________</w:t>
      </w:r>
    </w:p>
    <w:p w14:paraId="57E52BDE">
      <w:pPr>
        <w:spacing w:line="360" w:lineRule="auto"/>
        <w:ind w:firstLine="420" w:firstLineChars="200"/>
        <w:rPr>
          <w:rFonts w:ascii="宋体" w:hAnsi="宋体" w:cs="宋体"/>
          <w:highlight w:val="none"/>
        </w:rPr>
      </w:pPr>
      <w:r>
        <w:rPr>
          <w:rFonts w:hint="eastAsia" w:ascii="宋体" w:hAnsi="宋体" w:cs="宋体"/>
          <w:highlight w:val="none"/>
        </w:rPr>
        <w:t xml:space="preserve">                                 </w:t>
      </w:r>
    </w:p>
    <w:p w14:paraId="549C5F42">
      <w:pPr>
        <w:widowControl/>
        <w:jc w:val="center"/>
        <w:rPr>
          <w:rFonts w:ascii="宋体" w:hAnsi="宋体" w:cs="宋体"/>
          <w:szCs w:val="21"/>
          <w:highlight w:val="none"/>
        </w:rPr>
      </w:pPr>
      <w:r>
        <w:rPr>
          <w:rFonts w:hint="eastAsia" w:ascii="宋体" w:hAnsi="宋体" w:cs="宋体"/>
          <w:szCs w:val="21"/>
          <w:highlight w:val="none"/>
        </w:rPr>
        <w:br w:type="page"/>
      </w:r>
    </w:p>
    <w:p w14:paraId="6A0F17ED">
      <w:pPr>
        <w:widowControl/>
        <w:jc w:val="center"/>
        <w:rPr>
          <w:rFonts w:ascii="宋体" w:hAnsi="宋体" w:cs="宋体"/>
          <w:szCs w:val="21"/>
          <w:highlight w:val="none"/>
        </w:rPr>
      </w:pPr>
    </w:p>
    <w:p w14:paraId="661A2FE8">
      <w:pPr>
        <w:widowControl/>
        <w:ind w:firstLine="562"/>
        <w:jc w:val="center"/>
        <w:rPr>
          <w:rFonts w:ascii="宋体" w:hAnsi="宋体" w:cs="宋体"/>
          <w:b/>
          <w:bCs/>
          <w:sz w:val="28"/>
          <w:szCs w:val="28"/>
          <w:highlight w:val="none"/>
        </w:rPr>
      </w:pPr>
      <w:r>
        <w:rPr>
          <w:rFonts w:ascii="宋体" w:hAnsi="宋体" w:cs="宋体"/>
          <w:b/>
          <w:bCs/>
          <w:sz w:val="28"/>
          <w:szCs w:val="28"/>
          <w:highlight w:val="none"/>
        </w:rPr>
        <w:t xml:space="preserve">5-7 </w:t>
      </w:r>
      <w:r>
        <w:rPr>
          <w:rFonts w:hint="eastAsia" w:ascii="宋体" w:hAnsi="宋体" w:cs="宋体"/>
          <w:b/>
          <w:bCs/>
          <w:sz w:val="28"/>
          <w:szCs w:val="28"/>
          <w:highlight w:val="none"/>
        </w:rPr>
        <w:t>具备法律、行政法规规定的其他条件的证明材料</w:t>
      </w:r>
    </w:p>
    <w:p w14:paraId="0444B9B8">
      <w:pPr>
        <w:spacing w:line="360" w:lineRule="auto"/>
        <w:ind w:firstLine="420" w:firstLineChars="200"/>
        <w:jc w:val="left"/>
        <w:rPr>
          <w:rFonts w:ascii="宋体" w:hAnsi="宋体" w:cs="宋体"/>
          <w:kern w:val="0"/>
          <w:szCs w:val="21"/>
          <w:highlight w:val="none"/>
        </w:rPr>
      </w:pPr>
    </w:p>
    <w:p w14:paraId="2F177FED">
      <w:pPr>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根据资格条件要求提供相应材料。</w:t>
      </w:r>
    </w:p>
    <w:p w14:paraId="14A336AD">
      <w:pPr>
        <w:widowControl/>
        <w:ind w:firstLine="723"/>
        <w:jc w:val="center"/>
        <w:rPr>
          <w:rFonts w:ascii="宋体" w:hAnsi="宋体" w:cs="宋体"/>
          <w:b/>
          <w:bCs/>
          <w:sz w:val="36"/>
          <w:szCs w:val="36"/>
          <w:highlight w:val="none"/>
        </w:rPr>
      </w:pPr>
      <w:r>
        <w:rPr>
          <w:rFonts w:hint="eastAsia" w:ascii="宋体" w:hAnsi="宋体" w:cs="宋体"/>
          <w:b/>
          <w:bCs/>
          <w:sz w:val="36"/>
          <w:szCs w:val="36"/>
          <w:highlight w:val="none"/>
        </w:rPr>
        <w:br w:type="page"/>
      </w:r>
    </w:p>
    <w:p w14:paraId="6A730298">
      <w:pPr>
        <w:widowControl/>
        <w:ind w:firstLine="562"/>
        <w:jc w:val="center"/>
        <w:rPr>
          <w:rFonts w:ascii="宋体" w:hAnsi="宋体" w:cs="宋体"/>
          <w:b/>
          <w:bCs/>
          <w:sz w:val="28"/>
          <w:szCs w:val="28"/>
          <w:highlight w:val="none"/>
        </w:rPr>
      </w:pPr>
      <w:r>
        <w:rPr>
          <w:rFonts w:hint="eastAsia" w:ascii="宋体" w:hAnsi="宋体" w:cs="宋体"/>
          <w:b/>
          <w:bCs/>
          <w:sz w:val="28"/>
          <w:szCs w:val="28"/>
          <w:highlight w:val="none"/>
        </w:rPr>
        <w:t>5-8 联合体协议（若有）</w:t>
      </w:r>
    </w:p>
    <w:p w14:paraId="6538FB4A">
      <w:pPr>
        <w:pStyle w:val="16"/>
        <w:topLinePunct/>
        <w:autoSpaceDE w:val="0"/>
        <w:autoSpaceDN w:val="0"/>
        <w:snapToGrid w:val="0"/>
        <w:spacing w:line="360" w:lineRule="auto"/>
        <w:ind w:firstLine="726"/>
        <w:jc w:val="center"/>
        <w:rPr>
          <w:rFonts w:hAnsi="宋体" w:cs="宋体"/>
          <w:b/>
          <w:w w:val="150"/>
          <w:sz w:val="24"/>
          <w:highlight w:val="none"/>
        </w:rPr>
      </w:pPr>
    </w:p>
    <w:p w14:paraId="7CED69B7">
      <w:pPr>
        <w:spacing w:line="360" w:lineRule="auto"/>
        <w:rPr>
          <w:rFonts w:ascii="宋体" w:hAnsi="宋体" w:cs="宋体"/>
          <w:highlight w:val="none"/>
        </w:rPr>
      </w:pPr>
      <w:r>
        <w:rPr>
          <w:rFonts w:hint="eastAsia" w:ascii="宋体" w:hAnsi="宋体" w:cs="宋体"/>
          <w:highlight w:val="none"/>
        </w:rPr>
        <w:t>致________（采购人或采购代理机构）：</w:t>
      </w:r>
    </w:p>
    <w:p w14:paraId="367B056E">
      <w:pPr>
        <w:spacing w:line="360" w:lineRule="auto"/>
        <w:ind w:firstLine="420" w:firstLineChars="200"/>
        <w:rPr>
          <w:rFonts w:ascii="宋体" w:hAnsi="宋体" w:cs="宋体"/>
          <w:szCs w:val="21"/>
          <w:highlight w:val="none"/>
        </w:rPr>
      </w:pPr>
      <w:r>
        <w:rPr>
          <w:rFonts w:hint="eastAsia" w:ascii="宋体" w:hAnsi="宋体" w:cs="宋体"/>
          <w:szCs w:val="21"/>
          <w:highlight w:val="none"/>
        </w:rPr>
        <w:t>经研究，我方决定自愿组成联合体共同参加____________(项目名称、项目编号)项目的投标。现就联合体投标事宜订立如下协议：</w:t>
      </w:r>
    </w:p>
    <w:p w14:paraId="67B55E70">
      <w:pPr>
        <w:spacing w:line="360" w:lineRule="auto"/>
        <w:ind w:firstLine="420" w:firstLineChars="200"/>
        <w:rPr>
          <w:rFonts w:ascii="宋体" w:hAnsi="宋体" w:cs="宋体"/>
          <w:szCs w:val="21"/>
          <w:highlight w:val="none"/>
        </w:rPr>
      </w:pPr>
      <w:r>
        <w:rPr>
          <w:rFonts w:hint="eastAsia" w:ascii="宋体" w:hAnsi="宋体" w:cs="宋体"/>
          <w:szCs w:val="21"/>
          <w:highlight w:val="none"/>
        </w:rPr>
        <w:t>一、联合体成员：</w:t>
      </w:r>
    </w:p>
    <w:p w14:paraId="32261052">
      <w:pPr>
        <w:spacing w:line="360" w:lineRule="auto"/>
        <w:ind w:firstLine="420" w:firstLineChars="200"/>
        <w:rPr>
          <w:rFonts w:ascii="宋体" w:hAnsi="宋体" w:cs="宋体"/>
          <w:szCs w:val="21"/>
          <w:highlight w:val="none"/>
        </w:rPr>
      </w:pPr>
      <w:r>
        <w:rPr>
          <w:rFonts w:hint="eastAsia" w:ascii="宋体" w:hAnsi="宋体" w:cs="宋体"/>
          <w:szCs w:val="21"/>
          <w:highlight w:val="none"/>
        </w:rPr>
        <w:t>1.____________________</w:t>
      </w:r>
    </w:p>
    <w:p w14:paraId="7C6AB074">
      <w:pPr>
        <w:spacing w:line="360" w:lineRule="auto"/>
        <w:ind w:firstLine="420" w:firstLineChars="200"/>
        <w:rPr>
          <w:rFonts w:ascii="宋体" w:hAnsi="宋体" w:cs="宋体"/>
          <w:szCs w:val="21"/>
          <w:highlight w:val="none"/>
        </w:rPr>
      </w:pPr>
      <w:r>
        <w:rPr>
          <w:rFonts w:hint="eastAsia" w:ascii="宋体" w:hAnsi="宋体" w:cs="宋体"/>
          <w:szCs w:val="21"/>
          <w:highlight w:val="none"/>
        </w:rPr>
        <w:t>2.____________________</w:t>
      </w:r>
    </w:p>
    <w:p w14:paraId="499F8F24">
      <w:pPr>
        <w:spacing w:line="360" w:lineRule="auto"/>
        <w:ind w:firstLine="420" w:firstLineChars="200"/>
        <w:rPr>
          <w:rFonts w:ascii="宋体" w:hAnsi="宋体" w:cs="宋体"/>
          <w:szCs w:val="21"/>
          <w:highlight w:val="none"/>
        </w:rPr>
      </w:pPr>
      <w:r>
        <w:rPr>
          <w:rFonts w:hint="eastAsia" w:ascii="宋体" w:hAnsi="宋体" w:cs="宋体"/>
          <w:szCs w:val="21"/>
          <w:highlight w:val="none"/>
        </w:rPr>
        <w:t>3.____________________</w:t>
      </w:r>
    </w:p>
    <w:p w14:paraId="708A05C9">
      <w:pPr>
        <w:spacing w:line="360" w:lineRule="auto"/>
        <w:ind w:firstLine="420" w:firstLineChars="200"/>
        <w:rPr>
          <w:rFonts w:ascii="宋体" w:hAnsi="宋体" w:cs="宋体"/>
          <w:szCs w:val="21"/>
          <w:highlight w:val="none"/>
        </w:rPr>
      </w:pPr>
      <w:r>
        <w:rPr>
          <w:rFonts w:hint="eastAsia" w:ascii="宋体" w:hAnsi="宋体" w:cs="宋体"/>
          <w:szCs w:val="21"/>
          <w:highlight w:val="none"/>
        </w:rPr>
        <w:t>二、____________(某成员单位名称)为____________(联合体名称)牵头人。</w:t>
      </w:r>
    </w:p>
    <w:p w14:paraId="0CF31C28">
      <w:pPr>
        <w:spacing w:line="360" w:lineRule="auto"/>
        <w:ind w:firstLine="420" w:firstLineChars="200"/>
        <w:rPr>
          <w:rFonts w:ascii="宋体" w:hAnsi="宋体" w:cs="宋体"/>
          <w:szCs w:val="21"/>
          <w:highlight w:val="none"/>
        </w:rPr>
      </w:pPr>
      <w:r>
        <w:rPr>
          <w:rFonts w:hint="eastAsia" w:ascii="宋体" w:hAnsi="宋体" w:cs="宋体"/>
          <w:szCs w:val="21"/>
          <w:highlight w:val="none"/>
        </w:rPr>
        <w:t>三、联合体牵头人合法代表联合体各成员负责本项目投标文件编制活动，代表联合体提交和接收相关的资料、信息及指示，并处理与投标有关的一切事务；联合体中标后，联合体牵头人负责合同订立和实施阶段的主办、组织和协调工作。</w:t>
      </w:r>
    </w:p>
    <w:p w14:paraId="4EC7CA9B">
      <w:pPr>
        <w:spacing w:line="360" w:lineRule="auto"/>
        <w:ind w:firstLine="420" w:firstLineChars="200"/>
        <w:rPr>
          <w:rFonts w:ascii="宋体" w:hAnsi="宋体" w:cs="宋体"/>
          <w:szCs w:val="21"/>
          <w:highlight w:val="none"/>
        </w:rPr>
      </w:pPr>
      <w:r>
        <w:rPr>
          <w:rFonts w:hint="eastAsia" w:ascii="宋体" w:hAnsi="宋体" w:cs="宋体"/>
          <w:szCs w:val="21"/>
          <w:highlight w:val="none"/>
        </w:rPr>
        <w:t>四、联合体将严格按照招标文件的各项要求，递交投标文件，参加投标，履行中标义务和中标后的合同，并向采购人承担连带责任。</w:t>
      </w:r>
    </w:p>
    <w:p w14:paraId="4F89AB85">
      <w:pPr>
        <w:spacing w:line="360" w:lineRule="auto"/>
        <w:ind w:firstLine="420" w:firstLineChars="200"/>
        <w:rPr>
          <w:rFonts w:ascii="宋体" w:hAnsi="宋体" w:cs="宋体"/>
          <w:szCs w:val="21"/>
          <w:highlight w:val="none"/>
        </w:rPr>
      </w:pPr>
      <w:r>
        <w:rPr>
          <w:rFonts w:hint="eastAsia" w:ascii="宋体" w:hAnsi="宋体" w:cs="宋体"/>
          <w:szCs w:val="21"/>
          <w:highlight w:val="none"/>
        </w:rPr>
        <w:t>五、联合体各成员单位内部的职责分工如下：____________。按照本条上述分工，联合体成员单位各自所承担的合同工作量比例如下：____________。</w:t>
      </w:r>
    </w:p>
    <w:p w14:paraId="0091A5F3">
      <w:pPr>
        <w:spacing w:line="360" w:lineRule="auto"/>
        <w:ind w:firstLine="420" w:firstLineChars="200"/>
        <w:rPr>
          <w:rFonts w:ascii="宋体" w:hAnsi="宋体" w:cs="宋体"/>
          <w:szCs w:val="21"/>
          <w:highlight w:val="none"/>
        </w:rPr>
      </w:pPr>
      <w:r>
        <w:rPr>
          <w:rFonts w:hint="eastAsia" w:ascii="宋体" w:hAnsi="宋体" w:cs="宋体"/>
          <w:szCs w:val="21"/>
          <w:highlight w:val="none"/>
        </w:rPr>
        <w:t>六、本协议书自签署之日起生效，合同履行完毕后自动失效。</w:t>
      </w:r>
    </w:p>
    <w:p w14:paraId="7B418940">
      <w:pPr>
        <w:spacing w:line="360" w:lineRule="auto"/>
        <w:ind w:firstLine="420" w:firstLineChars="200"/>
        <w:rPr>
          <w:rFonts w:ascii="宋体" w:hAnsi="宋体" w:cs="宋体"/>
          <w:szCs w:val="21"/>
          <w:highlight w:val="none"/>
        </w:rPr>
      </w:pPr>
      <w:r>
        <w:rPr>
          <w:rFonts w:hint="eastAsia" w:ascii="宋体" w:hAnsi="宋体" w:cs="宋体"/>
          <w:szCs w:val="21"/>
          <w:highlight w:val="none"/>
        </w:rPr>
        <w:t>七、本协议书一式______份，联合体成员和采购人各执一份。</w:t>
      </w:r>
    </w:p>
    <w:p w14:paraId="5E6C853F">
      <w:pPr>
        <w:spacing w:line="360" w:lineRule="auto"/>
        <w:ind w:firstLine="420" w:firstLineChars="200"/>
        <w:rPr>
          <w:rFonts w:ascii="宋体" w:hAnsi="宋体" w:cs="宋体"/>
          <w:szCs w:val="21"/>
          <w:highlight w:val="none"/>
        </w:rPr>
      </w:pPr>
    </w:p>
    <w:p w14:paraId="13443D68">
      <w:pPr>
        <w:spacing w:line="360" w:lineRule="auto"/>
        <w:ind w:firstLine="420" w:firstLineChars="200"/>
        <w:rPr>
          <w:rFonts w:ascii="宋体" w:hAnsi="宋体" w:cs="宋体"/>
          <w:szCs w:val="21"/>
          <w:highlight w:val="none"/>
        </w:rPr>
      </w:pPr>
      <w:r>
        <w:rPr>
          <w:rFonts w:hint="eastAsia" w:ascii="宋体" w:hAnsi="宋体" w:cs="宋体"/>
          <w:szCs w:val="21"/>
          <w:highlight w:val="none"/>
        </w:rPr>
        <w:t>牵头人名称(公章)：____________</w:t>
      </w:r>
    </w:p>
    <w:p w14:paraId="617AD4D3">
      <w:pPr>
        <w:spacing w:line="360" w:lineRule="auto"/>
        <w:ind w:firstLine="420" w:firstLineChars="200"/>
        <w:rPr>
          <w:rFonts w:ascii="宋体" w:hAnsi="宋体" w:cs="宋体"/>
          <w:szCs w:val="21"/>
          <w:highlight w:val="none"/>
        </w:rPr>
      </w:pPr>
      <w:r>
        <w:rPr>
          <w:rFonts w:hint="eastAsia" w:ascii="宋体" w:hAnsi="宋体" w:cs="宋体"/>
          <w:szCs w:val="21"/>
          <w:highlight w:val="none"/>
        </w:rPr>
        <w:t>法定代表人或其授权代表(签字或盖章)：____________</w:t>
      </w:r>
    </w:p>
    <w:p w14:paraId="09A8EEFD">
      <w:pPr>
        <w:spacing w:line="360" w:lineRule="auto"/>
        <w:ind w:firstLine="420" w:firstLineChars="200"/>
        <w:rPr>
          <w:rFonts w:ascii="宋体" w:hAnsi="宋体" w:cs="宋体"/>
          <w:szCs w:val="21"/>
          <w:highlight w:val="none"/>
        </w:rPr>
      </w:pPr>
      <w:r>
        <w:rPr>
          <w:rFonts w:hint="eastAsia" w:ascii="宋体" w:hAnsi="宋体" w:cs="宋体"/>
          <w:szCs w:val="21"/>
          <w:highlight w:val="none"/>
        </w:rPr>
        <w:t>成员名称(公章)：____________</w:t>
      </w:r>
    </w:p>
    <w:p w14:paraId="304580AE">
      <w:pPr>
        <w:spacing w:line="360" w:lineRule="auto"/>
        <w:ind w:firstLine="420" w:firstLineChars="200"/>
        <w:rPr>
          <w:rFonts w:ascii="宋体" w:hAnsi="宋体" w:cs="宋体"/>
          <w:szCs w:val="21"/>
          <w:highlight w:val="none"/>
        </w:rPr>
      </w:pPr>
      <w:r>
        <w:rPr>
          <w:rFonts w:hint="eastAsia" w:ascii="宋体" w:hAnsi="宋体" w:cs="宋体"/>
          <w:szCs w:val="21"/>
          <w:highlight w:val="none"/>
        </w:rPr>
        <w:t>法定代表人或其授权代表(签字或盖章)：____________</w:t>
      </w:r>
    </w:p>
    <w:p w14:paraId="2A7637B0">
      <w:pPr>
        <w:spacing w:line="360" w:lineRule="auto"/>
        <w:ind w:firstLine="420" w:firstLineChars="200"/>
        <w:rPr>
          <w:rFonts w:ascii="宋体" w:hAnsi="宋体" w:cs="宋体"/>
          <w:szCs w:val="21"/>
          <w:highlight w:val="none"/>
        </w:rPr>
      </w:pPr>
    </w:p>
    <w:p w14:paraId="6D1391A1">
      <w:pPr>
        <w:spacing w:line="360" w:lineRule="auto"/>
        <w:ind w:firstLine="420" w:firstLineChars="200"/>
        <w:jc w:val="right"/>
        <w:rPr>
          <w:rFonts w:ascii="宋体" w:hAnsi="宋体" w:cs="宋体"/>
          <w:szCs w:val="21"/>
          <w:highlight w:val="none"/>
        </w:rPr>
      </w:pPr>
      <w:r>
        <w:rPr>
          <w:rFonts w:hint="eastAsia" w:ascii="宋体" w:hAnsi="宋体" w:cs="宋体"/>
          <w:szCs w:val="21"/>
          <w:highlight w:val="none"/>
        </w:rPr>
        <w:t>______年____月____日</w:t>
      </w:r>
    </w:p>
    <w:p w14:paraId="1060A749">
      <w:pPr>
        <w:spacing w:line="360" w:lineRule="auto"/>
        <w:ind w:firstLine="420" w:firstLineChars="200"/>
        <w:rPr>
          <w:rFonts w:ascii="宋体" w:hAnsi="宋体" w:cs="宋体"/>
          <w:szCs w:val="21"/>
          <w:highlight w:val="none"/>
        </w:rPr>
      </w:pPr>
    </w:p>
    <w:p w14:paraId="027C16F9">
      <w:pPr>
        <w:spacing w:line="360" w:lineRule="auto"/>
        <w:ind w:firstLine="420" w:firstLineChars="200"/>
        <w:rPr>
          <w:rFonts w:ascii="宋体" w:hAnsi="宋体" w:cs="宋体"/>
          <w:szCs w:val="21"/>
          <w:highlight w:val="none"/>
        </w:rPr>
      </w:pPr>
      <w:r>
        <w:rPr>
          <w:rFonts w:hint="eastAsia" w:ascii="宋体" w:hAnsi="宋体" w:cs="宋体"/>
          <w:szCs w:val="21"/>
          <w:highlight w:val="none"/>
        </w:rPr>
        <w:t>备注：本协议书由授权代表签字的，应附法定代表人签字的授权委托书。</w:t>
      </w:r>
    </w:p>
    <w:p w14:paraId="36CD7A47">
      <w:pPr>
        <w:widowControl/>
        <w:jc w:val="center"/>
        <w:rPr>
          <w:rFonts w:ascii="宋体" w:hAnsi="宋体" w:cs="宋体"/>
          <w:szCs w:val="21"/>
          <w:highlight w:val="none"/>
        </w:rPr>
      </w:pPr>
      <w:r>
        <w:rPr>
          <w:rFonts w:hint="eastAsia" w:ascii="宋体" w:hAnsi="宋体" w:cs="宋体"/>
          <w:szCs w:val="21"/>
          <w:highlight w:val="none"/>
        </w:rPr>
        <w:br w:type="page"/>
      </w:r>
    </w:p>
    <w:p w14:paraId="2F0B1487">
      <w:pPr>
        <w:widowControl/>
        <w:jc w:val="center"/>
        <w:rPr>
          <w:rFonts w:ascii="宋体" w:hAnsi="宋体" w:cs="宋体"/>
          <w:szCs w:val="21"/>
          <w:highlight w:val="none"/>
        </w:rPr>
      </w:pPr>
    </w:p>
    <w:p w14:paraId="01E8F227">
      <w:pPr>
        <w:widowControl/>
        <w:ind w:firstLine="562"/>
        <w:jc w:val="center"/>
        <w:rPr>
          <w:rFonts w:ascii="宋体" w:hAnsi="宋体" w:cs="宋体"/>
          <w:b/>
          <w:bCs/>
          <w:sz w:val="28"/>
          <w:szCs w:val="28"/>
          <w:highlight w:val="none"/>
        </w:rPr>
      </w:pPr>
      <w:r>
        <w:rPr>
          <w:rFonts w:hint="eastAsia" w:ascii="宋体" w:hAnsi="宋体" w:cs="宋体"/>
          <w:b/>
          <w:bCs/>
          <w:sz w:val="28"/>
          <w:szCs w:val="28"/>
          <w:highlight w:val="none"/>
        </w:rPr>
        <w:t>5-9 其他资格证明文件（若有）</w:t>
      </w:r>
    </w:p>
    <w:p w14:paraId="1A4E80B1">
      <w:pPr>
        <w:rPr>
          <w:rFonts w:ascii="宋体" w:hAnsi="宋体" w:cs="宋体"/>
          <w:highlight w:val="none"/>
        </w:rPr>
      </w:pPr>
    </w:p>
    <w:p w14:paraId="010A1102">
      <w:pPr>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根据资格条件要求提供相应材料。</w:t>
      </w:r>
    </w:p>
    <w:p w14:paraId="32E7DA2F">
      <w:pPr>
        <w:ind w:firstLine="480"/>
        <w:rPr>
          <w:rFonts w:ascii="宋体" w:hAnsi="宋体" w:cs="宋体"/>
          <w:sz w:val="24"/>
          <w:highlight w:val="none"/>
        </w:rPr>
      </w:pPr>
    </w:p>
    <w:p w14:paraId="75E145C1">
      <w:pPr>
        <w:snapToGrid w:val="0"/>
        <w:spacing w:line="360" w:lineRule="auto"/>
        <w:jc w:val="center"/>
        <w:rPr>
          <w:rFonts w:ascii="宋体" w:hAnsi="宋体" w:cs="宋体"/>
          <w:b/>
          <w:bCs/>
          <w:sz w:val="28"/>
          <w:szCs w:val="28"/>
          <w:highlight w:val="none"/>
        </w:rPr>
      </w:pPr>
      <w:r>
        <w:rPr>
          <w:rFonts w:hint="eastAsia" w:ascii="宋体" w:hAnsi="宋体" w:cs="宋体"/>
          <w:b/>
          <w:bCs/>
          <w:sz w:val="36"/>
          <w:szCs w:val="36"/>
          <w:highlight w:val="none"/>
        </w:rPr>
        <w:br w:type="page"/>
      </w:r>
      <w:r>
        <w:rPr>
          <w:rFonts w:hint="eastAsia" w:ascii="宋体" w:hAnsi="宋体" w:cs="宋体"/>
          <w:b/>
          <w:bCs/>
          <w:sz w:val="28"/>
          <w:szCs w:val="28"/>
          <w:highlight w:val="none"/>
        </w:rPr>
        <w:t>六、中小企业声明函</w:t>
      </w:r>
    </w:p>
    <w:p w14:paraId="2BE71650">
      <w:pPr>
        <w:topLinePunct/>
        <w:autoSpaceDE w:val="0"/>
        <w:autoSpaceDN w:val="0"/>
        <w:spacing w:line="460" w:lineRule="exact"/>
        <w:jc w:val="center"/>
        <w:rPr>
          <w:rFonts w:ascii="宋体" w:hAnsi="宋体" w:cs="宋体"/>
          <w:b/>
          <w:bCs/>
          <w:sz w:val="28"/>
          <w:szCs w:val="28"/>
          <w:highlight w:val="none"/>
        </w:rPr>
      </w:pPr>
    </w:p>
    <w:p w14:paraId="1F0A1AA9">
      <w:pPr>
        <w:widowControl/>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中小企业声明函（服务）</w:t>
      </w:r>
    </w:p>
    <w:p w14:paraId="06F59869">
      <w:pPr>
        <w:widowControl/>
        <w:spacing w:after="0" w:line="360" w:lineRule="auto"/>
        <w:ind w:firstLine="420" w:firstLineChars="200"/>
        <w:jc w:val="left"/>
        <w:rPr>
          <w:rFonts w:hint="default" w:ascii="Times New Roman" w:hAnsi="Times New Roman" w:eastAsia="宋体" w:cs="Times New Roman"/>
          <w:color w:val="auto"/>
          <w:kern w:val="0"/>
          <w:sz w:val="21"/>
          <w:szCs w:val="21"/>
          <w:highlight w:val="none"/>
        </w:rPr>
      </w:pPr>
    </w:p>
    <w:p w14:paraId="5C75BBAC">
      <w:pPr>
        <w:pStyle w:val="16"/>
        <w:snapToGrid w:val="0"/>
        <w:spacing w:line="360" w:lineRule="auto"/>
        <w:ind w:firstLine="420" w:firstLineChars="200"/>
        <w:rPr>
          <w:rFonts w:hint="default" w:ascii="Times New Roman" w:hAnsi="Times New Roman" w:cs="Times New Roman"/>
          <w:i w:val="0"/>
          <w:iCs w:val="0"/>
          <w:color w:val="auto"/>
          <w:sz w:val="21"/>
          <w:szCs w:val="21"/>
          <w:highlight w:val="none"/>
        </w:rPr>
      </w:pPr>
      <w:r>
        <w:rPr>
          <w:rFonts w:hint="default" w:ascii="Times New Roman" w:hAnsi="Times New Roman" w:cs="Times New Roman"/>
          <w:i w:val="0"/>
          <w:iCs w:val="0"/>
          <w:color w:val="auto"/>
          <w:sz w:val="21"/>
          <w:szCs w:val="21"/>
          <w:highlight w:val="none"/>
        </w:rPr>
        <w:t>本公司（联合体）郑重声明，根据《政府采购促进中小企业发展管理办法》（财库﹝2020﹞46 号）的规定，本公司（联合体）参加</w:t>
      </w:r>
      <w:r>
        <w:rPr>
          <w:rFonts w:hint="default" w:ascii="Times New Roman" w:hAnsi="Times New Roman" w:cs="Times New Roman"/>
          <w:i w:val="0"/>
          <w:iCs w:val="0"/>
          <w:color w:val="auto"/>
          <w:sz w:val="21"/>
          <w:szCs w:val="21"/>
          <w:highlight w:val="none"/>
          <w:u w:val="single"/>
        </w:rPr>
        <w:t>（单位名称）</w:t>
      </w:r>
      <w:r>
        <w:rPr>
          <w:rFonts w:hint="default" w:ascii="Times New Roman" w:hAnsi="Times New Roman" w:cs="Times New Roman"/>
          <w:i w:val="0"/>
          <w:iCs w:val="0"/>
          <w:color w:val="auto"/>
          <w:sz w:val="21"/>
          <w:szCs w:val="21"/>
          <w:highlight w:val="none"/>
        </w:rPr>
        <w:t>的</w:t>
      </w:r>
      <w:r>
        <w:rPr>
          <w:rFonts w:hint="default" w:ascii="Times New Roman" w:hAnsi="Times New Roman" w:cs="Times New Roman"/>
          <w:i w:val="0"/>
          <w:iCs w:val="0"/>
          <w:color w:val="auto"/>
          <w:sz w:val="21"/>
          <w:szCs w:val="21"/>
          <w:highlight w:val="none"/>
          <w:u w:val="single"/>
        </w:rPr>
        <w:t>（项目名称）</w:t>
      </w:r>
      <w:r>
        <w:rPr>
          <w:rFonts w:hint="default" w:ascii="Times New Roman" w:hAnsi="Times New Roman" w:cs="Times New Roman"/>
          <w:i w:val="0"/>
          <w:iCs w:val="0"/>
          <w:color w:val="auto"/>
          <w:sz w:val="21"/>
          <w:szCs w:val="21"/>
          <w:highlight w:val="none"/>
        </w:rPr>
        <w:t>采购活动，服务全部由符合政策要求的中小企业承接。相关企业（含联合体中的中小企业、签订分包意向协议的中小企业）的具体情况如下：</w:t>
      </w:r>
    </w:p>
    <w:p w14:paraId="355FD055">
      <w:pPr>
        <w:pStyle w:val="16"/>
        <w:snapToGrid w:val="0"/>
        <w:spacing w:line="360" w:lineRule="auto"/>
        <w:ind w:firstLine="420" w:firstLineChars="200"/>
        <w:rPr>
          <w:rFonts w:hint="default" w:ascii="Times New Roman" w:hAnsi="Times New Roman" w:cs="Times New Roman"/>
          <w:i w:val="0"/>
          <w:iCs w:val="0"/>
          <w:color w:val="auto"/>
          <w:sz w:val="21"/>
          <w:szCs w:val="21"/>
          <w:highlight w:val="none"/>
        </w:rPr>
      </w:pPr>
      <w:r>
        <w:rPr>
          <w:rFonts w:hint="default" w:ascii="Times New Roman" w:hAnsi="Times New Roman" w:cs="Times New Roman"/>
          <w:i w:val="0"/>
          <w:iCs w:val="0"/>
          <w:color w:val="auto"/>
          <w:sz w:val="21"/>
          <w:szCs w:val="21"/>
          <w:highlight w:val="none"/>
        </w:rPr>
        <w:t>1.</w:t>
      </w:r>
      <w:r>
        <w:rPr>
          <w:rFonts w:hint="default" w:ascii="Times New Roman" w:hAnsi="Times New Roman" w:cs="Times New Roman"/>
          <w:i w:val="0"/>
          <w:iCs w:val="0"/>
          <w:color w:val="auto"/>
          <w:sz w:val="21"/>
          <w:szCs w:val="21"/>
          <w:highlight w:val="none"/>
          <w:u w:val="single"/>
        </w:rPr>
        <w:t xml:space="preserve"> （标的名称） </w:t>
      </w:r>
      <w:r>
        <w:rPr>
          <w:rFonts w:hint="default" w:ascii="Times New Roman" w:hAnsi="Times New Roman" w:cs="Times New Roman"/>
          <w:i w:val="0"/>
          <w:iCs w:val="0"/>
          <w:color w:val="auto"/>
          <w:sz w:val="21"/>
          <w:szCs w:val="21"/>
          <w:highlight w:val="none"/>
        </w:rPr>
        <w:t>，属于</w:t>
      </w:r>
      <w:r>
        <w:rPr>
          <w:rFonts w:hint="default" w:ascii="Times New Roman" w:hAnsi="Times New Roman" w:cs="Times New Roman"/>
          <w:i w:val="0"/>
          <w:iCs w:val="0"/>
          <w:color w:val="auto"/>
          <w:sz w:val="21"/>
          <w:szCs w:val="21"/>
          <w:highlight w:val="none"/>
          <w:u w:val="single"/>
        </w:rPr>
        <w:t>（采购文件中明确的所属行业）</w:t>
      </w:r>
      <w:r>
        <w:rPr>
          <w:rFonts w:hint="default" w:ascii="Times New Roman" w:hAnsi="Times New Roman" w:cs="Times New Roman"/>
          <w:i w:val="0"/>
          <w:iCs w:val="0"/>
          <w:color w:val="auto"/>
          <w:sz w:val="21"/>
          <w:szCs w:val="21"/>
          <w:highlight w:val="none"/>
        </w:rPr>
        <w:t>；承接企业为</w:t>
      </w:r>
      <w:r>
        <w:rPr>
          <w:rFonts w:hint="default" w:ascii="Times New Roman" w:hAnsi="Times New Roman" w:cs="Times New Roman"/>
          <w:i w:val="0"/>
          <w:iCs w:val="0"/>
          <w:color w:val="auto"/>
          <w:sz w:val="21"/>
          <w:szCs w:val="21"/>
          <w:highlight w:val="none"/>
          <w:u w:val="single"/>
        </w:rPr>
        <w:t>（企业名称）</w:t>
      </w:r>
      <w:r>
        <w:rPr>
          <w:rFonts w:hint="default" w:ascii="Times New Roman" w:hAnsi="Times New Roman" w:cs="Times New Roman"/>
          <w:i w:val="0"/>
          <w:iCs w:val="0"/>
          <w:color w:val="auto"/>
          <w:sz w:val="21"/>
          <w:szCs w:val="21"/>
          <w:highlight w:val="none"/>
        </w:rPr>
        <w:t>，从业人员</w:t>
      </w:r>
      <w:r>
        <w:rPr>
          <w:rFonts w:hint="default" w:ascii="Times New Roman" w:hAnsi="Times New Roman" w:cs="Times New Roman"/>
          <w:i w:val="0"/>
          <w:iCs w:val="0"/>
          <w:color w:val="auto"/>
          <w:sz w:val="21"/>
          <w:szCs w:val="21"/>
          <w:highlight w:val="none"/>
          <w:u w:val="single"/>
        </w:rPr>
        <w:t xml:space="preserve">   </w:t>
      </w:r>
      <w:r>
        <w:rPr>
          <w:rFonts w:hint="default" w:ascii="Times New Roman" w:hAnsi="Times New Roman" w:cs="Times New Roman"/>
          <w:i w:val="0"/>
          <w:iCs w:val="0"/>
          <w:color w:val="auto"/>
          <w:sz w:val="21"/>
          <w:szCs w:val="21"/>
          <w:highlight w:val="none"/>
        </w:rPr>
        <w:t>人，营业收入为</w:t>
      </w:r>
      <w:r>
        <w:rPr>
          <w:rFonts w:hint="default" w:ascii="Times New Roman" w:hAnsi="Times New Roman" w:cs="Times New Roman"/>
          <w:i w:val="0"/>
          <w:iCs w:val="0"/>
          <w:color w:val="auto"/>
          <w:sz w:val="21"/>
          <w:szCs w:val="21"/>
          <w:highlight w:val="none"/>
          <w:u w:val="single"/>
        </w:rPr>
        <w:tab/>
      </w:r>
      <w:r>
        <w:rPr>
          <w:rFonts w:hint="default" w:ascii="Times New Roman" w:hAnsi="Times New Roman" w:cs="Times New Roman"/>
          <w:i w:val="0"/>
          <w:iCs w:val="0"/>
          <w:color w:val="auto"/>
          <w:sz w:val="21"/>
          <w:szCs w:val="21"/>
          <w:highlight w:val="none"/>
          <w:u w:val="single"/>
        </w:rPr>
        <w:t xml:space="preserve">   </w:t>
      </w:r>
      <w:r>
        <w:rPr>
          <w:rFonts w:hint="default" w:ascii="Times New Roman" w:hAnsi="Times New Roman" w:cs="Times New Roman"/>
          <w:i w:val="0"/>
          <w:iCs w:val="0"/>
          <w:color w:val="auto"/>
          <w:sz w:val="21"/>
          <w:szCs w:val="21"/>
          <w:highlight w:val="none"/>
        </w:rPr>
        <w:t>万元，资产总额为</w:t>
      </w:r>
      <w:r>
        <w:rPr>
          <w:rFonts w:hint="default" w:ascii="Times New Roman" w:hAnsi="Times New Roman" w:cs="Times New Roman"/>
          <w:i w:val="0"/>
          <w:iCs w:val="0"/>
          <w:color w:val="auto"/>
          <w:sz w:val="21"/>
          <w:szCs w:val="21"/>
          <w:highlight w:val="none"/>
          <w:u w:val="single"/>
        </w:rPr>
        <w:tab/>
      </w:r>
      <w:r>
        <w:rPr>
          <w:rFonts w:hint="default" w:ascii="Times New Roman" w:hAnsi="Times New Roman" w:cs="Times New Roman"/>
          <w:i w:val="0"/>
          <w:iCs w:val="0"/>
          <w:color w:val="auto"/>
          <w:sz w:val="21"/>
          <w:szCs w:val="21"/>
          <w:highlight w:val="none"/>
          <w:u w:val="single"/>
        </w:rPr>
        <w:t xml:space="preserve">   </w:t>
      </w:r>
      <w:r>
        <w:rPr>
          <w:rFonts w:hint="default" w:ascii="Times New Roman" w:hAnsi="Times New Roman" w:cs="Times New Roman"/>
          <w:i w:val="0"/>
          <w:iCs w:val="0"/>
          <w:color w:val="auto"/>
          <w:sz w:val="21"/>
          <w:szCs w:val="21"/>
          <w:highlight w:val="none"/>
        </w:rPr>
        <w:t>万元</w:t>
      </w:r>
      <w:r>
        <w:rPr>
          <w:rFonts w:hint="default" w:ascii="Times New Roman" w:hAnsi="Times New Roman" w:cs="Times New Roman"/>
          <w:i w:val="0"/>
          <w:iCs w:val="0"/>
          <w:color w:val="auto"/>
          <w:sz w:val="21"/>
          <w:szCs w:val="21"/>
          <w:highlight w:val="none"/>
          <w:vertAlign w:val="superscript"/>
        </w:rPr>
        <w:t>1</w:t>
      </w:r>
      <w:r>
        <w:rPr>
          <w:rFonts w:hint="default" w:ascii="Times New Roman" w:hAnsi="Times New Roman" w:cs="Times New Roman"/>
          <w:i w:val="0"/>
          <w:iCs w:val="0"/>
          <w:color w:val="auto"/>
          <w:sz w:val="21"/>
          <w:szCs w:val="21"/>
          <w:highlight w:val="none"/>
        </w:rPr>
        <w:t>，属于</w:t>
      </w:r>
      <w:r>
        <w:rPr>
          <w:rFonts w:hint="default" w:ascii="Times New Roman" w:hAnsi="Times New Roman" w:cs="Times New Roman"/>
          <w:i w:val="0"/>
          <w:iCs w:val="0"/>
          <w:color w:val="auto"/>
          <w:sz w:val="21"/>
          <w:szCs w:val="21"/>
          <w:highlight w:val="none"/>
          <w:u w:val="single"/>
        </w:rPr>
        <w:t>（中型企业、小型企业、微型企业）</w:t>
      </w:r>
      <w:r>
        <w:rPr>
          <w:rFonts w:hint="default" w:ascii="Times New Roman" w:hAnsi="Times New Roman" w:cs="Times New Roman"/>
          <w:i w:val="0"/>
          <w:iCs w:val="0"/>
          <w:color w:val="auto"/>
          <w:sz w:val="21"/>
          <w:szCs w:val="21"/>
          <w:highlight w:val="none"/>
        </w:rPr>
        <w:t xml:space="preserve">； </w:t>
      </w:r>
    </w:p>
    <w:p w14:paraId="4235A282">
      <w:pPr>
        <w:pStyle w:val="16"/>
        <w:snapToGrid w:val="0"/>
        <w:spacing w:line="360" w:lineRule="auto"/>
        <w:ind w:firstLine="420" w:firstLineChars="200"/>
        <w:rPr>
          <w:rFonts w:hint="default" w:ascii="Times New Roman" w:hAnsi="Times New Roman" w:cs="Times New Roman"/>
          <w:i w:val="0"/>
          <w:iCs w:val="0"/>
          <w:color w:val="auto"/>
          <w:sz w:val="21"/>
          <w:szCs w:val="21"/>
          <w:highlight w:val="none"/>
        </w:rPr>
      </w:pPr>
      <w:r>
        <w:rPr>
          <w:rFonts w:hint="default" w:ascii="Times New Roman" w:hAnsi="Times New Roman" w:cs="Times New Roman"/>
          <w:i w:val="0"/>
          <w:iCs w:val="0"/>
          <w:color w:val="auto"/>
          <w:sz w:val="21"/>
          <w:szCs w:val="21"/>
          <w:highlight w:val="none"/>
        </w:rPr>
        <w:t>2.</w:t>
      </w:r>
      <w:r>
        <w:rPr>
          <w:rFonts w:hint="default" w:ascii="Times New Roman" w:hAnsi="Times New Roman" w:cs="Times New Roman"/>
          <w:i w:val="0"/>
          <w:iCs w:val="0"/>
          <w:color w:val="auto"/>
          <w:sz w:val="21"/>
          <w:szCs w:val="21"/>
          <w:highlight w:val="none"/>
          <w:u w:val="single"/>
        </w:rPr>
        <w:t xml:space="preserve"> （标的名称） </w:t>
      </w:r>
      <w:r>
        <w:rPr>
          <w:rFonts w:hint="default" w:ascii="Times New Roman" w:hAnsi="Times New Roman" w:cs="Times New Roman"/>
          <w:i w:val="0"/>
          <w:iCs w:val="0"/>
          <w:color w:val="auto"/>
          <w:sz w:val="21"/>
          <w:szCs w:val="21"/>
          <w:highlight w:val="none"/>
        </w:rPr>
        <w:t>，属于</w:t>
      </w:r>
      <w:r>
        <w:rPr>
          <w:rFonts w:hint="default" w:ascii="Times New Roman" w:hAnsi="Times New Roman" w:cs="Times New Roman"/>
          <w:i w:val="0"/>
          <w:iCs w:val="0"/>
          <w:color w:val="auto"/>
          <w:sz w:val="21"/>
          <w:szCs w:val="21"/>
          <w:highlight w:val="none"/>
          <w:u w:val="single"/>
        </w:rPr>
        <w:t>（采购文件中明确的所属行业）</w:t>
      </w:r>
      <w:r>
        <w:rPr>
          <w:rFonts w:hint="default" w:ascii="Times New Roman" w:hAnsi="Times New Roman" w:cs="Times New Roman"/>
          <w:i w:val="0"/>
          <w:iCs w:val="0"/>
          <w:color w:val="auto"/>
          <w:sz w:val="21"/>
          <w:szCs w:val="21"/>
          <w:highlight w:val="none"/>
        </w:rPr>
        <w:t>；承接企业为</w:t>
      </w:r>
      <w:r>
        <w:rPr>
          <w:rFonts w:hint="default" w:ascii="Times New Roman" w:hAnsi="Times New Roman" w:cs="Times New Roman"/>
          <w:i w:val="0"/>
          <w:iCs w:val="0"/>
          <w:color w:val="auto"/>
          <w:sz w:val="21"/>
          <w:szCs w:val="21"/>
          <w:highlight w:val="none"/>
          <w:u w:val="single"/>
        </w:rPr>
        <w:t>（企业名称）</w:t>
      </w:r>
      <w:r>
        <w:rPr>
          <w:rFonts w:hint="default" w:ascii="Times New Roman" w:hAnsi="Times New Roman" w:cs="Times New Roman"/>
          <w:i w:val="0"/>
          <w:iCs w:val="0"/>
          <w:color w:val="auto"/>
          <w:sz w:val="21"/>
          <w:szCs w:val="21"/>
          <w:highlight w:val="none"/>
        </w:rPr>
        <w:t>，从业人员</w:t>
      </w:r>
      <w:r>
        <w:rPr>
          <w:rFonts w:hint="default" w:ascii="Times New Roman" w:hAnsi="Times New Roman" w:cs="Times New Roman"/>
          <w:i w:val="0"/>
          <w:iCs w:val="0"/>
          <w:color w:val="auto"/>
          <w:sz w:val="21"/>
          <w:szCs w:val="21"/>
          <w:highlight w:val="none"/>
          <w:u w:val="single"/>
        </w:rPr>
        <w:tab/>
      </w:r>
      <w:r>
        <w:rPr>
          <w:rFonts w:hint="default" w:ascii="Times New Roman" w:hAnsi="Times New Roman" w:cs="Times New Roman"/>
          <w:i w:val="0"/>
          <w:iCs w:val="0"/>
          <w:color w:val="auto"/>
          <w:sz w:val="21"/>
          <w:szCs w:val="21"/>
          <w:highlight w:val="none"/>
          <w:u w:val="single"/>
        </w:rPr>
        <w:t xml:space="preserve">   </w:t>
      </w:r>
      <w:r>
        <w:rPr>
          <w:rFonts w:hint="default" w:ascii="Times New Roman" w:hAnsi="Times New Roman" w:cs="Times New Roman"/>
          <w:i w:val="0"/>
          <w:iCs w:val="0"/>
          <w:color w:val="auto"/>
          <w:sz w:val="21"/>
          <w:szCs w:val="21"/>
          <w:highlight w:val="none"/>
        </w:rPr>
        <w:t>人，营业收入为</w:t>
      </w:r>
      <w:r>
        <w:rPr>
          <w:rFonts w:hint="default" w:ascii="Times New Roman" w:hAnsi="Times New Roman" w:cs="Times New Roman"/>
          <w:i w:val="0"/>
          <w:iCs w:val="0"/>
          <w:color w:val="auto"/>
          <w:sz w:val="21"/>
          <w:szCs w:val="21"/>
          <w:highlight w:val="none"/>
          <w:u w:val="single"/>
        </w:rPr>
        <w:tab/>
      </w:r>
      <w:r>
        <w:rPr>
          <w:rFonts w:hint="default" w:ascii="Times New Roman" w:hAnsi="Times New Roman" w:cs="Times New Roman"/>
          <w:i w:val="0"/>
          <w:iCs w:val="0"/>
          <w:color w:val="auto"/>
          <w:sz w:val="21"/>
          <w:szCs w:val="21"/>
          <w:highlight w:val="none"/>
          <w:u w:val="single"/>
        </w:rPr>
        <w:t xml:space="preserve">   </w:t>
      </w:r>
      <w:r>
        <w:rPr>
          <w:rFonts w:hint="default" w:ascii="Times New Roman" w:hAnsi="Times New Roman" w:cs="Times New Roman"/>
          <w:i w:val="0"/>
          <w:iCs w:val="0"/>
          <w:color w:val="auto"/>
          <w:sz w:val="21"/>
          <w:szCs w:val="21"/>
          <w:highlight w:val="none"/>
        </w:rPr>
        <w:t>万元，资产总额为</w:t>
      </w:r>
      <w:r>
        <w:rPr>
          <w:rFonts w:hint="default" w:ascii="Times New Roman" w:hAnsi="Times New Roman" w:cs="Times New Roman"/>
          <w:i w:val="0"/>
          <w:iCs w:val="0"/>
          <w:color w:val="auto"/>
          <w:sz w:val="21"/>
          <w:szCs w:val="21"/>
          <w:highlight w:val="none"/>
          <w:u w:val="single"/>
        </w:rPr>
        <w:tab/>
      </w:r>
      <w:r>
        <w:rPr>
          <w:rFonts w:hint="default" w:ascii="Times New Roman" w:hAnsi="Times New Roman" w:cs="Times New Roman"/>
          <w:i w:val="0"/>
          <w:iCs w:val="0"/>
          <w:color w:val="auto"/>
          <w:sz w:val="21"/>
          <w:szCs w:val="21"/>
          <w:highlight w:val="none"/>
          <w:u w:val="single"/>
        </w:rPr>
        <w:t xml:space="preserve">   </w:t>
      </w:r>
      <w:r>
        <w:rPr>
          <w:rFonts w:hint="default" w:ascii="Times New Roman" w:hAnsi="Times New Roman" w:cs="Times New Roman"/>
          <w:i w:val="0"/>
          <w:iCs w:val="0"/>
          <w:color w:val="auto"/>
          <w:sz w:val="21"/>
          <w:szCs w:val="21"/>
          <w:highlight w:val="none"/>
        </w:rPr>
        <w:t>万元</w:t>
      </w:r>
      <w:r>
        <w:rPr>
          <w:rFonts w:hint="default" w:ascii="Times New Roman" w:hAnsi="Times New Roman" w:cs="Times New Roman"/>
          <w:i w:val="0"/>
          <w:iCs w:val="0"/>
          <w:color w:val="auto"/>
          <w:sz w:val="21"/>
          <w:szCs w:val="21"/>
          <w:highlight w:val="none"/>
          <w:vertAlign w:val="superscript"/>
        </w:rPr>
        <w:t>1</w:t>
      </w:r>
      <w:r>
        <w:rPr>
          <w:rFonts w:hint="default" w:ascii="Times New Roman" w:hAnsi="Times New Roman" w:cs="Times New Roman"/>
          <w:i w:val="0"/>
          <w:iCs w:val="0"/>
          <w:color w:val="auto"/>
          <w:sz w:val="21"/>
          <w:szCs w:val="21"/>
          <w:highlight w:val="none"/>
        </w:rPr>
        <w:t>，属于</w:t>
      </w:r>
      <w:r>
        <w:rPr>
          <w:rFonts w:hint="default" w:ascii="Times New Roman" w:hAnsi="Times New Roman" w:cs="Times New Roman"/>
          <w:i w:val="0"/>
          <w:iCs w:val="0"/>
          <w:color w:val="auto"/>
          <w:sz w:val="21"/>
          <w:szCs w:val="21"/>
          <w:highlight w:val="none"/>
          <w:u w:val="single"/>
        </w:rPr>
        <w:t>（中型企业、小型企业、微型企业）</w:t>
      </w:r>
      <w:r>
        <w:rPr>
          <w:rFonts w:hint="default" w:ascii="Times New Roman" w:hAnsi="Times New Roman" w:cs="Times New Roman"/>
          <w:i w:val="0"/>
          <w:iCs w:val="0"/>
          <w:color w:val="auto"/>
          <w:sz w:val="21"/>
          <w:szCs w:val="21"/>
          <w:highlight w:val="none"/>
        </w:rPr>
        <w:t xml:space="preserve">； </w:t>
      </w:r>
    </w:p>
    <w:p w14:paraId="4C7E0E63">
      <w:pPr>
        <w:pStyle w:val="16"/>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p w14:paraId="79E28E8E">
      <w:pPr>
        <w:pStyle w:val="16"/>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以上企业，不属于大企业的分支机构，不存在控股股东为大企业的情形，也不存在与大企业的负责人为同一人的情形。</w:t>
      </w:r>
    </w:p>
    <w:p w14:paraId="1468413C">
      <w:pPr>
        <w:pStyle w:val="16"/>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本企业对上述声明内容的真实性负责。如有虚假，将依法承担相应责任。 </w:t>
      </w:r>
    </w:p>
    <w:p w14:paraId="0104C9C8">
      <w:pPr>
        <w:pStyle w:val="16"/>
        <w:snapToGrid w:val="0"/>
        <w:spacing w:line="360" w:lineRule="auto"/>
        <w:ind w:firstLine="420" w:firstLineChars="200"/>
        <w:rPr>
          <w:rFonts w:hint="default" w:ascii="Times New Roman" w:hAnsi="Times New Roman" w:cs="Times New Roman"/>
          <w:color w:val="auto"/>
          <w:sz w:val="21"/>
          <w:szCs w:val="21"/>
          <w:highlight w:val="none"/>
        </w:rPr>
      </w:pPr>
    </w:p>
    <w:p w14:paraId="6A9381EF">
      <w:pPr>
        <w:pStyle w:val="16"/>
        <w:snapToGrid w:val="0"/>
        <w:spacing w:line="360" w:lineRule="auto"/>
        <w:ind w:firstLine="420" w:firstLineChars="200"/>
        <w:rPr>
          <w:rFonts w:hint="default" w:ascii="Times New Roman" w:hAnsi="Times New Roman" w:cs="Times New Roman"/>
          <w:color w:val="auto"/>
          <w:sz w:val="21"/>
          <w:szCs w:val="21"/>
          <w:highlight w:val="none"/>
        </w:rPr>
      </w:pPr>
    </w:p>
    <w:p w14:paraId="37D81E9E">
      <w:pPr>
        <w:tabs>
          <w:tab w:val="left" w:pos="1230"/>
        </w:tabs>
        <w:topLinePunct/>
        <w:autoSpaceDE w:val="0"/>
        <w:autoSpaceDN w:val="0"/>
        <w:adjustRightInd w:val="0"/>
        <w:snapToGrid w:val="0"/>
        <w:spacing w:after="0"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供应商</w:t>
      </w:r>
      <w:r>
        <w:rPr>
          <w:rFonts w:hint="default" w:ascii="Times New Roman" w:hAnsi="Times New Roman" w:eastAsia="宋体" w:cs="Times New Roman"/>
          <w:color w:val="auto"/>
          <w:kern w:val="0"/>
          <w:sz w:val="21"/>
          <w:szCs w:val="21"/>
          <w:highlight w:val="none"/>
        </w:rPr>
        <w:t>（全称并加盖公章</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p>
    <w:p w14:paraId="4ADA2351">
      <w:pPr>
        <w:tabs>
          <w:tab w:val="left" w:pos="1230"/>
        </w:tabs>
        <w:topLinePunct/>
        <w:autoSpaceDE w:val="0"/>
        <w:autoSpaceDN w:val="0"/>
        <w:adjustRightInd w:val="0"/>
        <w:snapToGrid w:val="0"/>
        <w:spacing w:after="0"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日期：</w:t>
      </w:r>
      <w:r>
        <w:rPr>
          <w:rFonts w:hint="default" w:ascii="Times New Roman" w:hAnsi="Times New Roman" w:eastAsia="宋体" w:cs="Times New Roman"/>
          <w:color w:val="auto"/>
          <w:sz w:val="21"/>
          <w:szCs w:val="21"/>
          <w:highlight w:val="none"/>
          <w:u w:val="single"/>
        </w:rPr>
        <w:t xml:space="preserve">                                 </w:t>
      </w:r>
    </w:p>
    <w:p w14:paraId="3DB11FEE">
      <w:pPr>
        <w:pStyle w:val="16"/>
        <w:snapToGrid w:val="0"/>
        <w:spacing w:line="360" w:lineRule="auto"/>
        <w:ind w:firstLine="420" w:firstLineChars="200"/>
        <w:rPr>
          <w:rFonts w:hint="default" w:ascii="Times New Roman" w:hAnsi="Times New Roman" w:cs="Times New Roman"/>
          <w:color w:val="auto"/>
          <w:sz w:val="21"/>
          <w:szCs w:val="21"/>
          <w:highlight w:val="none"/>
        </w:rPr>
      </w:pPr>
    </w:p>
    <w:p w14:paraId="6EFF96DD">
      <w:pPr>
        <w:pStyle w:val="16"/>
        <w:snapToGrid w:val="0"/>
        <w:spacing w:line="360" w:lineRule="auto"/>
        <w:ind w:firstLine="420" w:firstLineChars="200"/>
        <w:rPr>
          <w:rFonts w:hint="default" w:ascii="Times New Roman" w:hAnsi="Times New Roman" w:cs="Times New Roman"/>
          <w:color w:val="auto"/>
          <w:sz w:val="21"/>
          <w:szCs w:val="21"/>
          <w:highlight w:val="none"/>
        </w:rPr>
      </w:pPr>
    </w:p>
    <w:p w14:paraId="041A5EE4">
      <w:pPr>
        <w:widowControl/>
        <w:rPr>
          <w:rFonts w:eastAsia="宋体" w:cs="Times New Roman"/>
          <w:color w:val="auto"/>
          <w:highlight w:val="none"/>
        </w:rPr>
      </w:pPr>
    </w:p>
    <w:p w14:paraId="4466CBB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备注：</w:t>
      </w:r>
      <w:r>
        <w:rPr>
          <w:rFonts w:ascii="宋体" w:hAnsi="宋体" w:cs="宋体"/>
          <w:kern w:val="0"/>
          <w:sz w:val="18"/>
          <w:szCs w:val="18"/>
          <w:highlight w:val="none"/>
        </w:rPr>
        <w:t>1</w:t>
      </w:r>
      <w:r>
        <w:rPr>
          <w:rFonts w:hint="eastAsia" w:ascii="宋体" w:hAnsi="宋体" w:cs="宋体"/>
          <w:kern w:val="0"/>
          <w:sz w:val="18"/>
          <w:szCs w:val="18"/>
          <w:highlight w:val="none"/>
        </w:rPr>
        <w:t>、从业人员、营业收入、资产总额填报上一年度数据，无上一年度数据的新成立企业可不填报。</w:t>
      </w:r>
    </w:p>
    <w:p w14:paraId="02CAF0E3">
      <w:pPr>
        <w:widowControl/>
        <w:jc w:val="left"/>
        <w:rPr>
          <w:rFonts w:hAnsi="宋体" w:cs="宋体"/>
          <w:color w:val="auto"/>
          <w:sz w:val="24"/>
          <w:szCs w:val="24"/>
          <w:highlight w:val="none"/>
        </w:rPr>
      </w:pPr>
      <w:r>
        <w:rPr>
          <w:rFonts w:hint="eastAsia" w:ascii="宋体" w:hAnsi="宋体" w:cs="宋体"/>
          <w:kern w:val="0"/>
          <w:sz w:val="18"/>
          <w:szCs w:val="18"/>
          <w:highlight w:val="none"/>
        </w:rPr>
        <w:t>2、填写前请认真阅读《工业和信息化部　国家统计局　国家发展和改革委员会　财政部关于印发中小企业划型标准规定的通知》(工信部联企业〔2011〕300号)和《政府采购促进中小企业发展管理办法》（财库﹝2020﹞46 号）相关规定。本项目所属行业为：</w:t>
      </w:r>
      <w:r>
        <w:rPr>
          <w:rFonts w:hint="eastAsia" w:ascii="宋体" w:hAnsi="宋体" w:cs="宋体"/>
          <w:kern w:val="0"/>
          <w:sz w:val="18"/>
          <w:szCs w:val="18"/>
          <w:highlight w:val="none"/>
          <w:lang w:val="zh-CN" w:eastAsia="zh-CN"/>
        </w:rPr>
        <w:t>软件和信息技术服务业</w:t>
      </w:r>
      <w:r>
        <w:rPr>
          <w:rFonts w:hint="eastAsia" w:hAnsi="宋体" w:cs="宋体"/>
          <w:kern w:val="0"/>
          <w:sz w:val="18"/>
          <w:szCs w:val="18"/>
          <w:highlight w:val="none"/>
          <w:lang w:val="zh-CN" w:eastAsia="zh-CN"/>
        </w:rPr>
        <w:t>。</w:t>
      </w:r>
    </w:p>
    <w:p w14:paraId="01D12B49">
      <w:pPr>
        <w:topLinePunct/>
        <w:autoSpaceDE w:val="0"/>
        <w:autoSpaceDN w:val="0"/>
        <w:spacing w:line="460" w:lineRule="exact"/>
        <w:jc w:val="center"/>
        <w:rPr>
          <w:rFonts w:hint="eastAsia" w:ascii="宋体" w:hAnsi="宋体" w:cs="宋体"/>
          <w:b/>
          <w:bCs/>
          <w:sz w:val="28"/>
          <w:szCs w:val="28"/>
          <w:highlight w:val="none"/>
        </w:rPr>
      </w:pPr>
    </w:p>
    <w:p w14:paraId="2901C220">
      <w:pPr>
        <w:widowControl/>
        <w:ind w:firstLine="540" w:firstLineChars="300"/>
        <w:jc w:val="left"/>
        <w:rPr>
          <w:rFonts w:ascii="宋体" w:hAnsi="宋体" w:cs="宋体"/>
          <w:kern w:val="0"/>
          <w:sz w:val="18"/>
          <w:szCs w:val="18"/>
          <w:highlight w:val="none"/>
        </w:rPr>
      </w:pPr>
    </w:p>
    <w:p w14:paraId="01E6E580">
      <w:pPr>
        <w:pStyle w:val="16"/>
        <w:topLinePunct/>
        <w:autoSpaceDE w:val="0"/>
        <w:autoSpaceDN w:val="0"/>
        <w:spacing w:line="460" w:lineRule="exact"/>
        <w:ind w:firstLine="480"/>
        <w:jc w:val="center"/>
        <w:rPr>
          <w:rFonts w:hAnsi="宋体" w:cs="宋体"/>
          <w:sz w:val="24"/>
          <w:highlight w:val="none"/>
        </w:rPr>
        <w:sectPr>
          <w:pgSz w:w="11907" w:h="16839"/>
          <w:pgMar w:top="1440" w:right="1334" w:bottom="1440" w:left="1332" w:header="851" w:footer="992" w:gutter="0"/>
          <w:pgBorders>
            <w:top w:val="none" w:sz="0" w:space="0"/>
            <w:left w:val="none" w:sz="0" w:space="0"/>
            <w:bottom w:val="none" w:sz="0" w:space="0"/>
            <w:right w:val="none" w:sz="0" w:space="0"/>
          </w:pgBorders>
          <w:cols w:space="720" w:num="1"/>
          <w:titlePg/>
          <w:docGrid w:linePitch="312" w:charSpace="0"/>
        </w:sectPr>
      </w:pPr>
    </w:p>
    <w:p w14:paraId="0C9844E5">
      <w:pPr>
        <w:pStyle w:val="10"/>
        <w:widowControl/>
        <w:numPr>
          <w:ilvl w:val="255"/>
          <w:numId w:val="0"/>
        </w:numPr>
        <w:spacing w:after="240" w:line="316" w:lineRule="auto"/>
        <w:jc w:val="center"/>
        <w:rPr>
          <w:rFonts w:ascii="Times New Roman" w:hAnsi="Times New Roman"/>
          <w:sz w:val="28"/>
          <w:szCs w:val="28"/>
          <w:highlight w:val="none"/>
        </w:rPr>
      </w:pPr>
      <w:r>
        <w:rPr>
          <w:rFonts w:hint="eastAsia" w:ascii="Times New Roman" w:hAnsi="Times New Roman" w:cs="宋体"/>
          <w:sz w:val="28"/>
          <w:szCs w:val="28"/>
          <w:highlight w:val="none"/>
        </w:rPr>
        <w:t>七、监狱企业证明文件</w:t>
      </w:r>
    </w:p>
    <w:p w14:paraId="3C1EECDE">
      <w:pPr>
        <w:pStyle w:val="9"/>
        <w:widowControl w:val="0"/>
        <w:spacing w:before="0" w:beforeAutospacing="0" w:after="0" w:afterAutospacing="0" w:line="360" w:lineRule="auto"/>
        <w:rPr>
          <w:rFonts w:ascii="Times New Roman" w:hAnsi="Times New Roman" w:cs="Times New Roman"/>
          <w:highlight w:val="none"/>
        </w:rPr>
      </w:pPr>
    </w:p>
    <w:p w14:paraId="6B4DD083">
      <w:pPr>
        <w:pStyle w:val="55"/>
        <w:widowControl/>
        <w:spacing w:line="480" w:lineRule="exact"/>
        <w:ind w:firstLine="420" w:firstLineChars="200"/>
        <w:rPr>
          <w:rFonts w:hint="default" w:hAnsi="宋体"/>
          <w:highlight w:val="none"/>
        </w:rPr>
      </w:pPr>
      <w:r>
        <w:rPr>
          <w:rFonts w:hAnsi="宋体"/>
          <w:highlight w:val="none"/>
        </w:rPr>
        <w:t>备注：1.填写前请认真阅读《财政部 司法部关于政府采购支持监狱企业发展有关问题的通知》（财库〔2014〕68号）相关规定。监狱企业参加政府采购活动时，应当提供由省级以上监狱管理局、戒毒管理局（含新疆生产建设兵团）出具的属于监狱企业的证明文件。</w:t>
      </w:r>
    </w:p>
    <w:p w14:paraId="2AC2B584">
      <w:pPr>
        <w:pStyle w:val="16"/>
        <w:topLinePunct/>
        <w:autoSpaceDE w:val="0"/>
        <w:autoSpaceDN w:val="0"/>
        <w:spacing w:line="460" w:lineRule="exact"/>
        <w:ind w:firstLine="480"/>
        <w:jc w:val="center"/>
        <w:rPr>
          <w:rFonts w:hAnsi="宋体" w:cs="宋体"/>
          <w:sz w:val="24"/>
          <w:highlight w:val="none"/>
        </w:rPr>
        <w:sectPr>
          <w:pgSz w:w="11907" w:h="16839"/>
          <w:pgMar w:top="1440" w:right="1334" w:bottom="1440" w:left="1332" w:header="851" w:footer="992" w:gutter="0"/>
          <w:pgBorders>
            <w:top w:val="none" w:sz="0" w:space="0"/>
            <w:left w:val="none" w:sz="0" w:space="0"/>
            <w:bottom w:val="none" w:sz="0" w:space="0"/>
            <w:right w:val="none" w:sz="0" w:space="0"/>
          </w:pgBorders>
          <w:cols w:space="720" w:num="1"/>
          <w:titlePg/>
          <w:docGrid w:linePitch="312" w:charSpace="0"/>
        </w:sectPr>
      </w:pPr>
    </w:p>
    <w:p w14:paraId="453DD634">
      <w:pPr>
        <w:pStyle w:val="16"/>
        <w:topLinePunct/>
        <w:autoSpaceDE w:val="0"/>
        <w:autoSpaceDN w:val="0"/>
        <w:spacing w:line="460" w:lineRule="exact"/>
        <w:ind w:firstLine="480"/>
        <w:jc w:val="center"/>
        <w:rPr>
          <w:rFonts w:hAnsi="宋体" w:cs="宋体"/>
          <w:b/>
          <w:bCs/>
          <w:sz w:val="28"/>
          <w:szCs w:val="28"/>
          <w:highlight w:val="none"/>
        </w:rPr>
      </w:pPr>
      <w:r>
        <w:rPr>
          <w:rFonts w:hint="eastAsia" w:hAnsi="宋体" w:cs="宋体"/>
          <w:b/>
          <w:bCs/>
          <w:sz w:val="28"/>
          <w:szCs w:val="28"/>
          <w:highlight w:val="none"/>
        </w:rPr>
        <w:t>八、残疾人福利性单位声明函</w:t>
      </w:r>
    </w:p>
    <w:p w14:paraId="41AB27CD">
      <w:pPr>
        <w:spacing w:line="588" w:lineRule="exact"/>
        <w:ind w:firstLine="444" w:firstLineChars="200"/>
        <w:rPr>
          <w:rFonts w:ascii="宋体" w:hAnsi="宋体" w:cs="宋体"/>
          <w:spacing w:val="6"/>
          <w:szCs w:val="21"/>
          <w:highlight w:val="none"/>
        </w:rPr>
      </w:pPr>
    </w:p>
    <w:p w14:paraId="56E4CEA1">
      <w:pPr>
        <w:spacing w:line="588"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68FCD2A">
      <w:pPr>
        <w:spacing w:line="588"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14:paraId="673A5AE1">
      <w:pPr>
        <w:spacing w:line="588" w:lineRule="exact"/>
        <w:ind w:firstLine="444" w:firstLineChars="200"/>
        <w:rPr>
          <w:rFonts w:ascii="宋体" w:hAnsi="宋体" w:cs="宋体"/>
          <w:spacing w:val="6"/>
          <w:szCs w:val="21"/>
          <w:highlight w:val="none"/>
        </w:rPr>
      </w:pPr>
    </w:p>
    <w:p w14:paraId="1B5E6B12">
      <w:pPr>
        <w:spacing w:line="588" w:lineRule="exact"/>
        <w:ind w:firstLine="444" w:firstLineChars="200"/>
        <w:rPr>
          <w:rFonts w:ascii="宋体" w:hAnsi="宋体" w:cs="宋体"/>
          <w:spacing w:val="6"/>
          <w:szCs w:val="21"/>
          <w:highlight w:val="none"/>
        </w:rPr>
      </w:pPr>
    </w:p>
    <w:p w14:paraId="3018C5E5">
      <w:pPr>
        <w:spacing w:line="588" w:lineRule="exact"/>
        <w:ind w:firstLine="444" w:firstLineChars="200"/>
        <w:rPr>
          <w:rFonts w:ascii="宋体" w:hAnsi="宋体" w:cs="宋体"/>
          <w:spacing w:val="6"/>
          <w:szCs w:val="21"/>
          <w:highlight w:val="none"/>
        </w:rPr>
      </w:pPr>
    </w:p>
    <w:p w14:paraId="34384AE2">
      <w:pPr>
        <w:tabs>
          <w:tab w:val="left" w:pos="123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w:t>
      </w:r>
      <w:r>
        <w:rPr>
          <w:rFonts w:hint="eastAsia" w:ascii="宋体" w:hAnsi="宋体" w:cs="宋体"/>
          <w:kern w:val="0"/>
          <w:szCs w:val="21"/>
          <w:highlight w:val="none"/>
        </w:rPr>
        <w:t>（全称并加盖公章</w:t>
      </w:r>
      <w:r>
        <w:rPr>
          <w:rFonts w:hint="eastAsia" w:ascii="宋体" w:hAnsi="宋体" w:cs="宋体"/>
          <w:szCs w:val="21"/>
          <w:highlight w:val="none"/>
        </w:rPr>
        <w:t>）：</w:t>
      </w:r>
      <w:r>
        <w:rPr>
          <w:rFonts w:hint="eastAsia" w:ascii="宋体" w:hAnsi="宋体" w:cs="宋体"/>
          <w:highlight w:val="none"/>
        </w:rPr>
        <w:t>____________</w:t>
      </w:r>
    </w:p>
    <w:p w14:paraId="19C58424">
      <w:pPr>
        <w:tabs>
          <w:tab w:val="left" w:pos="123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日期：</w:t>
      </w:r>
      <w:r>
        <w:rPr>
          <w:rFonts w:hint="eastAsia" w:ascii="宋体" w:hAnsi="宋体" w:cs="宋体"/>
          <w:highlight w:val="none"/>
        </w:rPr>
        <w:t>____________</w:t>
      </w:r>
    </w:p>
    <w:p w14:paraId="24EB6EF4">
      <w:pPr>
        <w:topLinePunct/>
        <w:autoSpaceDE w:val="0"/>
        <w:autoSpaceDN w:val="0"/>
        <w:spacing w:line="460" w:lineRule="exact"/>
        <w:ind w:firstLine="444"/>
        <w:jc w:val="center"/>
        <w:rPr>
          <w:rFonts w:ascii="宋体" w:hAnsi="宋体" w:cs="宋体"/>
          <w:spacing w:val="6"/>
          <w:szCs w:val="21"/>
          <w:highlight w:val="none"/>
        </w:rPr>
      </w:pPr>
    </w:p>
    <w:p w14:paraId="3A5B10D4">
      <w:pPr>
        <w:ind w:firstLine="562"/>
        <w:rPr>
          <w:rFonts w:ascii="宋体" w:hAnsi="宋体" w:cs="宋体"/>
          <w:b/>
          <w:bCs/>
          <w:sz w:val="28"/>
          <w:szCs w:val="28"/>
          <w:highlight w:val="none"/>
        </w:rPr>
      </w:pPr>
    </w:p>
    <w:p w14:paraId="403D7951">
      <w:pPr>
        <w:pStyle w:val="36"/>
        <w:tabs>
          <w:tab w:val="left" w:pos="420"/>
        </w:tabs>
        <w:snapToGrid w:val="0"/>
        <w:spacing w:line="460" w:lineRule="atLeast"/>
        <w:ind w:firstLine="560"/>
        <w:rPr>
          <w:rFonts w:ascii="宋体" w:hAnsi="宋体" w:eastAsia="宋体" w:cs="宋体"/>
          <w:b/>
          <w:bCs/>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b/>
          <w:bCs/>
          <w:sz w:val="28"/>
          <w:szCs w:val="28"/>
          <w:highlight w:val="none"/>
        </w:rPr>
        <w:t>九、成功案例一览表</w:t>
      </w:r>
    </w:p>
    <w:p w14:paraId="23580393">
      <w:pPr>
        <w:jc w:val="center"/>
        <w:rPr>
          <w:rFonts w:ascii="宋体" w:hAnsi="宋体" w:cs="宋体"/>
          <w:highlight w:val="none"/>
        </w:rPr>
      </w:pPr>
    </w:p>
    <w:tbl>
      <w:tblPr>
        <w:tblStyle w:val="24"/>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19"/>
        <w:gridCol w:w="864"/>
        <w:gridCol w:w="707"/>
        <w:gridCol w:w="744"/>
        <w:gridCol w:w="1221"/>
        <w:gridCol w:w="1161"/>
        <w:gridCol w:w="1065"/>
        <w:gridCol w:w="1737"/>
      </w:tblGrid>
      <w:tr w14:paraId="7D42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3B1CF38E">
            <w:pPr>
              <w:topLinePunct/>
              <w:autoSpaceDE w:val="0"/>
              <w:autoSpaceDN w:val="0"/>
              <w:adjustRightInd w:val="0"/>
              <w:snapToGrid w:val="0"/>
              <w:jc w:val="center"/>
              <w:rPr>
                <w:rFonts w:ascii="宋体" w:hAnsi="宋体" w:cs="宋体"/>
                <w:b/>
                <w:szCs w:val="21"/>
                <w:highlight w:val="none"/>
              </w:rPr>
            </w:pPr>
            <w:r>
              <w:rPr>
                <w:rFonts w:hint="eastAsia" w:ascii="宋体" w:hAnsi="宋体" w:cs="宋体"/>
                <w:b/>
                <w:szCs w:val="21"/>
                <w:highlight w:val="none"/>
              </w:rPr>
              <w:t>序号</w:t>
            </w:r>
          </w:p>
        </w:tc>
        <w:tc>
          <w:tcPr>
            <w:tcW w:w="819" w:type="dxa"/>
            <w:tcBorders>
              <w:top w:val="single" w:color="auto" w:sz="4" w:space="0"/>
              <w:left w:val="single" w:color="auto" w:sz="4" w:space="0"/>
              <w:bottom w:val="single" w:color="auto" w:sz="4" w:space="0"/>
              <w:right w:val="single" w:color="auto" w:sz="4" w:space="0"/>
            </w:tcBorders>
            <w:vAlign w:val="center"/>
          </w:tcPr>
          <w:p w14:paraId="77E42A32">
            <w:pPr>
              <w:topLinePunct/>
              <w:autoSpaceDE w:val="0"/>
              <w:autoSpaceDN w:val="0"/>
              <w:adjustRightInd w:val="0"/>
              <w:snapToGrid w:val="0"/>
              <w:jc w:val="center"/>
              <w:rPr>
                <w:rFonts w:ascii="宋体" w:hAnsi="宋体" w:cs="宋体"/>
                <w:b/>
                <w:szCs w:val="21"/>
                <w:highlight w:val="none"/>
              </w:rPr>
            </w:pPr>
            <w:r>
              <w:rPr>
                <w:rFonts w:hint="eastAsia" w:ascii="宋体" w:hAnsi="宋体" w:cs="宋体"/>
                <w:b/>
                <w:szCs w:val="21"/>
                <w:highlight w:val="none"/>
              </w:rPr>
              <w:t>合同</w:t>
            </w:r>
          </w:p>
          <w:p w14:paraId="167993A4">
            <w:pPr>
              <w:topLinePunct/>
              <w:autoSpaceDE w:val="0"/>
              <w:autoSpaceDN w:val="0"/>
              <w:adjustRightInd w:val="0"/>
              <w:snapToGrid w:val="0"/>
              <w:jc w:val="center"/>
              <w:rPr>
                <w:rFonts w:ascii="宋体" w:hAnsi="宋体" w:cs="宋体"/>
                <w:b/>
                <w:szCs w:val="21"/>
                <w:highlight w:val="none"/>
              </w:rPr>
            </w:pPr>
            <w:r>
              <w:rPr>
                <w:rFonts w:hint="eastAsia" w:ascii="宋体" w:hAnsi="宋体" w:cs="宋体"/>
                <w:b/>
                <w:szCs w:val="21"/>
                <w:highlight w:val="none"/>
              </w:rPr>
              <w:t>名称</w:t>
            </w:r>
          </w:p>
        </w:tc>
        <w:tc>
          <w:tcPr>
            <w:tcW w:w="864" w:type="dxa"/>
            <w:tcBorders>
              <w:top w:val="single" w:color="auto" w:sz="4" w:space="0"/>
              <w:left w:val="single" w:color="auto" w:sz="4" w:space="0"/>
              <w:bottom w:val="single" w:color="auto" w:sz="4" w:space="0"/>
              <w:right w:val="single" w:color="auto" w:sz="4" w:space="0"/>
            </w:tcBorders>
            <w:vAlign w:val="center"/>
          </w:tcPr>
          <w:p w14:paraId="5537D2D7">
            <w:pPr>
              <w:topLinePunct/>
              <w:autoSpaceDE w:val="0"/>
              <w:autoSpaceDN w:val="0"/>
              <w:adjustRightInd w:val="0"/>
              <w:snapToGrid w:val="0"/>
              <w:jc w:val="center"/>
              <w:rPr>
                <w:rFonts w:ascii="宋体" w:hAnsi="宋体" w:cs="宋体"/>
                <w:b/>
                <w:szCs w:val="21"/>
                <w:highlight w:val="none"/>
              </w:rPr>
            </w:pPr>
            <w:r>
              <w:rPr>
                <w:rFonts w:hint="eastAsia" w:ascii="宋体" w:hAnsi="宋体" w:cs="宋体"/>
                <w:b/>
                <w:szCs w:val="21"/>
                <w:highlight w:val="none"/>
              </w:rPr>
              <w:t>合同</w:t>
            </w:r>
          </w:p>
          <w:p w14:paraId="0DC48F34">
            <w:pPr>
              <w:topLinePunct/>
              <w:autoSpaceDE w:val="0"/>
              <w:autoSpaceDN w:val="0"/>
              <w:adjustRightInd w:val="0"/>
              <w:snapToGrid w:val="0"/>
              <w:jc w:val="center"/>
              <w:rPr>
                <w:rFonts w:ascii="宋体" w:hAnsi="宋体" w:cs="宋体"/>
                <w:b/>
                <w:szCs w:val="21"/>
                <w:highlight w:val="none"/>
              </w:rPr>
            </w:pPr>
            <w:r>
              <w:rPr>
                <w:rFonts w:hint="eastAsia" w:ascii="宋体" w:hAnsi="宋体" w:cs="宋体"/>
                <w:b/>
                <w:szCs w:val="21"/>
                <w:highlight w:val="none"/>
              </w:rPr>
              <w:t>甲方</w:t>
            </w:r>
          </w:p>
        </w:tc>
        <w:tc>
          <w:tcPr>
            <w:tcW w:w="707" w:type="dxa"/>
            <w:tcBorders>
              <w:top w:val="single" w:color="auto" w:sz="4" w:space="0"/>
              <w:left w:val="single" w:color="auto" w:sz="4" w:space="0"/>
              <w:bottom w:val="single" w:color="auto" w:sz="4" w:space="0"/>
              <w:right w:val="single" w:color="auto" w:sz="4" w:space="0"/>
            </w:tcBorders>
            <w:vAlign w:val="center"/>
          </w:tcPr>
          <w:p w14:paraId="47B6D50E">
            <w:pPr>
              <w:topLinePunct/>
              <w:autoSpaceDE w:val="0"/>
              <w:autoSpaceDN w:val="0"/>
              <w:adjustRightInd w:val="0"/>
              <w:snapToGrid w:val="0"/>
              <w:jc w:val="center"/>
              <w:rPr>
                <w:rFonts w:ascii="宋体" w:hAnsi="宋体" w:cs="宋体"/>
                <w:b/>
                <w:szCs w:val="21"/>
                <w:highlight w:val="none"/>
              </w:rPr>
            </w:pPr>
            <w:r>
              <w:rPr>
                <w:rFonts w:hint="eastAsia" w:ascii="宋体" w:hAnsi="宋体" w:cs="宋体"/>
                <w:b/>
                <w:szCs w:val="21"/>
                <w:highlight w:val="none"/>
              </w:rPr>
              <w:t>合同时间</w:t>
            </w:r>
          </w:p>
        </w:tc>
        <w:tc>
          <w:tcPr>
            <w:tcW w:w="744" w:type="dxa"/>
            <w:tcBorders>
              <w:top w:val="single" w:color="auto" w:sz="4" w:space="0"/>
              <w:left w:val="single" w:color="auto" w:sz="4" w:space="0"/>
              <w:bottom w:val="single" w:color="auto" w:sz="4" w:space="0"/>
              <w:right w:val="single" w:color="auto" w:sz="4" w:space="0"/>
            </w:tcBorders>
            <w:vAlign w:val="center"/>
          </w:tcPr>
          <w:p w14:paraId="3C9BB612">
            <w:pPr>
              <w:topLinePunct/>
              <w:autoSpaceDE w:val="0"/>
              <w:autoSpaceDN w:val="0"/>
              <w:adjustRightInd w:val="0"/>
              <w:snapToGrid w:val="0"/>
              <w:jc w:val="center"/>
              <w:rPr>
                <w:rFonts w:ascii="宋体" w:hAnsi="宋体" w:cs="宋体"/>
                <w:b/>
                <w:szCs w:val="21"/>
                <w:highlight w:val="none"/>
              </w:rPr>
            </w:pPr>
            <w:r>
              <w:rPr>
                <w:rFonts w:hint="eastAsia" w:ascii="宋体" w:hAnsi="宋体" w:cs="宋体"/>
                <w:b/>
                <w:szCs w:val="21"/>
                <w:highlight w:val="none"/>
              </w:rPr>
              <w:t>合同</w:t>
            </w:r>
          </w:p>
          <w:p w14:paraId="2B4D2CB7">
            <w:pPr>
              <w:topLinePunct/>
              <w:autoSpaceDE w:val="0"/>
              <w:autoSpaceDN w:val="0"/>
              <w:adjustRightInd w:val="0"/>
              <w:snapToGrid w:val="0"/>
              <w:jc w:val="center"/>
              <w:rPr>
                <w:rFonts w:ascii="宋体" w:hAnsi="宋体" w:cs="宋体"/>
                <w:b/>
                <w:szCs w:val="21"/>
                <w:highlight w:val="none"/>
              </w:rPr>
            </w:pPr>
            <w:r>
              <w:rPr>
                <w:rFonts w:hint="eastAsia" w:ascii="宋体" w:hAnsi="宋体" w:cs="宋体"/>
                <w:b/>
                <w:szCs w:val="21"/>
                <w:highlight w:val="none"/>
              </w:rPr>
              <w:t>金额</w:t>
            </w:r>
          </w:p>
        </w:tc>
        <w:tc>
          <w:tcPr>
            <w:tcW w:w="1221" w:type="dxa"/>
            <w:tcBorders>
              <w:top w:val="single" w:color="auto" w:sz="4" w:space="0"/>
              <w:left w:val="single" w:color="auto" w:sz="4" w:space="0"/>
              <w:bottom w:val="single" w:color="auto" w:sz="4" w:space="0"/>
              <w:right w:val="single" w:color="auto" w:sz="4" w:space="0"/>
            </w:tcBorders>
            <w:vAlign w:val="center"/>
          </w:tcPr>
          <w:p w14:paraId="713AD28D">
            <w:pPr>
              <w:topLinePunct/>
              <w:autoSpaceDE w:val="0"/>
              <w:autoSpaceDN w:val="0"/>
              <w:adjustRightInd w:val="0"/>
              <w:snapToGrid w:val="0"/>
              <w:jc w:val="center"/>
              <w:rPr>
                <w:rFonts w:ascii="宋体" w:hAnsi="宋体" w:cs="宋体"/>
                <w:b/>
                <w:szCs w:val="21"/>
                <w:highlight w:val="none"/>
              </w:rPr>
            </w:pPr>
            <w:r>
              <w:rPr>
                <w:rFonts w:hint="eastAsia" w:ascii="宋体" w:hAnsi="宋体" w:cs="宋体"/>
                <w:b/>
                <w:szCs w:val="21"/>
                <w:highlight w:val="none"/>
              </w:rPr>
              <w:t>合同主要</w:t>
            </w:r>
          </w:p>
          <w:p w14:paraId="61F0F587">
            <w:pPr>
              <w:topLinePunct/>
              <w:autoSpaceDE w:val="0"/>
              <w:autoSpaceDN w:val="0"/>
              <w:adjustRightInd w:val="0"/>
              <w:snapToGrid w:val="0"/>
              <w:jc w:val="center"/>
              <w:rPr>
                <w:rFonts w:ascii="宋体" w:hAnsi="宋体" w:cs="宋体"/>
                <w:b/>
                <w:szCs w:val="21"/>
                <w:highlight w:val="none"/>
              </w:rPr>
            </w:pPr>
            <w:r>
              <w:rPr>
                <w:rFonts w:hint="eastAsia" w:ascii="宋体" w:hAnsi="宋体" w:cs="宋体"/>
                <w:b/>
                <w:szCs w:val="21"/>
                <w:highlight w:val="none"/>
              </w:rPr>
              <w:t>内容</w:t>
            </w:r>
          </w:p>
        </w:tc>
        <w:tc>
          <w:tcPr>
            <w:tcW w:w="1161" w:type="dxa"/>
            <w:tcBorders>
              <w:top w:val="single" w:color="auto" w:sz="4" w:space="0"/>
              <w:left w:val="single" w:color="auto" w:sz="4" w:space="0"/>
              <w:bottom w:val="single" w:color="auto" w:sz="4" w:space="0"/>
              <w:right w:val="single" w:color="auto" w:sz="4" w:space="0"/>
            </w:tcBorders>
            <w:vAlign w:val="center"/>
          </w:tcPr>
          <w:p w14:paraId="1582604E">
            <w:pPr>
              <w:topLinePunct/>
              <w:autoSpaceDE w:val="0"/>
              <w:autoSpaceDN w:val="0"/>
              <w:adjustRightInd w:val="0"/>
              <w:snapToGrid w:val="0"/>
              <w:jc w:val="center"/>
              <w:rPr>
                <w:rFonts w:ascii="宋体" w:hAnsi="宋体" w:cs="宋体"/>
                <w:b/>
                <w:szCs w:val="21"/>
                <w:highlight w:val="none"/>
              </w:rPr>
            </w:pPr>
            <w:r>
              <w:rPr>
                <w:rFonts w:hint="eastAsia" w:ascii="宋体" w:hAnsi="宋体" w:cs="宋体"/>
                <w:b/>
                <w:szCs w:val="21"/>
                <w:highlight w:val="none"/>
              </w:rPr>
              <w:t>用  户</w:t>
            </w:r>
          </w:p>
          <w:p w14:paraId="0FD1B470">
            <w:pPr>
              <w:topLinePunct/>
              <w:autoSpaceDE w:val="0"/>
              <w:autoSpaceDN w:val="0"/>
              <w:adjustRightInd w:val="0"/>
              <w:snapToGrid w:val="0"/>
              <w:jc w:val="center"/>
              <w:rPr>
                <w:rFonts w:ascii="宋体" w:hAnsi="宋体" w:cs="宋体"/>
                <w:b/>
                <w:szCs w:val="21"/>
                <w:highlight w:val="none"/>
              </w:rPr>
            </w:pPr>
            <w:r>
              <w:rPr>
                <w:rFonts w:hint="eastAsia" w:ascii="宋体" w:hAnsi="宋体" w:cs="宋体"/>
                <w:b/>
                <w:szCs w:val="21"/>
                <w:highlight w:val="none"/>
              </w:rPr>
              <w:t>联系人</w:t>
            </w:r>
          </w:p>
        </w:tc>
        <w:tc>
          <w:tcPr>
            <w:tcW w:w="1065" w:type="dxa"/>
            <w:tcBorders>
              <w:top w:val="single" w:color="auto" w:sz="4" w:space="0"/>
              <w:left w:val="single" w:color="auto" w:sz="4" w:space="0"/>
              <w:bottom w:val="single" w:color="auto" w:sz="4" w:space="0"/>
              <w:right w:val="single" w:color="auto" w:sz="4" w:space="0"/>
            </w:tcBorders>
            <w:vAlign w:val="center"/>
          </w:tcPr>
          <w:p w14:paraId="1851E518">
            <w:pPr>
              <w:topLinePunct/>
              <w:autoSpaceDE w:val="0"/>
              <w:autoSpaceDN w:val="0"/>
              <w:adjustRightInd w:val="0"/>
              <w:snapToGrid w:val="0"/>
              <w:jc w:val="center"/>
              <w:rPr>
                <w:rFonts w:ascii="宋体" w:hAnsi="宋体" w:cs="宋体"/>
                <w:b/>
                <w:szCs w:val="21"/>
                <w:highlight w:val="none"/>
              </w:rPr>
            </w:pPr>
            <w:r>
              <w:rPr>
                <w:rFonts w:hint="eastAsia" w:ascii="宋体" w:hAnsi="宋体" w:cs="宋体"/>
                <w:b/>
                <w:szCs w:val="21"/>
                <w:highlight w:val="none"/>
              </w:rPr>
              <w:t>用户联</w:t>
            </w:r>
          </w:p>
          <w:p w14:paraId="5B474791">
            <w:pPr>
              <w:topLinePunct/>
              <w:autoSpaceDE w:val="0"/>
              <w:autoSpaceDN w:val="0"/>
              <w:adjustRightInd w:val="0"/>
              <w:snapToGrid w:val="0"/>
              <w:jc w:val="center"/>
              <w:rPr>
                <w:rFonts w:ascii="宋体" w:hAnsi="宋体" w:cs="宋体"/>
                <w:b/>
                <w:szCs w:val="21"/>
                <w:highlight w:val="none"/>
              </w:rPr>
            </w:pPr>
            <w:r>
              <w:rPr>
                <w:rFonts w:hint="eastAsia" w:ascii="宋体" w:hAnsi="宋体" w:cs="宋体"/>
                <w:b/>
                <w:szCs w:val="21"/>
                <w:highlight w:val="none"/>
              </w:rPr>
              <w:t>系电话</w:t>
            </w:r>
          </w:p>
        </w:tc>
        <w:tc>
          <w:tcPr>
            <w:tcW w:w="1737" w:type="dxa"/>
            <w:tcBorders>
              <w:top w:val="single" w:color="auto" w:sz="4" w:space="0"/>
              <w:left w:val="single" w:color="auto" w:sz="4" w:space="0"/>
              <w:bottom w:val="single" w:color="auto" w:sz="4" w:space="0"/>
              <w:right w:val="single" w:color="auto" w:sz="4" w:space="0"/>
            </w:tcBorders>
            <w:vAlign w:val="center"/>
          </w:tcPr>
          <w:p w14:paraId="09C4E03C">
            <w:pPr>
              <w:topLinePunct/>
              <w:autoSpaceDE w:val="0"/>
              <w:autoSpaceDN w:val="0"/>
              <w:adjustRightInd w:val="0"/>
              <w:snapToGrid w:val="0"/>
              <w:jc w:val="center"/>
              <w:rPr>
                <w:rFonts w:ascii="宋体" w:hAnsi="宋体" w:cs="宋体"/>
                <w:b/>
                <w:szCs w:val="21"/>
                <w:highlight w:val="none"/>
              </w:rPr>
            </w:pPr>
            <w:r>
              <w:rPr>
                <w:rFonts w:hint="eastAsia" w:ascii="宋体" w:hAnsi="宋体" w:cs="宋体"/>
                <w:b/>
                <w:szCs w:val="21"/>
                <w:highlight w:val="none"/>
              </w:rPr>
              <w:t>备注</w:t>
            </w:r>
          </w:p>
        </w:tc>
      </w:tr>
      <w:tr w14:paraId="6786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48D5C489">
            <w:pPr>
              <w:topLinePunct/>
              <w:autoSpaceDE w:val="0"/>
              <w:autoSpaceDN w:val="0"/>
              <w:adjustRightInd w:val="0"/>
              <w:snapToGrid w:val="0"/>
              <w:jc w:val="center"/>
              <w:rPr>
                <w:rFonts w:ascii="宋体" w:hAnsi="宋体" w:cs="宋体"/>
                <w:szCs w:val="21"/>
                <w:highlight w:val="none"/>
              </w:rPr>
            </w:pPr>
            <w:r>
              <w:rPr>
                <w:rFonts w:hint="eastAsia" w:ascii="宋体" w:hAnsi="宋体" w:cs="宋体"/>
                <w:szCs w:val="21"/>
                <w:highlight w:val="none"/>
              </w:rPr>
              <w:t>1</w:t>
            </w:r>
          </w:p>
        </w:tc>
        <w:tc>
          <w:tcPr>
            <w:tcW w:w="819" w:type="dxa"/>
            <w:tcBorders>
              <w:top w:val="single" w:color="auto" w:sz="4" w:space="0"/>
              <w:left w:val="single" w:color="auto" w:sz="4" w:space="0"/>
              <w:bottom w:val="single" w:color="auto" w:sz="4" w:space="0"/>
              <w:right w:val="single" w:color="auto" w:sz="4" w:space="0"/>
            </w:tcBorders>
            <w:vAlign w:val="center"/>
          </w:tcPr>
          <w:p w14:paraId="3A11307C">
            <w:pPr>
              <w:topLinePunct/>
              <w:autoSpaceDE w:val="0"/>
              <w:autoSpaceDN w:val="0"/>
              <w:adjustRightInd w:val="0"/>
              <w:snapToGrid w:val="0"/>
              <w:jc w:val="center"/>
              <w:rPr>
                <w:rFonts w:ascii="宋体" w:hAnsi="宋体" w:cs="宋体"/>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6090672F">
            <w:pPr>
              <w:topLinePunct/>
              <w:autoSpaceDE w:val="0"/>
              <w:autoSpaceDN w:val="0"/>
              <w:adjustRightInd w:val="0"/>
              <w:snapToGrid w:val="0"/>
              <w:jc w:val="center"/>
              <w:rPr>
                <w:rFonts w:ascii="宋体" w:hAnsi="宋体" w:cs="宋体"/>
                <w:szCs w:val="21"/>
                <w:highlight w:val="none"/>
              </w:rPr>
            </w:pPr>
          </w:p>
        </w:tc>
        <w:tc>
          <w:tcPr>
            <w:tcW w:w="707" w:type="dxa"/>
            <w:tcBorders>
              <w:top w:val="single" w:color="auto" w:sz="4" w:space="0"/>
              <w:left w:val="single" w:color="auto" w:sz="4" w:space="0"/>
              <w:bottom w:val="single" w:color="auto" w:sz="4" w:space="0"/>
              <w:right w:val="single" w:color="auto" w:sz="4" w:space="0"/>
            </w:tcBorders>
          </w:tcPr>
          <w:p w14:paraId="4963D7A9">
            <w:pPr>
              <w:topLinePunct/>
              <w:autoSpaceDE w:val="0"/>
              <w:autoSpaceDN w:val="0"/>
              <w:adjustRightInd w:val="0"/>
              <w:snapToGrid w:val="0"/>
              <w:jc w:val="center"/>
              <w:rPr>
                <w:rFonts w:ascii="宋体" w:hAnsi="宋体" w:cs="宋体"/>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5F9C1FF4">
            <w:pPr>
              <w:topLinePunct/>
              <w:autoSpaceDE w:val="0"/>
              <w:autoSpaceDN w:val="0"/>
              <w:adjustRightInd w:val="0"/>
              <w:snapToGrid w:val="0"/>
              <w:jc w:val="center"/>
              <w:rPr>
                <w:rFonts w:ascii="宋体" w:hAnsi="宋体" w:cs="宋体"/>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28ECA3DB">
            <w:pPr>
              <w:topLinePunct/>
              <w:autoSpaceDE w:val="0"/>
              <w:autoSpaceDN w:val="0"/>
              <w:adjustRightInd w:val="0"/>
              <w:snapToGrid w:val="0"/>
              <w:jc w:val="center"/>
              <w:rPr>
                <w:rFonts w:ascii="宋体" w:hAnsi="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4162D1AE">
            <w:pPr>
              <w:topLinePunct/>
              <w:autoSpaceDE w:val="0"/>
              <w:autoSpaceDN w:val="0"/>
              <w:adjustRightInd w:val="0"/>
              <w:snapToGrid w:val="0"/>
              <w:jc w:val="center"/>
              <w:rPr>
                <w:rFonts w:ascii="宋体" w:hAnsi="宋体" w:cs="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393F6ED6">
            <w:pPr>
              <w:topLinePunct/>
              <w:autoSpaceDE w:val="0"/>
              <w:autoSpaceDN w:val="0"/>
              <w:adjustRightInd w:val="0"/>
              <w:snapToGrid w:val="0"/>
              <w:jc w:val="center"/>
              <w:rPr>
                <w:rFonts w:ascii="宋体" w:hAnsi="宋体" w:cs="宋体"/>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1B945DF4">
            <w:pPr>
              <w:topLinePunct/>
              <w:autoSpaceDE w:val="0"/>
              <w:autoSpaceDN w:val="0"/>
              <w:adjustRightInd w:val="0"/>
              <w:snapToGrid w:val="0"/>
              <w:jc w:val="center"/>
              <w:rPr>
                <w:rFonts w:ascii="宋体" w:hAnsi="宋体" w:cs="宋体"/>
                <w:szCs w:val="21"/>
                <w:highlight w:val="none"/>
              </w:rPr>
            </w:pPr>
          </w:p>
        </w:tc>
      </w:tr>
      <w:tr w14:paraId="22A4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27052CB1">
            <w:pPr>
              <w:topLinePunct/>
              <w:autoSpaceDE w:val="0"/>
              <w:autoSpaceDN w:val="0"/>
              <w:adjustRightInd w:val="0"/>
              <w:snapToGrid w:val="0"/>
              <w:jc w:val="center"/>
              <w:rPr>
                <w:rFonts w:ascii="宋体" w:hAnsi="宋体" w:cs="宋体"/>
                <w:szCs w:val="21"/>
                <w:highlight w:val="none"/>
              </w:rPr>
            </w:pPr>
            <w:r>
              <w:rPr>
                <w:rFonts w:hint="eastAsia" w:ascii="宋体" w:hAnsi="宋体" w:cs="宋体"/>
                <w:szCs w:val="21"/>
                <w:highlight w:val="none"/>
              </w:rPr>
              <w:t>2</w:t>
            </w:r>
          </w:p>
        </w:tc>
        <w:tc>
          <w:tcPr>
            <w:tcW w:w="819" w:type="dxa"/>
            <w:tcBorders>
              <w:top w:val="single" w:color="auto" w:sz="4" w:space="0"/>
              <w:left w:val="single" w:color="auto" w:sz="4" w:space="0"/>
              <w:bottom w:val="single" w:color="auto" w:sz="4" w:space="0"/>
              <w:right w:val="single" w:color="auto" w:sz="4" w:space="0"/>
            </w:tcBorders>
            <w:vAlign w:val="center"/>
          </w:tcPr>
          <w:p w14:paraId="1EDB4001">
            <w:pPr>
              <w:topLinePunct/>
              <w:autoSpaceDE w:val="0"/>
              <w:autoSpaceDN w:val="0"/>
              <w:adjustRightInd w:val="0"/>
              <w:snapToGrid w:val="0"/>
              <w:jc w:val="center"/>
              <w:rPr>
                <w:rFonts w:ascii="宋体" w:hAnsi="宋体" w:cs="宋体"/>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58F16E37">
            <w:pPr>
              <w:topLinePunct/>
              <w:autoSpaceDE w:val="0"/>
              <w:autoSpaceDN w:val="0"/>
              <w:adjustRightInd w:val="0"/>
              <w:snapToGrid w:val="0"/>
              <w:jc w:val="center"/>
              <w:rPr>
                <w:rFonts w:ascii="宋体" w:hAnsi="宋体" w:cs="宋体"/>
                <w:szCs w:val="21"/>
                <w:highlight w:val="none"/>
              </w:rPr>
            </w:pPr>
          </w:p>
        </w:tc>
        <w:tc>
          <w:tcPr>
            <w:tcW w:w="707" w:type="dxa"/>
            <w:tcBorders>
              <w:top w:val="single" w:color="auto" w:sz="4" w:space="0"/>
              <w:left w:val="single" w:color="auto" w:sz="4" w:space="0"/>
              <w:bottom w:val="single" w:color="auto" w:sz="4" w:space="0"/>
              <w:right w:val="single" w:color="auto" w:sz="4" w:space="0"/>
            </w:tcBorders>
          </w:tcPr>
          <w:p w14:paraId="2B15C8BE">
            <w:pPr>
              <w:topLinePunct/>
              <w:autoSpaceDE w:val="0"/>
              <w:autoSpaceDN w:val="0"/>
              <w:adjustRightInd w:val="0"/>
              <w:snapToGrid w:val="0"/>
              <w:jc w:val="center"/>
              <w:rPr>
                <w:rFonts w:ascii="宋体" w:hAnsi="宋体" w:cs="宋体"/>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3CE82B93">
            <w:pPr>
              <w:topLinePunct/>
              <w:autoSpaceDE w:val="0"/>
              <w:autoSpaceDN w:val="0"/>
              <w:adjustRightInd w:val="0"/>
              <w:snapToGrid w:val="0"/>
              <w:jc w:val="center"/>
              <w:rPr>
                <w:rFonts w:ascii="宋体" w:hAnsi="宋体" w:cs="宋体"/>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2DA2B3D1">
            <w:pPr>
              <w:topLinePunct/>
              <w:autoSpaceDE w:val="0"/>
              <w:autoSpaceDN w:val="0"/>
              <w:adjustRightInd w:val="0"/>
              <w:snapToGrid w:val="0"/>
              <w:jc w:val="center"/>
              <w:rPr>
                <w:rFonts w:ascii="宋体" w:hAnsi="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08099045">
            <w:pPr>
              <w:topLinePunct/>
              <w:autoSpaceDE w:val="0"/>
              <w:autoSpaceDN w:val="0"/>
              <w:adjustRightInd w:val="0"/>
              <w:snapToGrid w:val="0"/>
              <w:jc w:val="center"/>
              <w:rPr>
                <w:rFonts w:ascii="宋体" w:hAnsi="宋体" w:cs="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51444A56">
            <w:pPr>
              <w:topLinePunct/>
              <w:autoSpaceDE w:val="0"/>
              <w:autoSpaceDN w:val="0"/>
              <w:adjustRightInd w:val="0"/>
              <w:snapToGrid w:val="0"/>
              <w:jc w:val="center"/>
              <w:rPr>
                <w:rFonts w:ascii="宋体" w:hAnsi="宋体" w:cs="宋体"/>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6151D796">
            <w:pPr>
              <w:topLinePunct/>
              <w:autoSpaceDE w:val="0"/>
              <w:autoSpaceDN w:val="0"/>
              <w:adjustRightInd w:val="0"/>
              <w:snapToGrid w:val="0"/>
              <w:jc w:val="center"/>
              <w:rPr>
                <w:rFonts w:ascii="宋体" w:hAnsi="宋体" w:cs="宋体"/>
                <w:szCs w:val="21"/>
                <w:highlight w:val="none"/>
              </w:rPr>
            </w:pPr>
          </w:p>
        </w:tc>
      </w:tr>
      <w:tr w14:paraId="68F2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00286B90">
            <w:pPr>
              <w:topLinePunct/>
              <w:autoSpaceDE w:val="0"/>
              <w:autoSpaceDN w:val="0"/>
              <w:adjustRightInd w:val="0"/>
              <w:snapToGrid w:val="0"/>
              <w:jc w:val="center"/>
              <w:rPr>
                <w:rFonts w:ascii="宋体" w:hAnsi="宋体" w:cs="宋体"/>
                <w:szCs w:val="21"/>
                <w:highlight w:val="none"/>
              </w:rPr>
            </w:pPr>
            <w:r>
              <w:rPr>
                <w:rFonts w:hint="eastAsia" w:ascii="宋体" w:hAnsi="宋体" w:cs="宋体"/>
                <w:szCs w:val="21"/>
                <w:highlight w:val="none"/>
              </w:rPr>
              <w:t>3</w:t>
            </w:r>
          </w:p>
        </w:tc>
        <w:tc>
          <w:tcPr>
            <w:tcW w:w="819" w:type="dxa"/>
            <w:tcBorders>
              <w:top w:val="single" w:color="auto" w:sz="4" w:space="0"/>
              <w:left w:val="single" w:color="auto" w:sz="4" w:space="0"/>
              <w:bottom w:val="single" w:color="auto" w:sz="4" w:space="0"/>
              <w:right w:val="single" w:color="auto" w:sz="4" w:space="0"/>
            </w:tcBorders>
            <w:vAlign w:val="center"/>
          </w:tcPr>
          <w:p w14:paraId="3E3F61D9">
            <w:pPr>
              <w:topLinePunct/>
              <w:autoSpaceDE w:val="0"/>
              <w:autoSpaceDN w:val="0"/>
              <w:adjustRightInd w:val="0"/>
              <w:snapToGrid w:val="0"/>
              <w:jc w:val="center"/>
              <w:rPr>
                <w:rFonts w:ascii="宋体" w:hAnsi="宋体" w:cs="宋体"/>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3A24FFF6">
            <w:pPr>
              <w:topLinePunct/>
              <w:autoSpaceDE w:val="0"/>
              <w:autoSpaceDN w:val="0"/>
              <w:adjustRightInd w:val="0"/>
              <w:snapToGrid w:val="0"/>
              <w:jc w:val="center"/>
              <w:rPr>
                <w:rFonts w:ascii="宋体" w:hAnsi="宋体" w:cs="宋体"/>
                <w:szCs w:val="21"/>
                <w:highlight w:val="none"/>
              </w:rPr>
            </w:pPr>
          </w:p>
        </w:tc>
        <w:tc>
          <w:tcPr>
            <w:tcW w:w="707" w:type="dxa"/>
            <w:tcBorders>
              <w:top w:val="single" w:color="auto" w:sz="4" w:space="0"/>
              <w:left w:val="single" w:color="auto" w:sz="4" w:space="0"/>
              <w:bottom w:val="single" w:color="auto" w:sz="4" w:space="0"/>
              <w:right w:val="single" w:color="auto" w:sz="4" w:space="0"/>
            </w:tcBorders>
          </w:tcPr>
          <w:p w14:paraId="7EB89B51">
            <w:pPr>
              <w:topLinePunct/>
              <w:autoSpaceDE w:val="0"/>
              <w:autoSpaceDN w:val="0"/>
              <w:adjustRightInd w:val="0"/>
              <w:snapToGrid w:val="0"/>
              <w:jc w:val="center"/>
              <w:rPr>
                <w:rFonts w:ascii="宋体" w:hAnsi="宋体" w:cs="宋体"/>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42019930">
            <w:pPr>
              <w:topLinePunct/>
              <w:autoSpaceDE w:val="0"/>
              <w:autoSpaceDN w:val="0"/>
              <w:adjustRightInd w:val="0"/>
              <w:snapToGrid w:val="0"/>
              <w:jc w:val="center"/>
              <w:rPr>
                <w:rFonts w:ascii="宋体" w:hAnsi="宋体" w:cs="宋体"/>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1635BBF4">
            <w:pPr>
              <w:topLinePunct/>
              <w:autoSpaceDE w:val="0"/>
              <w:autoSpaceDN w:val="0"/>
              <w:adjustRightInd w:val="0"/>
              <w:snapToGrid w:val="0"/>
              <w:jc w:val="center"/>
              <w:rPr>
                <w:rFonts w:ascii="宋体" w:hAnsi="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2A84F33A">
            <w:pPr>
              <w:topLinePunct/>
              <w:autoSpaceDE w:val="0"/>
              <w:autoSpaceDN w:val="0"/>
              <w:adjustRightInd w:val="0"/>
              <w:snapToGrid w:val="0"/>
              <w:jc w:val="center"/>
              <w:rPr>
                <w:rFonts w:ascii="宋体" w:hAnsi="宋体" w:cs="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29693CDD">
            <w:pPr>
              <w:topLinePunct/>
              <w:autoSpaceDE w:val="0"/>
              <w:autoSpaceDN w:val="0"/>
              <w:adjustRightInd w:val="0"/>
              <w:snapToGrid w:val="0"/>
              <w:jc w:val="center"/>
              <w:rPr>
                <w:rFonts w:ascii="宋体" w:hAnsi="宋体" w:cs="宋体"/>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7BE8F269">
            <w:pPr>
              <w:topLinePunct/>
              <w:autoSpaceDE w:val="0"/>
              <w:autoSpaceDN w:val="0"/>
              <w:adjustRightInd w:val="0"/>
              <w:snapToGrid w:val="0"/>
              <w:jc w:val="center"/>
              <w:rPr>
                <w:rFonts w:ascii="宋体" w:hAnsi="宋体" w:cs="宋体"/>
                <w:szCs w:val="21"/>
                <w:highlight w:val="none"/>
              </w:rPr>
            </w:pPr>
          </w:p>
        </w:tc>
      </w:tr>
      <w:tr w14:paraId="0230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5AA99762">
            <w:pPr>
              <w:topLinePunct/>
              <w:autoSpaceDE w:val="0"/>
              <w:autoSpaceDN w:val="0"/>
              <w:adjustRightInd w:val="0"/>
              <w:snapToGrid w:val="0"/>
              <w:jc w:val="center"/>
              <w:rPr>
                <w:rFonts w:ascii="宋体" w:hAnsi="宋体" w:cs="宋体"/>
                <w:szCs w:val="21"/>
                <w:highlight w:val="none"/>
              </w:rPr>
            </w:pPr>
            <w:r>
              <w:rPr>
                <w:rFonts w:hint="eastAsia" w:ascii="宋体" w:hAnsi="宋体" w:cs="宋体"/>
                <w:szCs w:val="21"/>
                <w:highlight w:val="none"/>
              </w:rPr>
              <w:t>4</w:t>
            </w:r>
          </w:p>
        </w:tc>
        <w:tc>
          <w:tcPr>
            <w:tcW w:w="819" w:type="dxa"/>
            <w:tcBorders>
              <w:top w:val="single" w:color="auto" w:sz="4" w:space="0"/>
              <w:left w:val="single" w:color="auto" w:sz="4" w:space="0"/>
              <w:bottom w:val="single" w:color="auto" w:sz="4" w:space="0"/>
              <w:right w:val="single" w:color="auto" w:sz="4" w:space="0"/>
            </w:tcBorders>
            <w:vAlign w:val="center"/>
          </w:tcPr>
          <w:p w14:paraId="274763D1">
            <w:pPr>
              <w:topLinePunct/>
              <w:autoSpaceDE w:val="0"/>
              <w:autoSpaceDN w:val="0"/>
              <w:adjustRightInd w:val="0"/>
              <w:snapToGrid w:val="0"/>
              <w:jc w:val="center"/>
              <w:rPr>
                <w:rFonts w:ascii="宋体" w:hAnsi="宋体" w:cs="宋体"/>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6D350311">
            <w:pPr>
              <w:topLinePunct/>
              <w:autoSpaceDE w:val="0"/>
              <w:autoSpaceDN w:val="0"/>
              <w:adjustRightInd w:val="0"/>
              <w:snapToGrid w:val="0"/>
              <w:jc w:val="center"/>
              <w:rPr>
                <w:rFonts w:ascii="宋体" w:hAnsi="宋体" w:cs="宋体"/>
                <w:szCs w:val="21"/>
                <w:highlight w:val="none"/>
              </w:rPr>
            </w:pPr>
          </w:p>
        </w:tc>
        <w:tc>
          <w:tcPr>
            <w:tcW w:w="707" w:type="dxa"/>
            <w:tcBorders>
              <w:top w:val="single" w:color="auto" w:sz="4" w:space="0"/>
              <w:left w:val="single" w:color="auto" w:sz="4" w:space="0"/>
              <w:bottom w:val="single" w:color="auto" w:sz="4" w:space="0"/>
              <w:right w:val="single" w:color="auto" w:sz="4" w:space="0"/>
            </w:tcBorders>
          </w:tcPr>
          <w:p w14:paraId="02F18BC6">
            <w:pPr>
              <w:topLinePunct/>
              <w:autoSpaceDE w:val="0"/>
              <w:autoSpaceDN w:val="0"/>
              <w:adjustRightInd w:val="0"/>
              <w:snapToGrid w:val="0"/>
              <w:jc w:val="center"/>
              <w:rPr>
                <w:rFonts w:ascii="宋体" w:hAnsi="宋体" w:cs="宋体"/>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76906A2C">
            <w:pPr>
              <w:topLinePunct/>
              <w:autoSpaceDE w:val="0"/>
              <w:autoSpaceDN w:val="0"/>
              <w:adjustRightInd w:val="0"/>
              <w:snapToGrid w:val="0"/>
              <w:jc w:val="center"/>
              <w:rPr>
                <w:rFonts w:ascii="宋体" w:hAnsi="宋体" w:cs="宋体"/>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1B1568FE">
            <w:pPr>
              <w:topLinePunct/>
              <w:autoSpaceDE w:val="0"/>
              <w:autoSpaceDN w:val="0"/>
              <w:adjustRightInd w:val="0"/>
              <w:snapToGrid w:val="0"/>
              <w:jc w:val="center"/>
              <w:rPr>
                <w:rFonts w:ascii="宋体" w:hAnsi="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15B30D4D">
            <w:pPr>
              <w:topLinePunct/>
              <w:autoSpaceDE w:val="0"/>
              <w:autoSpaceDN w:val="0"/>
              <w:adjustRightInd w:val="0"/>
              <w:snapToGrid w:val="0"/>
              <w:jc w:val="center"/>
              <w:rPr>
                <w:rFonts w:ascii="宋体" w:hAnsi="宋体" w:cs="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74EFDC79">
            <w:pPr>
              <w:topLinePunct/>
              <w:autoSpaceDE w:val="0"/>
              <w:autoSpaceDN w:val="0"/>
              <w:adjustRightInd w:val="0"/>
              <w:snapToGrid w:val="0"/>
              <w:jc w:val="center"/>
              <w:rPr>
                <w:rFonts w:ascii="宋体" w:hAnsi="宋体" w:cs="宋体"/>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599C03CF">
            <w:pPr>
              <w:topLinePunct/>
              <w:autoSpaceDE w:val="0"/>
              <w:autoSpaceDN w:val="0"/>
              <w:adjustRightInd w:val="0"/>
              <w:snapToGrid w:val="0"/>
              <w:jc w:val="center"/>
              <w:rPr>
                <w:rFonts w:ascii="宋体" w:hAnsi="宋体" w:cs="宋体"/>
                <w:szCs w:val="21"/>
                <w:highlight w:val="none"/>
              </w:rPr>
            </w:pPr>
          </w:p>
        </w:tc>
      </w:tr>
      <w:tr w14:paraId="51AF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35DAA5E0">
            <w:pPr>
              <w:topLinePunct/>
              <w:autoSpaceDE w:val="0"/>
              <w:autoSpaceDN w:val="0"/>
              <w:adjustRightInd w:val="0"/>
              <w:snapToGrid w:val="0"/>
              <w:jc w:val="center"/>
              <w:rPr>
                <w:rFonts w:ascii="宋体" w:hAnsi="宋体" w:cs="宋体"/>
                <w:szCs w:val="21"/>
                <w:highlight w:val="none"/>
              </w:rPr>
            </w:pPr>
            <w:r>
              <w:rPr>
                <w:rFonts w:hint="eastAsia" w:ascii="宋体" w:hAnsi="宋体" w:cs="宋体"/>
                <w:szCs w:val="21"/>
                <w:highlight w:val="none"/>
              </w:rPr>
              <w:t>5</w:t>
            </w:r>
          </w:p>
        </w:tc>
        <w:tc>
          <w:tcPr>
            <w:tcW w:w="819" w:type="dxa"/>
            <w:tcBorders>
              <w:top w:val="single" w:color="auto" w:sz="4" w:space="0"/>
              <w:left w:val="single" w:color="auto" w:sz="4" w:space="0"/>
              <w:bottom w:val="single" w:color="auto" w:sz="4" w:space="0"/>
              <w:right w:val="single" w:color="auto" w:sz="4" w:space="0"/>
            </w:tcBorders>
            <w:vAlign w:val="center"/>
          </w:tcPr>
          <w:p w14:paraId="7D220C3E">
            <w:pPr>
              <w:topLinePunct/>
              <w:autoSpaceDE w:val="0"/>
              <w:autoSpaceDN w:val="0"/>
              <w:adjustRightInd w:val="0"/>
              <w:snapToGrid w:val="0"/>
              <w:jc w:val="center"/>
              <w:rPr>
                <w:rFonts w:ascii="宋体" w:hAnsi="宋体" w:cs="宋体"/>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45A62AFF">
            <w:pPr>
              <w:topLinePunct/>
              <w:autoSpaceDE w:val="0"/>
              <w:autoSpaceDN w:val="0"/>
              <w:adjustRightInd w:val="0"/>
              <w:snapToGrid w:val="0"/>
              <w:jc w:val="center"/>
              <w:rPr>
                <w:rFonts w:ascii="宋体" w:hAnsi="宋体" w:cs="宋体"/>
                <w:szCs w:val="21"/>
                <w:highlight w:val="none"/>
              </w:rPr>
            </w:pPr>
          </w:p>
        </w:tc>
        <w:tc>
          <w:tcPr>
            <w:tcW w:w="707" w:type="dxa"/>
            <w:tcBorders>
              <w:top w:val="single" w:color="auto" w:sz="4" w:space="0"/>
              <w:left w:val="single" w:color="auto" w:sz="4" w:space="0"/>
              <w:bottom w:val="single" w:color="auto" w:sz="4" w:space="0"/>
              <w:right w:val="single" w:color="auto" w:sz="4" w:space="0"/>
            </w:tcBorders>
          </w:tcPr>
          <w:p w14:paraId="496298EC">
            <w:pPr>
              <w:topLinePunct/>
              <w:autoSpaceDE w:val="0"/>
              <w:autoSpaceDN w:val="0"/>
              <w:adjustRightInd w:val="0"/>
              <w:snapToGrid w:val="0"/>
              <w:jc w:val="center"/>
              <w:rPr>
                <w:rFonts w:ascii="宋体" w:hAnsi="宋体" w:cs="宋体"/>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564238D4">
            <w:pPr>
              <w:topLinePunct/>
              <w:autoSpaceDE w:val="0"/>
              <w:autoSpaceDN w:val="0"/>
              <w:adjustRightInd w:val="0"/>
              <w:snapToGrid w:val="0"/>
              <w:jc w:val="center"/>
              <w:rPr>
                <w:rFonts w:ascii="宋体" w:hAnsi="宋体" w:cs="宋体"/>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6A2BCD2">
            <w:pPr>
              <w:topLinePunct/>
              <w:autoSpaceDE w:val="0"/>
              <w:autoSpaceDN w:val="0"/>
              <w:adjustRightInd w:val="0"/>
              <w:snapToGrid w:val="0"/>
              <w:jc w:val="center"/>
              <w:rPr>
                <w:rFonts w:ascii="宋体" w:hAnsi="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A657F32">
            <w:pPr>
              <w:topLinePunct/>
              <w:autoSpaceDE w:val="0"/>
              <w:autoSpaceDN w:val="0"/>
              <w:adjustRightInd w:val="0"/>
              <w:snapToGrid w:val="0"/>
              <w:jc w:val="center"/>
              <w:rPr>
                <w:rFonts w:ascii="宋体" w:hAnsi="宋体" w:cs="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4A6379A5">
            <w:pPr>
              <w:topLinePunct/>
              <w:autoSpaceDE w:val="0"/>
              <w:autoSpaceDN w:val="0"/>
              <w:adjustRightInd w:val="0"/>
              <w:snapToGrid w:val="0"/>
              <w:jc w:val="center"/>
              <w:rPr>
                <w:rFonts w:ascii="宋体" w:hAnsi="宋体" w:cs="宋体"/>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611778AF">
            <w:pPr>
              <w:topLinePunct/>
              <w:autoSpaceDE w:val="0"/>
              <w:autoSpaceDN w:val="0"/>
              <w:adjustRightInd w:val="0"/>
              <w:snapToGrid w:val="0"/>
              <w:jc w:val="center"/>
              <w:rPr>
                <w:rFonts w:ascii="宋体" w:hAnsi="宋体" w:cs="宋体"/>
                <w:szCs w:val="21"/>
                <w:highlight w:val="none"/>
              </w:rPr>
            </w:pPr>
          </w:p>
        </w:tc>
      </w:tr>
      <w:tr w14:paraId="2379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14:paraId="71C5D044">
            <w:pPr>
              <w:topLinePunct/>
              <w:autoSpaceDE w:val="0"/>
              <w:autoSpaceDN w:val="0"/>
              <w:adjustRightInd w:val="0"/>
              <w:snapToGrid w:val="0"/>
              <w:jc w:val="center"/>
              <w:rPr>
                <w:rFonts w:ascii="宋体" w:hAnsi="宋体" w:cs="宋体"/>
                <w:szCs w:val="21"/>
                <w:highlight w:val="none"/>
              </w:rPr>
            </w:pPr>
            <w:r>
              <w:rPr>
                <w:rFonts w:hint="eastAsia" w:ascii="宋体" w:hAnsi="宋体" w:cs="宋体"/>
                <w:szCs w:val="21"/>
                <w:highlight w:val="none"/>
              </w:rPr>
              <w:t>……</w:t>
            </w:r>
          </w:p>
        </w:tc>
        <w:tc>
          <w:tcPr>
            <w:tcW w:w="819" w:type="dxa"/>
            <w:tcBorders>
              <w:top w:val="single" w:color="auto" w:sz="4" w:space="0"/>
              <w:left w:val="single" w:color="auto" w:sz="4" w:space="0"/>
              <w:bottom w:val="single" w:color="auto" w:sz="4" w:space="0"/>
              <w:right w:val="single" w:color="auto" w:sz="4" w:space="0"/>
            </w:tcBorders>
            <w:vAlign w:val="center"/>
          </w:tcPr>
          <w:p w14:paraId="1C5BBB2C">
            <w:pPr>
              <w:topLinePunct/>
              <w:autoSpaceDE w:val="0"/>
              <w:autoSpaceDN w:val="0"/>
              <w:adjustRightInd w:val="0"/>
              <w:snapToGrid w:val="0"/>
              <w:jc w:val="center"/>
              <w:rPr>
                <w:rFonts w:ascii="宋体" w:hAnsi="宋体" w:cs="宋体"/>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7D7CED8C">
            <w:pPr>
              <w:topLinePunct/>
              <w:autoSpaceDE w:val="0"/>
              <w:autoSpaceDN w:val="0"/>
              <w:adjustRightInd w:val="0"/>
              <w:snapToGrid w:val="0"/>
              <w:jc w:val="center"/>
              <w:rPr>
                <w:rFonts w:ascii="宋体" w:hAnsi="宋体" w:cs="宋体"/>
                <w:szCs w:val="21"/>
                <w:highlight w:val="none"/>
              </w:rPr>
            </w:pPr>
          </w:p>
        </w:tc>
        <w:tc>
          <w:tcPr>
            <w:tcW w:w="707" w:type="dxa"/>
            <w:tcBorders>
              <w:top w:val="single" w:color="auto" w:sz="4" w:space="0"/>
              <w:left w:val="single" w:color="auto" w:sz="4" w:space="0"/>
              <w:bottom w:val="single" w:color="auto" w:sz="4" w:space="0"/>
              <w:right w:val="single" w:color="auto" w:sz="4" w:space="0"/>
            </w:tcBorders>
          </w:tcPr>
          <w:p w14:paraId="06C113D0">
            <w:pPr>
              <w:topLinePunct/>
              <w:autoSpaceDE w:val="0"/>
              <w:autoSpaceDN w:val="0"/>
              <w:adjustRightInd w:val="0"/>
              <w:snapToGrid w:val="0"/>
              <w:jc w:val="center"/>
              <w:rPr>
                <w:rFonts w:ascii="宋体" w:hAnsi="宋体" w:cs="宋体"/>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168ED26B">
            <w:pPr>
              <w:topLinePunct/>
              <w:autoSpaceDE w:val="0"/>
              <w:autoSpaceDN w:val="0"/>
              <w:adjustRightInd w:val="0"/>
              <w:snapToGrid w:val="0"/>
              <w:jc w:val="center"/>
              <w:rPr>
                <w:rFonts w:ascii="宋体" w:hAnsi="宋体" w:cs="宋体"/>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FAEF44F">
            <w:pPr>
              <w:topLinePunct/>
              <w:autoSpaceDE w:val="0"/>
              <w:autoSpaceDN w:val="0"/>
              <w:adjustRightInd w:val="0"/>
              <w:snapToGrid w:val="0"/>
              <w:jc w:val="center"/>
              <w:rPr>
                <w:rFonts w:ascii="宋体" w:hAnsi="宋体" w:cs="宋体"/>
                <w:szCs w:val="21"/>
                <w:highlight w:val="none"/>
              </w:rPr>
            </w:pPr>
          </w:p>
        </w:tc>
        <w:tc>
          <w:tcPr>
            <w:tcW w:w="1161" w:type="dxa"/>
            <w:tcBorders>
              <w:top w:val="single" w:color="auto" w:sz="4" w:space="0"/>
              <w:left w:val="single" w:color="auto" w:sz="4" w:space="0"/>
              <w:bottom w:val="single" w:color="auto" w:sz="4" w:space="0"/>
              <w:right w:val="single" w:color="auto" w:sz="4" w:space="0"/>
            </w:tcBorders>
            <w:vAlign w:val="center"/>
          </w:tcPr>
          <w:p w14:paraId="37FD8E51">
            <w:pPr>
              <w:topLinePunct/>
              <w:autoSpaceDE w:val="0"/>
              <w:autoSpaceDN w:val="0"/>
              <w:adjustRightInd w:val="0"/>
              <w:snapToGrid w:val="0"/>
              <w:jc w:val="center"/>
              <w:rPr>
                <w:rFonts w:ascii="宋体" w:hAnsi="宋体" w:cs="宋体"/>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4F1C4A49">
            <w:pPr>
              <w:topLinePunct/>
              <w:autoSpaceDE w:val="0"/>
              <w:autoSpaceDN w:val="0"/>
              <w:adjustRightInd w:val="0"/>
              <w:snapToGrid w:val="0"/>
              <w:jc w:val="center"/>
              <w:rPr>
                <w:rFonts w:ascii="宋体" w:hAnsi="宋体" w:cs="宋体"/>
                <w:szCs w:val="21"/>
                <w:highlight w:val="none"/>
              </w:rPr>
            </w:pPr>
          </w:p>
        </w:tc>
        <w:tc>
          <w:tcPr>
            <w:tcW w:w="1737" w:type="dxa"/>
            <w:tcBorders>
              <w:top w:val="single" w:color="auto" w:sz="4" w:space="0"/>
              <w:left w:val="single" w:color="auto" w:sz="4" w:space="0"/>
              <w:bottom w:val="single" w:color="auto" w:sz="4" w:space="0"/>
              <w:right w:val="single" w:color="auto" w:sz="4" w:space="0"/>
            </w:tcBorders>
            <w:vAlign w:val="center"/>
          </w:tcPr>
          <w:p w14:paraId="3685FC1C">
            <w:pPr>
              <w:topLinePunct/>
              <w:autoSpaceDE w:val="0"/>
              <w:autoSpaceDN w:val="0"/>
              <w:adjustRightInd w:val="0"/>
              <w:snapToGrid w:val="0"/>
              <w:jc w:val="center"/>
              <w:rPr>
                <w:rFonts w:ascii="宋体" w:hAnsi="宋体" w:cs="宋体"/>
                <w:szCs w:val="21"/>
                <w:highlight w:val="none"/>
              </w:rPr>
            </w:pPr>
          </w:p>
        </w:tc>
      </w:tr>
    </w:tbl>
    <w:p w14:paraId="1E35E1E2">
      <w:pPr>
        <w:topLinePunct/>
        <w:autoSpaceDE w:val="0"/>
        <w:autoSpaceDN w:val="0"/>
        <w:spacing w:line="360" w:lineRule="auto"/>
        <w:rPr>
          <w:rFonts w:ascii="宋体" w:hAnsi="宋体" w:cs="宋体"/>
          <w:szCs w:val="21"/>
          <w:highlight w:val="none"/>
        </w:rPr>
      </w:pPr>
      <w:r>
        <w:rPr>
          <w:rFonts w:hint="eastAsia" w:ascii="宋体" w:hAnsi="宋体" w:cs="宋体"/>
          <w:szCs w:val="21"/>
          <w:highlight w:val="none"/>
        </w:rPr>
        <w:t>特别说明：</w:t>
      </w:r>
    </w:p>
    <w:p w14:paraId="61B91C0D">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1.提供2021年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月以来（以合同签订日期为准），投标人独立承担的同类项目案例。</w:t>
      </w:r>
    </w:p>
    <w:p w14:paraId="02B41F83">
      <w:pPr>
        <w:topLinePunct/>
        <w:autoSpaceDE w:val="0"/>
        <w:autoSpaceDN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2.应提供合同复印件</w:t>
      </w:r>
      <w:r>
        <w:rPr>
          <w:rFonts w:hint="default" w:ascii="Times New Roman" w:hAnsi="Times New Roman" w:cs="Times New Roman"/>
          <w:color w:val="auto"/>
          <w:szCs w:val="21"/>
          <w:highlight w:val="none"/>
        </w:rPr>
        <w:t>（线上采购项目提供扫描件，下同）</w:t>
      </w:r>
      <w:r>
        <w:rPr>
          <w:rFonts w:hint="eastAsia" w:ascii="宋体" w:hAnsi="宋体" w:cs="宋体"/>
          <w:color w:val="auto"/>
          <w:szCs w:val="21"/>
          <w:highlight w:val="none"/>
        </w:rPr>
        <w:t>。合同复印件应能清晰体现合同甲乙双方、合同时间、合同金额、合同主要内容等，并提供对方联系人及联系方式，否则不能获得相应分值。</w:t>
      </w:r>
    </w:p>
    <w:p w14:paraId="73BAB04D">
      <w:pPr>
        <w:rPr>
          <w:rFonts w:hAnsi="宋体" w:cs="宋体"/>
          <w:b/>
          <w:bCs/>
          <w:sz w:val="36"/>
          <w:szCs w:val="36"/>
          <w:highlight w:val="none"/>
        </w:rPr>
      </w:pPr>
      <w:r>
        <w:rPr>
          <w:rFonts w:hAnsi="宋体" w:cs="宋体"/>
          <w:b/>
          <w:bCs/>
          <w:sz w:val="36"/>
          <w:szCs w:val="36"/>
          <w:highlight w:val="none"/>
        </w:rPr>
        <w:br w:type="page"/>
      </w:r>
    </w:p>
    <w:p w14:paraId="7BD91419">
      <w:pPr>
        <w:spacing w:line="600" w:lineRule="auto"/>
        <w:ind w:firstLine="640"/>
        <w:jc w:val="center"/>
        <w:rPr>
          <w:rFonts w:ascii="宋体" w:hAnsi="宋体" w:cs="宋体"/>
          <w:bCs/>
          <w:kern w:val="0"/>
          <w:sz w:val="32"/>
          <w:szCs w:val="32"/>
          <w:highlight w:val="none"/>
        </w:rPr>
      </w:pPr>
    </w:p>
    <w:p w14:paraId="478A518A">
      <w:pPr>
        <w:spacing w:line="600" w:lineRule="auto"/>
        <w:jc w:val="center"/>
        <w:rPr>
          <w:rFonts w:ascii="华文中宋" w:hAnsi="华文中宋" w:eastAsia="华文中宋" w:cs="华文中宋"/>
          <w:b/>
          <w:kern w:val="0"/>
          <w:sz w:val="72"/>
          <w:szCs w:val="72"/>
          <w:highlight w:val="none"/>
        </w:rPr>
      </w:pPr>
      <w:r>
        <w:rPr>
          <w:rFonts w:hint="eastAsia" w:ascii="华文中宋" w:hAnsi="华文中宋" w:eastAsia="华文中宋" w:cs="华文中宋"/>
          <w:b/>
          <w:kern w:val="0"/>
          <w:sz w:val="72"/>
          <w:szCs w:val="72"/>
          <w:highlight w:val="none"/>
        </w:rPr>
        <w:t>投  标  文  件</w:t>
      </w:r>
    </w:p>
    <w:p w14:paraId="4572016A">
      <w:pPr>
        <w:spacing w:line="600" w:lineRule="auto"/>
        <w:jc w:val="center"/>
        <w:rPr>
          <w:rFonts w:ascii="华文中宋" w:hAnsi="华文中宋" w:eastAsia="华文中宋" w:cs="华文中宋"/>
          <w:b/>
          <w:kern w:val="0"/>
          <w:sz w:val="56"/>
          <w:szCs w:val="56"/>
          <w:highlight w:val="none"/>
        </w:rPr>
      </w:pPr>
      <w:r>
        <w:rPr>
          <w:rFonts w:hint="eastAsia" w:ascii="华文中宋" w:hAnsi="华文中宋" w:eastAsia="华文中宋" w:cs="华文中宋"/>
          <w:b/>
          <w:kern w:val="0"/>
          <w:sz w:val="56"/>
          <w:szCs w:val="56"/>
          <w:highlight w:val="none"/>
        </w:rPr>
        <w:t>（技术部分）</w:t>
      </w:r>
    </w:p>
    <w:p w14:paraId="4D49A1DC">
      <w:pPr>
        <w:spacing w:line="360" w:lineRule="auto"/>
        <w:jc w:val="center"/>
        <w:rPr>
          <w:rFonts w:ascii="宋体" w:hAnsi="宋体" w:cs="宋体"/>
          <w:bCs/>
          <w:kern w:val="0"/>
          <w:sz w:val="24"/>
          <w:szCs w:val="24"/>
          <w:highlight w:val="none"/>
        </w:rPr>
      </w:pPr>
    </w:p>
    <w:p w14:paraId="03BD664C">
      <w:pPr>
        <w:spacing w:line="360" w:lineRule="auto"/>
        <w:jc w:val="center"/>
        <w:rPr>
          <w:rFonts w:ascii="宋体" w:hAnsi="宋体" w:cs="宋体"/>
          <w:bCs/>
          <w:kern w:val="0"/>
          <w:sz w:val="24"/>
          <w:szCs w:val="24"/>
          <w:highlight w:val="none"/>
        </w:rPr>
      </w:pPr>
      <w:r>
        <w:rPr>
          <w:rFonts w:hint="eastAsia" w:ascii="宋体" w:hAnsi="宋体" w:cs="宋体"/>
          <w:bCs/>
          <w:kern w:val="0"/>
          <w:sz w:val="24"/>
          <w:szCs w:val="24"/>
          <w:highlight w:val="none"/>
        </w:rPr>
        <w:t>（填写正本或副本）</w:t>
      </w:r>
    </w:p>
    <w:p w14:paraId="5AA59FB0">
      <w:pPr>
        <w:pStyle w:val="2"/>
        <w:ind w:firstLine="480"/>
        <w:rPr>
          <w:rFonts w:ascii="宋体" w:hAnsi="宋体" w:cs="宋体"/>
          <w:bCs/>
          <w:kern w:val="0"/>
          <w:sz w:val="24"/>
          <w:szCs w:val="24"/>
          <w:highlight w:val="none"/>
        </w:rPr>
      </w:pPr>
    </w:p>
    <w:p w14:paraId="0EF2E354">
      <w:pPr>
        <w:pStyle w:val="2"/>
        <w:ind w:firstLine="480"/>
        <w:rPr>
          <w:rFonts w:ascii="宋体" w:hAnsi="宋体" w:cs="宋体"/>
          <w:bCs/>
          <w:kern w:val="0"/>
          <w:sz w:val="24"/>
          <w:szCs w:val="24"/>
          <w:highlight w:val="none"/>
        </w:rPr>
      </w:pPr>
    </w:p>
    <w:p w14:paraId="065AACB9">
      <w:pPr>
        <w:pStyle w:val="2"/>
        <w:rPr>
          <w:rFonts w:ascii="宋体" w:hAnsi="宋体" w:cs="宋体"/>
          <w:highlight w:val="none"/>
        </w:rPr>
      </w:pPr>
    </w:p>
    <w:p w14:paraId="02215338">
      <w:pPr>
        <w:pStyle w:val="2"/>
        <w:rPr>
          <w:rFonts w:ascii="宋体" w:hAnsi="宋体" w:cs="宋体"/>
          <w:highlight w:val="none"/>
        </w:rPr>
      </w:pPr>
    </w:p>
    <w:p w14:paraId="3F3B09F6">
      <w:pPr>
        <w:spacing w:line="360" w:lineRule="auto"/>
        <w:ind w:left="1260" w:leftChars="600" w:firstLine="1205" w:firstLineChars="400"/>
        <w:jc w:val="left"/>
        <w:rPr>
          <w:rFonts w:ascii="宋体" w:hAnsi="宋体" w:cs="宋体"/>
          <w:b/>
          <w:kern w:val="0"/>
          <w:sz w:val="30"/>
          <w:szCs w:val="30"/>
          <w:highlight w:val="none"/>
        </w:rPr>
      </w:pPr>
      <w:r>
        <w:rPr>
          <w:rFonts w:hint="eastAsia" w:ascii="宋体" w:hAnsi="宋体" w:cs="宋体"/>
          <w:b/>
          <w:kern w:val="0"/>
          <w:sz w:val="30"/>
          <w:szCs w:val="30"/>
          <w:highlight w:val="none"/>
        </w:rPr>
        <w:t>项目名称：</w:t>
      </w:r>
      <w:r>
        <w:rPr>
          <w:rFonts w:hint="eastAsia" w:ascii="宋体" w:hAnsi="宋体" w:cs="宋体"/>
          <w:b/>
          <w:kern w:val="0"/>
          <w:sz w:val="30"/>
          <w:szCs w:val="30"/>
          <w:highlight w:val="none"/>
          <w:u w:val="single"/>
        </w:rPr>
        <w:t xml:space="preserve">               </w:t>
      </w:r>
    </w:p>
    <w:p w14:paraId="14970DD1">
      <w:pPr>
        <w:spacing w:line="360" w:lineRule="auto"/>
        <w:ind w:left="1260" w:leftChars="600" w:firstLine="1205" w:firstLineChars="400"/>
        <w:jc w:val="left"/>
        <w:rPr>
          <w:rFonts w:ascii="宋体" w:hAnsi="宋体" w:cs="宋体"/>
          <w:b/>
          <w:kern w:val="0"/>
          <w:sz w:val="30"/>
          <w:szCs w:val="30"/>
          <w:highlight w:val="none"/>
        </w:rPr>
      </w:pPr>
      <w:r>
        <w:rPr>
          <w:rFonts w:hint="eastAsia" w:ascii="宋体" w:hAnsi="宋体" w:cs="宋体"/>
          <w:b/>
          <w:kern w:val="0"/>
          <w:sz w:val="30"/>
          <w:szCs w:val="30"/>
          <w:highlight w:val="none"/>
        </w:rPr>
        <w:t>项目编号：</w:t>
      </w:r>
      <w:r>
        <w:rPr>
          <w:rFonts w:hint="eastAsia" w:ascii="宋体" w:hAnsi="宋体" w:cs="宋体"/>
          <w:b/>
          <w:kern w:val="0"/>
          <w:sz w:val="30"/>
          <w:szCs w:val="30"/>
          <w:highlight w:val="none"/>
          <w:u w:val="single"/>
        </w:rPr>
        <w:t xml:space="preserve">               </w:t>
      </w:r>
    </w:p>
    <w:p w14:paraId="7E8EF5F1">
      <w:pPr>
        <w:spacing w:line="360" w:lineRule="auto"/>
        <w:ind w:left="1260" w:leftChars="600" w:firstLine="1205" w:firstLineChars="400"/>
        <w:jc w:val="left"/>
        <w:rPr>
          <w:rFonts w:ascii="宋体" w:hAnsi="宋体" w:cs="宋体"/>
          <w:b/>
          <w:kern w:val="0"/>
          <w:sz w:val="30"/>
          <w:szCs w:val="30"/>
          <w:highlight w:val="none"/>
        </w:rPr>
      </w:pPr>
      <w:r>
        <w:rPr>
          <w:rFonts w:hint="eastAsia" w:ascii="宋体" w:hAnsi="宋体" w:cs="宋体"/>
          <w:b/>
          <w:kern w:val="0"/>
          <w:sz w:val="30"/>
          <w:szCs w:val="30"/>
          <w:highlight w:val="none"/>
        </w:rPr>
        <w:t>所投采购包：</w:t>
      </w:r>
      <w:r>
        <w:rPr>
          <w:rFonts w:hint="eastAsia" w:ascii="宋体" w:hAnsi="宋体" w:cs="宋体"/>
          <w:b/>
          <w:kern w:val="0"/>
          <w:sz w:val="30"/>
          <w:szCs w:val="30"/>
          <w:highlight w:val="none"/>
          <w:u w:val="single"/>
        </w:rPr>
        <w:t xml:space="preserve">             </w:t>
      </w:r>
    </w:p>
    <w:p w14:paraId="178A6DE8">
      <w:pPr>
        <w:spacing w:line="360" w:lineRule="auto"/>
        <w:ind w:left="1470" w:leftChars="700" w:firstLine="602" w:firstLineChars="200"/>
        <w:jc w:val="left"/>
        <w:rPr>
          <w:rFonts w:ascii="宋体" w:hAnsi="宋体" w:cs="宋体"/>
          <w:b/>
          <w:kern w:val="0"/>
          <w:sz w:val="30"/>
          <w:szCs w:val="30"/>
          <w:highlight w:val="none"/>
        </w:rPr>
      </w:pPr>
    </w:p>
    <w:p w14:paraId="6EEC133B">
      <w:pPr>
        <w:pStyle w:val="2"/>
        <w:ind w:firstLine="602"/>
        <w:rPr>
          <w:rFonts w:ascii="宋体" w:hAnsi="宋体" w:cs="宋体"/>
          <w:b/>
          <w:kern w:val="0"/>
          <w:sz w:val="30"/>
          <w:szCs w:val="30"/>
          <w:highlight w:val="none"/>
        </w:rPr>
      </w:pPr>
    </w:p>
    <w:p w14:paraId="45C2E14F">
      <w:pPr>
        <w:pStyle w:val="2"/>
        <w:ind w:firstLine="602"/>
        <w:rPr>
          <w:rFonts w:ascii="宋体" w:hAnsi="宋体" w:cs="宋体"/>
          <w:b/>
          <w:kern w:val="0"/>
          <w:sz w:val="30"/>
          <w:szCs w:val="30"/>
          <w:highlight w:val="none"/>
        </w:rPr>
      </w:pPr>
    </w:p>
    <w:p w14:paraId="3A8613AD">
      <w:pPr>
        <w:spacing w:line="360" w:lineRule="auto"/>
        <w:ind w:firstLine="1807" w:firstLineChars="600"/>
        <w:jc w:val="left"/>
        <w:rPr>
          <w:rFonts w:ascii="宋体" w:hAnsi="宋体" w:cs="宋体"/>
          <w:b/>
          <w:kern w:val="0"/>
          <w:sz w:val="30"/>
          <w:szCs w:val="30"/>
          <w:highlight w:val="none"/>
        </w:rPr>
      </w:pPr>
    </w:p>
    <w:p w14:paraId="341299B5">
      <w:pPr>
        <w:widowControl/>
        <w:jc w:val="center"/>
        <w:rPr>
          <w:rFonts w:ascii="宋体" w:hAnsi="宋体" w:cs="宋体"/>
          <w:b/>
          <w:kern w:val="0"/>
          <w:sz w:val="30"/>
          <w:szCs w:val="30"/>
          <w:highlight w:val="none"/>
        </w:rPr>
      </w:pPr>
      <w:r>
        <w:rPr>
          <w:rFonts w:hint="eastAsia" w:ascii="宋体" w:hAnsi="宋体" w:cs="宋体"/>
          <w:b/>
          <w:kern w:val="0"/>
          <w:sz w:val="30"/>
          <w:szCs w:val="30"/>
          <w:highlight w:val="none"/>
        </w:rPr>
        <w:t>投标人：</w:t>
      </w:r>
      <w:r>
        <w:rPr>
          <w:rFonts w:hint="eastAsia" w:ascii="宋体" w:hAnsi="宋体" w:cs="宋体"/>
          <w:highlight w:val="none"/>
        </w:rPr>
        <w:t>________________________</w:t>
      </w:r>
    </w:p>
    <w:p w14:paraId="4CD31420">
      <w:pPr>
        <w:widowControl/>
        <w:spacing w:before="120" w:beforeLines="50"/>
        <w:jc w:val="center"/>
        <w:rPr>
          <w:rFonts w:ascii="宋体" w:hAnsi="宋体" w:cs="宋体"/>
          <w:b/>
          <w:bCs/>
          <w:sz w:val="28"/>
          <w:szCs w:val="28"/>
          <w:highlight w:val="none"/>
        </w:rPr>
      </w:pPr>
      <w:r>
        <w:rPr>
          <w:rFonts w:hint="eastAsia" w:ascii="宋体" w:hAnsi="宋体" w:cs="宋体"/>
          <w:b/>
          <w:kern w:val="0"/>
          <w:sz w:val="30"/>
          <w:szCs w:val="30"/>
          <w:highlight w:val="none"/>
        </w:rPr>
        <w:t>日  期：</w:t>
      </w:r>
      <w:r>
        <w:rPr>
          <w:rFonts w:hint="eastAsia" w:ascii="宋体" w:hAnsi="宋体" w:cs="宋体"/>
          <w:highlight w:val="none"/>
        </w:rPr>
        <w:t>________________________</w:t>
      </w:r>
      <w:r>
        <w:rPr>
          <w:rFonts w:hint="eastAsia" w:ascii="宋体" w:hAnsi="宋体" w:cs="宋体"/>
          <w:b/>
          <w:bCs/>
          <w:sz w:val="36"/>
          <w:szCs w:val="36"/>
          <w:highlight w:val="none"/>
        </w:rPr>
        <w:br w:type="page"/>
      </w:r>
      <w:r>
        <w:rPr>
          <w:rFonts w:hint="eastAsia" w:ascii="宋体" w:hAnsi="宋体" w:cs="宋体"/>
          <w:b/>
          <w:bCs/>
          <w:sz w:val="28"/>
          <w:szCs w:val="28"/>
          <w:highlight w:val="none"/>
        </w:rPr>
        <w:t>十、技术条款偏离表</w:t>
      </w:r>
    </w:p>
    <w:p w14:paraId="4F7AB07D">
      <w:pPr>
        <w:widowControl/>
        <w:ind w:firstLine="1687" w:firstLineChars="600"/>
        <w:jc w:val="center"/>
        <w:rPr>
          <w:rFonts w:ascii="宋体" w:hAnsi="宋体" w:cs="宋体"/>
          <w:b/>
          <w:bCs/>
          <w:sz w:val="28"/>
          <w:szCs w:val="28"/>
          <w:highlight w:val="none"/>
        </w:rPr>
      </w:pPr>
    </w:p>
    <w:tbl>
      <w:tblPr>
        <w:tblStyle w:val="24"/>
        <w:tblW w:w="920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72"/>
      </w:tblGrid>
      <w:tr w14:paraId="3B1BE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16" w:hRule="atLeast"/>
          <w:jc w:val="center"/>
        </w:trPr>
        <w:tc>
          <w:tcPr>
            <w:tcW w:w="928" w:type="dxa"/>
            <w:vAlign w:val="center"/>
          </w:tcPr>
          <w:p w14:paraId="21475A00">
            <w:pPr>
              <w:adjustRightInd w:val="0"/>
              <w:snapToGrid w:val="0"/>
              <w:jc w:val="center"/>
              <w:rPr>
                <w:rFonts w:ascii="宋体" w:hAnsi="宋体" w:cs="宋体"/>
                <w:b/>
                <w:szCs w:val="21"/>
                <w:highlight w:val="none"/>
              </w:rPr>
            </w:pPr>
            <w:r>
              <w:rPr>
                <w:rFonts w:hint="eastAsia" w:ascii="宋体" w:hAnsi="宋体" w:cs="宋体"/>
                <w:b/>
                <w:szCs w:val="21"/>
                <w:highlight w:val="none"/>
              </w:rPr>
              <w:t>序号</w:t>
            </w:r>
          </w:p>
        </w:tc>
        <w:tc>
          <w:tcPr>
            <w:tcW w:w="1516" w:type="dxa"/>
            <w:vAlign w:val="center"/>
          </w:tcPr>
          <w:p w14:paraId="59AC1BEB">
            <w:pPr>
              <w:adjustRightInd w:val="0"/>
              <w:snapToGrid w:val="0"/>
              <w:jc w:val="center"/>
              <w:rPr>
                <w:rFonts w:ascii="宋体" w:hAnsi="宋体" w:cs="宋体"/>
                <w:b/>
                <w:szCs w:val="21"/>
                <w:highlight w:val="none"/>
              </w:rPr>
            </w:pPr>
            <w:r>
              <w:rPr>
                <w:rFonts w:hint="eastAsia" w:ascii="宋体" w:hAnsi="宋体" w:cs="宋体"/>
                <w:b/>
                <w:szCs w:val="21"/>
                <w:highlight w:val="none"/>
              </w:rPr>
              <w:t>招标文件</w:t>
            </w:r>
          </w:p>
          <w:p w14:paraId="59552EFC">
            <w:pPr>
              <w:adjustRightInd w:val="0"/>
              <w:snapToGrid w:val="0"/>
              <w:jc w:val="center"/>
              <w:rPr>
                <w:rFonts w:ascii="宋体" w:hAnsi="宋体" w:cs="宋体"/>
                <w:b/>
                <w:szCs w:val="21"/>
                <w:highlight w:val="none"/>
              </w:rPr>
            </w:pPr>
            <w:r>
              <w:rPr>
                <w:rFonts w:hint="eastAsia" w:ascii="宋体" w:hAnsi="宋体" w:cs="宋体"/>
                <w:b/>
                <w:szCs w:val="21"/>
                <w:highlight w:val="none"/>
              </w:rPr>
              <w:t>技术部分序号</w:t>
            </w:r>
          </w:p>
        </w:tc>
        <w:tc>
          <w:tcPr>
            <w:tcW w:w="2116" w:type="dxa"/>
            <w:vAlign w:val="center"/>
          </w:tcPr>
          <w:p w14:paraId="0E6B9ED3">
            <w:pPr>
              <w:adjustRightInd w:val="0"/>
              <w:snapToGrid w:val="0"/>
              <w:jc w:val="center"/>
              <w:rPr>
                <w:rFonts w:ascii="宋体" w:hAnsi="宋体" w:cs="宋体"/>
                <w:b/>
                <w:szCs w:val="21"/>
                <w:highlight w:val="none"/>
              </w:rPr>
            </w:pPr>
            <w:r>
              <w:rPr>
                <w:rFonts w:hint="eastAsia" w:ascii="宋体" w:hAnsi="宋体" w:cs="宋体"/>
                <w:b/>
                <w:szCs w:val="21"/>
                <w:highlight w:val="none"/>
              </w:rPr>
              <w:t>招标文件</w:t>
            </w:r>
          </w:p>
          <w:p w14:paraId="68B0531A">
            <w:pPr>
              <w:adjustRightInd w:val="0"/>
              <w:snapToGrid w:val="0"/>
              <w:jc w:val="center"/>
              <w:rPr>
                <w:rFonts w:ascii="宋体" w:hAnsi="宋体" w:cs="宋体"/>
                <w:b/>
                <w:szCs w:val="21"/>
                <w:highlight w:val="none"/>
              </w:rPr>
            </w:pPr>
            <w:r>
              <w:rPr>
                <w:rFonts w:hint="eastAsia" w:ascii="宋体" w:hAnsi="宋体" w:cs="宋体"/>
                <w:b/>
                <w:szCs w:val="21"/>
                <w:highlight w:val="none"/>
              </w:rPr>
              <w:t>技术部分内容要求</w:t>
            </w:r>
          </w:p>
        </w:tc>
        <w:tc>
          <w:tcPr>
            <w:tcW w:w="1684" w:type="dxa"/>
            <w:vAlign w:val="center"/>
          </w:tcPr>
          <w:p w14:paraId="5A23F5EC">
            <w:pPr>
              <w:adjustRightInd w:val="0"/>
              <w:snapToGrid w:val="0"/>
              <w:jc w:val="center"/>
              <w:rPr>
                <w:rFonts w:ascii="宋体" w:hAnsi="宋体" w:cs="宋体"/>
                <w:b/>
                <w:szCs w:val="21"/>
                <w:highlight w:val="none"/>
              </w:rPr>
            </w:pPr>
            <w:r>
              <w:rPr>
                <w:rFonts w:hint="eastAsia" w:ascii="宋体" w:hAnsi="宋体" w:cs="宋体"/>
                <w:b/>
                <w:szCs w:val="21"/>
                <w:highlight w:val="none"/>
              </w:rPr>
              <w:t>投标文件</w:t>
            </w:r>
          </w:p>
          <w:p w14:paraId="48BAF0C5">
            <w:pPr>
              <w:adjustRightInd w:val="0"/>
              <w:snapToGrid w:val="0"/>
              <w:jc w:val="center"/>
              <w:rPr>
                <w:rFonts w:ascii="宋体" w:hAnsi="宋体" w:cs="宋体"/>
                <w:b/>
                <w:szCs w:val="21"/>
                <w:highlight w:val="none"/>
              </w:rPr>
            </w:pPr>
            <w:r>
              <w:rPr>
                <w:rFonts w:hint="eastAsia" w:ascii="宋体" w:hAnsi="宋体" w:cs="宋体"/>
                <w:b/>
                <w:szCs w:val="21"/>
                <w:highlight w:val="none"/>
              </w:rPr>
              <w:t>应答情况</w:t>
            </w:r>
          </w:p>
        </w:tc>
        <w:tc>
          <w:tcPr>
            <w:tcW w:w="2090" w:type="dxa"/>
            <w:vAlign w:val="center"/>
          </w:tcPr>
          <w:p w14:paraId="40EE1298">
            <w:pPr>
              <w:adjustRightInd w:val="0"/>
              <w:snapToGrid w:val="0"/>
              <w:jc w:val="center"/>
              <w:rPr>
                <w:rFonts w:ascii="宋体" w:hAnsi="宋体" w:cs="宋体"/>
                <w:b/>
                <w:szCs w:val="21"/>
                <w:highlight w:val="none"/>
              </w:rPr>
            </w:pPr>
            <w:r>
              <w:rPr>
                <w:rFonts w:hint="eastAsia" w:ascii="宋体" w:hAnsi="宋体" w:cs="宋体"/>
                <w:b/>
                <w:szCs w:val="21"/>
                <w:highlight w:val="none"/>
              </w:rPr>
              <w:t>偏离（无/正/负）</w:t>
            </w:r>
          </w:p>
        </w:tc>
        <w:tc>
          <w:tcPr>
            <w:tcW w:w="872" w:type="dxa"/>
            <w:vAlign w:val="center"/>
          </w:tcPr>
          <w:p w14:paraId="75A9B819">
            <w:pPr>
              <w:adjustRightInd w:val="0"/>
              <w:snapToGrid w:val="0"/>
              <w:jc w:val="center"/>
              <w:rPr>
                <w:rFonts w:ascii="宋体" w:hAnsi="宋体" w:cs="宋体"/>
                <w:b/>
                <w:szCs w:val="21"/>
                <w:highlight w:val="none"/>
              </w:rPr>
            </w:pPr>
            <w:r>
              <w:rPr>
                <w:rFonts w:hint="eastAsia" w:ascii="宋体" w:hAnsi="宋体" w:cs="宋体"/>
                <w:b/>
                <w:szCs w:val="21"/>
                <w:highlight w:val="none"/>
              </w:rPr>
              <w:t>备注</w:t>
            </w:r>
          </w:p>
        </w:tc>
      </w:tr>
      <w:tr w14:paraId="1BF2D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vAlign w:val="center"/>
          </w:tcPr>
          <w:p w14:paraId="5A5EED22">
            <w:pPr>
              <w:adjustRightInd w:val="0"/>
              <w:snapToGrid w:val="0"/>
              <w:jc w:val="center"/>
              <w:rPr>
                <w:rFonts w:ascii="宋体" w:hAnsi="宋体" w:cs="宋体"/>
                <w:szCs w:val="21"/>
                <w:highlight w:val="none"/>
              </w:rPr>
            </w:pPr>
            <w:r>
              <w:rPr>
                <w:rFonts w:hint="eastAsia" w:ascii="宋体" w:hAnsi="宋体" w:cs="宋体"/>
                <w:szCs w:val="21"/>
                <w:highlight w:val="none"/>
              </w:rPr>
              <w:t>1</w:t>
            </w:r>
          </w:p>
        </w:tc>
        <w:tc>
          <w:tcPr>
            <w:tcW w:w="1516" w:type="dxa"/>
            <w:vAlign w:val="center"/>
          </w:tcPr>
          <w:p w14:paraId="28896456">
            <w:pPr>
              <w:adjustRightInd w:val="0"/>
              <w:snapToGrid w:val="0"/>
              <w:jc w:val="center"/>
              <w:rPr>
                <w:rFonts w:ascii="宋体" w:hAnsi="宋体" w:cs="宋体"/>
                <w:szCs w:val="21"/>
                <w:highlight w:val="none"/>
              </w:rPr>
            </w:pPr>
          </w:p>
        </w:tc>
        <w:tc>
          <w:tcPr>
            <w:tcW w:w="2116" w:type="dxa"/>
            <w:vAlign w:val="center"/>
          </w:tcPr>
          <w:p w14:paraId="05F09C06">
            <w:pPr>
              <w:adjustRightInd w:val="0"/>
              <w:snapToGrid w:val="0"/>
              <w:jc w:val="center"/>
              <w:rPr>
                <w:rFonts w:ascii="宋体" w:hAnsi="宋体" w:cs="宋体"/>
                <w:szCs w:val="21"/>
                <w:highlight w:val="none"/>
              </w:rPr>
            </w:pPr>
          </w:p>
        </w:tc>
        <w:tc>
          <w:tcPr>
            <w:tcW w:w="1684" w:type="dxa"/>
            <w:vAlign w:val="center"/>
          </w:tcPr>
          <w:p w14:paraId="571E1352">
            <w:pPr>
              <w:adjustRightInd w:val="0"/>
              <w:snapToGrid w:val="0"/>
              <w:jc w:val="center"/>
              <w:rPr>
                <w:rFonts w:ascii="宋体" w:hAnsi="宋体" w:cs="宋体"/>
                <w:szCs w:val="21"/>
                <w:highlight w:val="none"/>
              </w:rPr>
            </w:pPr>
          </w:p>
        </w:tc>
        <w:tc>
          <w:tcPr>
            <w:tcW w:w="2090" w:type="dxa"/>
            <w:vAlign w:val="center"/>
          </w:tcPr>
          <w:p w14:paraId="29E1B35C">
            <w:pPr>
              <w:adjustRightInd w:val="0"/>
              <w:snapToGrid w:val="0"/>
              <w:jc w:val="center"/>
              <w:rPr>
                <w:rFonts w:ascii="宋体" w:hAnsi="宋体" w:cs="宋体"/>
                <w:szCs w:val="21"/>
                <w:highlight w:val="none"/>
              </w:rPr>
            </w:pPr>
          </w:p>
        </w:tc>
        <w:tc>
          <w:tcPr>
            <w:tcW w:w="872" w:type="dxa"/>
            <w:vAlign w:val="center"/>
          </w:tcPr>
          <w:p w14:paraId="047AE36C">
            <w:pPr>
              <w:adjustRightInd w:val="0"/>
              <w:snapToGrid w:val="0"/>
              <w:jc w:val="center"/>
              <w:rPr>
                <w:rFonts w:ascii="宋体" w:hAnsi="宋体" w:cs="宋体"/>
                <w:szCs w:val="21"/>
                <w:highlight w:val="none"/>
              </w:rPr>
            </w:pPr>
          </w:p>
        </w:tc>
      </w:tr>
      <w:tr w14:paraId="3081A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vAlign w:val="center"/>
          </w:tcPr>
          <w:p w14:paraId="74EFA9C6">
            <w:pPr>
              <w:adjustRightInd w:val="0"/>
              <w:snapToGrid w:val="0"/>
              <w:jc w:val="center"/>
              <w:rPr>
                <w:rFonts w:ascii="宋体" w:hAnsi="宋体" w:cs="宋体"/>
                <w:szCs w:val="21"/>
                <w:highlight w:val="none"/>
              </w:rPr>
            </w:pPr>
            <w:r>
              <w:rPr>
                <w:rFonts w:hint="eastAsia" w:ascii="宋体" w:hAnsi="宋体" w:cs="宋体"/>
                <w:szCs w:val="21"/>
                <w:highlight w:val="none"/>
              </w:rPr>
              <w:t>2</w:t>
            </w:r>
          </w:p>
        </w:tc>
        <w:tc>
          <w:tcPr>
            <w:tcW w:w="1516" w:type="dxa"/>
            <w:vAlign w:val="center"/>
          </w:tcPr>
          <w:p w14:paraId="436F5794">
            <w:pPr>
              <w:adjustRightInd w:val="0"/>
              <w:snapToGrid w:val="0"/>
              <w:jc w:val="center"/>
              <w:rPr>
                <w:rFonts w:ascii="宋体" w:hAnsi="宋体" w:cs="宋体"/>
                <w:szCs w:val="21"/>
                <w:highlight w:val="none"/>
              </w:rPr>
            </w:pPr>
          </w:p>
        </w:tc>
        <w:tc>
          <w:tcPr>
            <w:tcW w:w="2116" w:type="dxa"/>
            <w:vAlign w:val="center"/>
          </w:tcPr>
          <w:p w14:paraId="13F25A99">
            <w:pPr>
              <w:adjustRightInd w:val="0"/>
              <w:snapToGrid w:val="0"/>
              <w:jc w:val="center"/>
              <w:rPr>
                <w:rFonts w:ascii="宋体" w:hAnsi="宋体" w:cs="宋体"/>
                <w:szCs w:val="21"/>
                <w:highlight w:val="none"/>
              </w:rPr>
            </w:pPr>
          </w:p>
        </w:tc>
        <w:tc>
          <w:tcPr>
            <w:tcW w:w="1684" w:type="dxa"/>
            <w:vAlign w:val="center"/>
          </w:tcPr>
          <w:p w14:paraId="31E21657">
            <w:pPr>
              <w:adjustRightInd w:val="0"/>
              <w:snapToGrid w:val="0"/>
              <w:jc w:val="center"/>
              <w:rPr>
                <w:rFonts w:ascii="宋体" w:hAnsi="宋体" w:cs="宋体"/>
                <w:szCs w:val="21"/>
                <w:highlight w:val="none"/>
              </w:rPr>
            </w:pPr>
          </w:p>
        </w:tc>
        <w:tc>
          <w:tcPr>
            <w:tcW w:w="2090" w:type="dxa"/>
            <w:vAlign w:val="center"/>
          </w:tcPr>
          <w:p w14:paraId="6857FFC3">
            <w:pPr>
              <w:adjustRightInd w:val="0"/>
              <w:snapToGrid w:val="0"/>
              <w:jc w:val="center"/>
              <w:rPr>
                <w:rFonts w:ascii="宋体" w:hAnsi="宋体" w:cs="宋体"/>
                <w:szCs w:val="21"/>
                <w:highlight w:val="none"/>
              </w:rPr>
            </w:pPr>
          </w:p>
        </w:tc>
        <w:tc>
          <w:tcPr>
            <w:tcW w:w="872" w:type="dxa"/>
            <w:vAlign w:val="center"/>
          </w:tcPr>
          <w:p w14:paraId="424E572A">
            <w:pPr>
              <w:adjustRightInd w:val="0"/>
              <w:snapToGrid w:val="0"/>
              <w:jc w:val="center"/>
              <w:rPr>
                <w:rFonts w:ascii="宋体" w:hAnsi="宋体" w:cs="宋体"/>
                <w:szCs w:val="21"/>
                <w:highlight w:val="none"/>
              </w:rPr>
            </w:pPr>
          </w:p>
        </w:tc>
      </w:tr>
      <w:tr w14:paraId="516C7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vAlign w:val="center"/>
          </w:tcPr>
          <w:p w14:paraId="620D8283">
            <w:pPr>
              <w:adjustRightInd w:val="0"/>
              <w:snapToGrid w:val="0"/>
              <w:jc w:val="center"/>
              <w:rPr>
                <w:rFonts w:ascii="宋体" w:hAnsi="宋体" w:cs="宋体"/>
                <w:szCs w:val="21"/>
                <w:highlight w:val="none"/>
              </w:rPr>
            </w:pPr>
            <w:r>
              <w:rPr>
                <w:rFonts w:hint="eastAsia" w:ascii="宋体" w:hAnsi="宋体" w:cs="宋体"/>
                <w:szCs w:val="21"/>
                <w:highlight w:val="none"/>
              </w:rPr>
              <w:t>3</w:t>
            </w:r>
          </w:p>
        </w:tc>
        <w:tc>
          <w:tcPr>
            <w:tcW w:w="1516" w:type="dxa"/>
            <w:vAlign w:val="center"/>
          </w:tcPr>
          <w:p w14:paraId="59D01C1D">
            <w:pPr>
              <w:adjustRightInd w:val="0"/>
              <w:snapToGrid w:val="0"/>
              <w:jc w:val="center"/>
              <w:rPr>
                <w:rFonts w:ascii="宋体" w:hAnsi="宋体" w:cs="宋体"/>
                <w:szCs w:val="21"/>
                <w:highlight w:val="none"/>
              </w:rPr>
            </w:pPr>
          </w:p>
        </w:tc>
        <w:tc>
          <w:tcPr>
            <w:tcW w:w="2116" w:type="dxa"/>
            <w:vAlign w:val="center"/>
          </w:tcPr>
          <w:p w14:paraId="08F22AA4">
            <w:pPr>
              <w:adjustRightInd w:val="0"/>
              <w:snapToGrid w:val="0"/>
              <w:jc w:val="center"/>
              <w:rPr>
                <w:rFonts w:ascii="宋体" w:hAnsi="宋体" w:cs="宋体"/>
                <w:szCs w:val="21"/>
                <w:highlight w:val="none"/>
              </w:rPr>
            </w:pPr>
          </w:p>
        </w:tc>
        <w:tc>
          <w:tcPr>
            <w:tcW w:w="1684" w:type="dxa"/>
            <w:vAlign w:val="center"/>
          </w:tcPr>
          <w:p w14:paraId="47A62BFF">
            <w:pPr>
              <w:adjustRightInd w:val="0"/>
              <w:snapToGrid w:val="0"/>
              <w:jc w:val="center"/>
              <w:rPr>
                <w:rFonts w:ascii="宋体" w:hAnsi="宋体" w:cs="宋体"/>
                <w:szCs w:val="21"/>
                <w:highlight w:val="none"/>
              </w:rPr>
            </w:pPr>
          </w:p>
        </w:tc>
        <w:tc>
          <w:tcPr>
            <w:tcW w:w="2090" w:type="dxa"/>
            <w:vAlign w:val="center"/>
          </w:tcPr>
          <w:p w14:paraId="21919AF1">
            <w:pPr>
              <w:adjustRightInd w:val="0"/>
              <w:snapToGrid w:val="0"/>
              <w:jc w:val="center"/>
              <w:rPr>
                <w:rFonts w:ascii="宋体" w:hAnsi="宋体" w:cs="宋体"/>
                <w:szCs w:val="21"/>
                <w:highlight w:val="none"/>
              </w:rPr>
            </w:pPr>
          </w:p>
        </w:tc>
        <w:tc>
          <w:tcPr>
            <w:tcW w:w="872" w:type="dxa"/>
            <w:vAlign w:val="center"/>
          </w:tcPr>
          <w:p w14:paraId="291E217D">
            <w:pPr>
              <w:adjustRightInd w:val="0"/>
              <w:snapToGrid w:val="0"/>
              <w:jc w:val="center"/>
              <w:rPr>
                <w:rFonts w:ascii="宋体" w:hAnsi="宋体" w:cs="宋体"/>
                <w:szCs w:val="21"/>
                <w:highlight w:val="none"/>
              </w:rPr>
            </w:pPr>
          </w:p>
        </w:tc>
      </w:tr>
      <w:tr w14:paraId="78C57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vAlign w:val="center"/>
          </w:tcPr>
          <w:p w14:paraId="7193310C">
            <w:pPr>
              <w:adjustRightInd w:val="0"/>
              <w:snapToGrid w:val="0"/>
              <w:jc w:val="center"/>
              <w:rPr>
                <w:rFonts w:ascii="宋体" w:hAnsi="宋体" w:cs="宋体"/>
                <w:szCs w:val="21"/>
                <w:highlight w:val="none"/>
              </w:rPr>
            </w:pPr>
            <w:r>
              <w:rPr>
                <w:rFonts w:hint="eastAsia" w:ascii="宋体" w:hAnsi="宋体" w:cs="宋体"/>
                <w:szCs w:val="21"/>
                <w:highlight w:val="none"/>
              </w:rPr>
              <w:t>4</w:t>
            </w:r>
          </w:p>
        </w:tc>
        <w:tc>
          <w:tcPr>
            <w:tcW w:w="1516" w:type="dxa"/>
            <w:vAlign w:val="center"/>
          </w:tcPr>
          <w:p w14:paraId="1BB4E4F3">
            <w:pPr>
              <w:adjustRightInd w:val="0"/>
              <w:snapToGrid w:val="0"/>
              <w:jc w:val="center"/>
              <w:rPr>
                <w:rFonts w:ascii="宋体" w:hAnsi="宋体" w:cs="宋体"/>
                <w:szCs w:val="21"/>
                <w:highlight w:val="none"/>
              </w:rPr>
            </w:pPr>
          </w:p>
        </w:tc>
        <w:tc>
          <w:tcPr>
            <w:tcW w:w="2116" w:type="dxa"/>
            <w:vAlign w:val="center"/>
          </w:tcPr>
          <w:p w14:paraId="2E158B5B">
            <w:pPr>
              <w:adjustRightInd w:val="0"/>
              <w:snapToGrid w:val="0"/>
              <w:jc w:val="center"/>
              <w:rPr>
                <w:rFonts w:ascii="宋体" w:hAnsi="宋体" w:cs="宋体"/>
                <w:szCs w:val="21"/>
                <w:highlight w:val="none"/>
              </w:rPr>
            </w:pPr>
          </w:p>
        </w:tc>
        <w:tc>
          <w:tcPr>
            <w:tcW w:w="1684" w:type="dxa"/>
            <w:vAlign w:val="center"/>
          </w:tcPr>
          <w:p w14:paraId="007F7F12">
            <w:pPr>
              <w:adjustRightInd w:val="0"/>
              <w:snapToGrid w:val="0"/>
              <w:jc w:val="center"/>
              <w:rPr>
                <w:rFonts w:ascii="宋体" w:hAnsi="宋体" w:cs="宋体"/>
                <w:szCs w:val="21"/>
                <w:highlight w:val="none"/>
              </w:rPr>
            </w:pPr>
          </w:p>
        </w:tc>
        <w:tc>
          <w:tcPr>
            <w:tcW w:w="2090" w:type="dxa"/>
            <w:vAlign w:val="center"/>
          </w:tcPr>
          <w:p w14:paraId="06095F9F">
            <w:pPr>
              <w:adjustRightInd w:val="0"/>
              <w:snapToGrid w:val="0"/>
              <w:jc w:val="center"/>
              <w:rPr>
                <w:rFonts w:ascii="宋体" w:hAnsi="宋体" w:cs="宋体"/>
                <w:szCs w:val="21"/>
                <w:highlight w:val="none"/>
              </w:rPr>
            </w:pPr>
          </w:p>
        </w:tc>
        <w:tc>
          <w:tcPr>
            <w:tcW w:w="872" w:type="dxa"/>
            <w:vAlign w:val="center"/>
          </w:tcPr>
          <w:p w14:paraId="7787E715">
            <w:pPr>
              <w:adjustRightInd w:val="0"/>
              <w:snapToGrid w:val="0"/>
              <w:jc w:val="center"/>
              <w:rPr>
                <w:rFonts w:ascii="宋体" w:hAnsi="宋体" w:cs="宋体"/>
                <w:szCs w:val="21"/>
                <w:highlight w:val="none"/>
              </w:rPr>
            </w:pPr>
          </w:p>
        </w:tc>
      </w:tr>
      <w:tr w14:paraId="21710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vAlign w:val="center"/>
          </w:tcPr>
          <w:p w14:paraId="2DF9C053">
            <w:pPr>
              <w:adjustRightInd w:val="0"/>
              <w:snapToGrid w:val="0"/>
              <w:jc w:val="center"/>
              <w:rPr>
                <w:rFonts w:ascii="宋体" w:hAnsi="宋体" w:cs="宋体"/>
                <w:szCs w:val="21"/>
                <w:highlight w:val="none"/>
              </w:rPr>
            </w:pPr>
            <w:r>
              <w:rPr>
                <w:rFonts w:hint="eastAsia" w:ascii="宋体" w:hAnsi="宋体" w:cs="宋体"/>
                <w:szCs w:val="21"/>
                <w:highlight w:val="none"/>
              </w:rPr>
              <w:t>5</w:t>
            </w:r>
          </w:p>
        </w:tc>
        <w:tc>
          <w:tcPr>
            <w:tcW w:w="1516" w:type="dxa"/>
            <w:vAlign w:val="center"/>
          </w:tcPr>
          <w:p w14:paraId="3662911B">
            <w:pPr>
              <w:adjustRightInd w:val="0"/>
              <w:snapToGrid w:val="0"/>
              <w:jc w:val="center"/>
              <w:rPr>
                <w:rFonts w:ascii="宋体" w:hAnsi="宋体" w:cs="宋体"/>
                <w:szCs w:val="21"/>
                <w:highlight w:val="none"/>
              </w:rPr>
            </w:pPr>
          </w:p>
        </w:tc>
        <w:tc>
          <w:tcPr>
            <w:tcW w:w="2116" w:type="dxa"/>
            <w:vAlign w:val="center"/>
          </w:tcPr>
          <w:p w14:paraId="2A282FF9">
            <w:pPr>
              <w:adjustRightInd w:val="0"/>
              <w:snapToGrid w:val="0"/>
              <w:jc w:val="center"/>
              <w:rPr>
                <w:rFonts w:ascii="宋体" w:hAnsi="宋体" w:cs="宋体"/>
                <w:szCs w:val="21"/>
                <w:highlight w:val="none"/>
              </w:rPr>
            </w:pPr>
          </w:p>
        </w:tc>
        <w:tc>
          <w:tcPr>
            <w:tcW w:w="1684" w:type="dxa"/>
            <w:vAlign w:val="center"/>
          </w:tcPr>
          <w:p w14:paraId="2202917B">
            <w:pPr>
              <w:adjustRightInd w:val="0"/>
              <w:snapToGrid w:val="0"/>
              <w:jc w:val="center"/>
              <w:rPr>
                <w:rFonts w:ascii="宋体" w:hAnsi="宋体" w:cs="宋体"/>
                <w:szCs w:val="21"/>
                <w:highlight w:val="none"/>
              </w:rPr>
            </w:pPr>
          </w:p>
        </w:tc>
        <w:tc>
          <w:tcPr>
            <w:tcW w:w="2090" w:type="dxa"/>
            <w:vAlign w:val="center"/>
          </w:tcPr>
          <w:p w14:paraId="19C2898C">
            <w:pPr>
              <w:adjustRightInd w:val="0"/>
              <w:snapToGrid w:val="0"/>
              <w:jc w:val="center"/>
              <w:rPr>
                <w:rFonts w:ascii="宋体" w:hAnsi="宋体" w:cs="宋体"/>
                <w:szCs w:val="21"/>
                <w:highlight w:val="none"/>
              </w:rPr>
            </w:pPr>
          </w:p>
        </w:tc>
        <w:tc>
          <w:tcPr>
            <w:tcW w:w="872" w:type="dxa"/>
            <w:vAlign w:val="center"/>
          </w:tcPr>
          <w:p w14:paraId="4FCE89F6">
            <w:pPr>
              <w:adjustRightInd w:val="0"/>
              <w:snapToGrid w:val="0"/>
              <w:jc w:val="center"/>
              <w:rPr>
                <w:rFonts w:ascii="宋体" w:hAnsi="宋体" w:cs="宋体"/>
                <w:szCs w:val="21"/>
                <w:highlight w:val="none"/>
              </w:rPr>
            </w:pPr>
          </w:p>
        </w:tc>
      </w:tr>
      <w:tr w14:paraId="3639F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vAlign w:val="center"/>
          </w:tcPr>
          <w:p w14:paraId="4A2AE76B">
            <w:pPr>
              <w:adjustRightInd w:val="0"/>
              <w:snapToGrid w:val="0"/>
              <w:jc w:val="center"/>
              <w:rPr>
                <w:rFonts w:ascii="宋体" w:hAnsi="宋体" w:cs="宋体"/>
                <w:szCs w:val="21"/>
                <w:highlight w:val="none"/>
              </w:rPr>
            </w:pPr>
            <w:r>
              <w:rPr>
                <w:rFonts w:hint="eastAsia" w:ascii="宋体" w:hAnsi="宋体" w:cs="宋体"/>
                <w:szCs w:val="21"/>
                <w:highlight w:val="none"/>
              </w:rPr>
              <w:t>……</w:t>
            </w:r>
          </w:p>
        </w:tc>
        <w:tc>
          <w:tcPr>
            <w:tcW w:w="1516" w:type="dxa"/>
            <w:vAlign w:val="center"/>
          </w:tcPr>
          <w:p w14:paraId="1C3C09B3">
            <w:pPr>
              <w:adjustRightInd w:val="0"/>
              <w:snapToGrid w:val="0"/>
              <w:jc w:val="center"/>
              <w:rPr>
                <w:rFonts w:ascii="宋体" w:hAnsi="宋体" w:cs="宋体"/>
                <w:szCs w:val="21"/>
                <w:highlight w:val="none"/>
              </w:rPr>
            </w:pPr>
          </w:p>
        </w:tc>
        <w:tc>
          <w:tcPr>
            <w:tcW w:w="2116" w:type="dxa"/>
            <w:vAlign w:val="center"/>
          </w:tcPr>
          <w:p w14:paraId="09C510BA">
            <w:pPr>
              <w:adjustRightInd w:val="0"/>
              <w:snapToGrid w:val="0"/>
              <w:jc w:val="center"/>
              <w:rPr>
                <w:rFonts w:ascii="宋体" w:hAnsi="宋体" w:cs="宋体"/>
                <w:szCs w:val="21"/>
                <w:highlight w:val="none"/>
              </w:rPr>
            </w:pPr>
          </w:p>
        </w:tc>
        <w:tc>
          <w:tcPr>
            <w:tcW w:w="1684" w:type="dxa"/>
            <w:vAlign w:val="center"/>
          </w:tcPr>
          <w:p w14:paraId="5379FF35">
            <w:pPr>
              <w:adjustRightInd w:val="0"/>
              <w:snapToGrid w:val="0"/>
              <w:jc w:val="center"/>
              <w:rPr>
                <w:rFonts w:ascii="宋体" w:hAnsi="宋体" w:cs="宋体"/>
                <w:szCs w:val="21"/>
                <w:highlight w:val="none"/>
              </w:rPr>
            </w:pPr>
          </w:p>
        </w:tc>
        <w:tc>
          <w:tcPr>
            <w:tcW w:w="2090" w:type="dxa"/>
            <w:vAlign w:val="center"/>
          </w:tcPr>
          <w:p w14:paraId="3B27043E">
            <w:pPr>
              <w:adjustRightInd w:val="0"/>
              <w:snapToGrid w:val="0"/>
              <w:jc w:val="center"/>
              <w:rPr>
                <w:rFonts w:ascii="宋体" w:hAnsi="宋体" w:cs="宋体"/>
                <w:szCs w:val="21"/>
                <w:highlight w:val="none"/>
              </w:rPr>
            </w:pPr>
          </w:p>
        </w:tc>
        <w:tc>
          <w:tcPr>
            <w:tcW w:w="872" w:type="dxa"/>
            <w:vAlign w:val="center"/>
          </w:tcPr>
          <w:p w14:paraId="12E25F78">
            <w:pPr>
              <w:adjustRightInd w:val="0"/>
              <w:snapToGrid w:val="0"/>
              <w:jc w:val="center"/>
              <w:rPr>
                <w:rFonts w:ascii="宋体" w:hAnsi="宋体" w:cs="宋体"/>
                <w:szCs w:val="21"/>
                <w:highlight w:val="none"/>
              </w:rPr>
            </w:pPr>
          </w:p>
        </w:tc>
      </w:tr>
    </w:tbl>
    <w:p w14:paraId="5FFE199A">
      <w:pPr>
        <w:topLinePunct/>
        <w:autoSpaceDE w:val="0"/>
        <w:autoSpaceDN w:val="0"/>
        <w:spacing w:line="360" w:lineRule="auto"/>
        <w:rPr>
          <w:rFonts w:ascii="宋体" w:hAnsi="宋体" w:cs="宋体"/>
          <w:szCs w:val="21"/>
          <w:highlight w:val="none"/>
        </w:rPr>
      </w:pPr>
      <w:r>
        <w:rPr>
          <w:rFonts w:hint="eastAsia" w:ascii="宋体" w:hAnsi="宋体" w:cs="宋体"/>
          <w:szCs w:val="21"/>
          <w:highlight w:val="none"/>
        </w:rPr>
        <w:t>特别说明：</w:t>
      </w:r>
    </w:p>
    <w:p w14:paraId="2FD3ECA6">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szCs w:val="21"/>
          <w:highlight w:val="none"/>
        </w:rPr>
        <w:t>1.按照《招标文件-第</w:t>
      </w:r>
      <w:r>
        <w:rPr>
          <w:rFonts w:hint="eastAsia" w:ascii="宋体" w:hAnsi="宋体" w:cs="宋体"/>
          <w:color w:val="auto"/>
          <w:szCs w:val="21"/>
          <w:highlight w:val="none"/>
        </w:rPr>
        <w:t>六章 项目采购需求-</w:t>
      </w:r>
      <w:r>
        <w:rPr>
          <w:rFonts w:hint="eastAsia" w:ascii="宋体" w:hAnsi="宋体" w:cs="宋体"/>
          <w:color w:val="auto"/>
          <w:szCs w:val="21"/>
          <w:highlight w:val="none"/>
          <w:lang w:eastAsia="zh-CN"/>
        </w:rPr>
        <w:t>三</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四、商务要求</w:t>
      </w:r>
      <w:r>
        <w:rPr>
          <w:rFonts w:hint="eastAsia" w:ascii="宋体" w:hAnsi="宋体" w:cs="宋体"/>
          <w:color w:val="auto"/>
          <w:szCs w:val="21"/>
          <w:highlight w:val="none"/>
        </w:rPr>
        <w:t>》内容要求，一一对应填写。如果对《招标文件-第六章 项目采购需求-</w:t>
      </w:r>
      <w:r>
        <w:rPr>
          <w:rFonts w:hint="eastAsia" w:ascii="宋体" w:hAnsi="宋体" w:cs="宋体"/>
          <w:color w:val="auto"/>
          <w:szCs w:val="21"/>
          <w:highlight w:val="none"/>
          <w:lang w:eastAsia="zh-CN"/>
        </w:rPr>
        <w:t>三</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四、商务要求</w:t>
      </w:r>
      <w:r>
        <w:rPr>
          <w:rFonts w:hint="eastAsia" w:ascii="宋体" w:hAnsi="宋体" w:cs="宋体"/>
          <w:color w:val="auto"/>
          <w:szCs w:val="21"/>
          <w:highlight w:val="none"/>
        </w:rPr>
        <w:t>》内容不做一一响应，而将“投标文件应答情况”简单笼统描述为“无偏离”，则视为无效应答。</w:t>
      </w:r>
    </w:p>
    <w:p w14:paraId="58653A7A">
      <w:pPr>
        <w:topLinePunct/>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2.《招标文件-第六章 项目采购需求-</w:t>
      </w:r>
      <w:r>
        <w:rPr>
          <w:rFonts w:hint="eastAsia" w:ascii="宋体" w:hAnsi="宋体" w:cs="宋体"/>
          <w:color w:val="auto"/>
          <w:szCs w:val="21"/>
          <w:highlight w:val="none"/>
          <w:lang w:eastAsia="zh-CN"/>
        </w:rPr>
        <w:t>三</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四、商务要求</w:t>
      </w:r>
      <w:r>
        <w:rPr>
          <w:rFonts w:hint="eastAsia" w:ascii="宋体" w:hAnsi="宋体" w:cs="宋体"/>
          <w:color w:val="auto"/>
          <w:szCs w:val="21"/>
          <w:highlight w:val="none"/>
        </w:rPr>
        <w:t>》内容须条对条应答，不得遗漏；如有遗漏，则视为无效应答。如无偏离，请在此表中填写“无偏离”。如有偏离，请在此表中应答为“正/负偏离”并说明偏离情况；</w:t>
      </w:r>
    </w:p>
    <w:p w14:paraId="7E9848DE">
      <w:pPr>
        <w:topLinePunct/>
        <w:autoSpaceDE w:val="0"/>
        <w:autoSpaceDN w:val="0"/>
        <w:spacing w:line="360" w:lineRule="auto"/>
        <w:ind w:firstLine="420" w:firstLineChars="200"/>
        <w:rPr>
          <w:rFonts w:hint="eastAsia" w:ascii="宋体" w:hAnsi="宋体" w:cs="宋体"/>
          <w:szCs w:val="21"/>
          <w:highlight w:val="none"/>
        </w:rPr>
      </w:pPr>
      <w:r>
        <w:rPr>
          <w:rFonts w:hint="eastAsia" w:ascii="宋体" w:hAnsi="宋体" w:cs="宋体"/>
          <w:color w:val="auto"/>
          <w:szCs w:val="21"/>
          <w:highlight w:val="none"/>
        </w:rPr>
        <w:t>3.如《招标文件-第六章 项目采购需求-</w:t>
      </w:r>
      <w:r>
        <w:rPr>
          <w:rFonts w:hint="eastAsia" w:ascii="宋体" w:hAnsi="宋体" w:cs="宋体"/>
          <w:color w:val="auto"/>
          <w:szCs w:val="21"/>
          <w:highlight w:val="none"/>
          <w:lang w:eastAsia="zh-CN"/>
        </w:rPr>
        <w:t>三</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四、商务要求</w:t>
      </w:r>
      <w:r>
        <w:rPr>
          <w:rFonts w:hint="eastAsia" w:ascii="宋体" w:hAnsi="宋体" w:cs="宋体"/>
          <w:color w:val="auto"/>
          <w:szCs w:val="21"/>
          <w:highlight w:val="none"/>
        </w:rPr>
        <w:t>》中有标注★号的</w:t>
      </w:r>
      <w:r>
        <w:rPr>
          <w:rFonts w:hint="eastAsia" w:ascii="宋体" w:hAnsi="宋体" w:cs="宋体"/>
          <w:szCs w:val="21"/>
          <w:highlight w:val="none"/>
        </w:rPr>
        <w:t>，则为实质性要求，必须满足，如应答为“负偏离”，将导致投标无效。</w:t>
      </w:r>
    </w:p>
    <w:p w14:paraId="5E46FC18">
      <w:pPr>
        <w:topLinePunct/>
        <w:autoSpaceDE w:val="0"/>
        <w:autoSpaceDN w:val="0"/>
        <w:spacing w:line="360" w:lineRule="auto"/>
        <w:ind w:firstLine="420" w:firstLineChars="200"/>
        <w:rPr>
          <w:rFonts w:hint="default" w:eastAsia="宋体"/>
          <w:highlight w:val="none"/>
          <w:lang w:val="en-US" w:eastAsia="zh-CN"/>
        </w:rPr>
      </w:pPr>
      <w:r>
        <w:rPr>
          <w:rFonts w:hint="eastAsia"/>
          <w:highlight w:val="none"/>
          <w:lang w:val="en-US" w:eastAsia="zh-CN"/>
        </w:rPr>
        <w:t>4.本表可扩展。</w:t>
      </w:r>
    </w:p>
    <w:p w14:paraId="6FD7777F">
      <w:pPr>
        <w:topLinePunct/>
        <w:autoSpaceDE w:val="0"/>
        <w:autoSpaceDN w:val="0"/>
        <w:spacing w:line="360" w:lineRule="auto"/>
        <w:ind w:firstLine="420" w:firstLineChars="200"/>
        <w:rPr>
          <w:rFonts w:ascii="宋体" w:hAnsi="宋体" w:cs="宋体"/>
          <w:szCs w:val="21"/>
          <w:highlight w:val="none"/>
        </w:rPr>
      </w:pPr>
    </w:p>
    <w:p w14:paraId="5B687E6D">
      <w:pPr>
        <w:pStyle w:val="37"/>
        <w:spacing w:after="120"/>
        <w:rPr>
          <w:rFonts w:ascii="宋体" w:hAnsi="宋体" w:cs="宋体"/>
          <w:sz w:val="21"/>
          <w:szCs w:val="21"/>
          <w:highlight w:val="none"/>
        </w:rPr>
      </w:pPr>
    </w:p>
    <w:p w14:paraId="18E1445B">
      <w:pPr>
        <w:tabs>
          <w:tab w:val="left" w:pos="123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w:t>
      </w:r>
      <w:r>
        <w:rPr>
          <w:rFonts w:hint="eastAsia" w:ascii="宋体" w:hAnsi="宋体" w:cs="宋体"/>
          <w:kern w:val="0"/>
          <w:szCs w:val="21"/>
          <w:highlight w:val="none"/>
        </w:rPr>
        <w:t>（全称并加盖公章</w:t>
      </w:r>
      <w:r>
        <w:rPr>
          <w:rFonts w:hint="eastAsia" w:ascii="宋体" w:hAnsi="宋体" w:cs="宋体"/>
          <w:szCs w:val="21"/>
          <w:highlight w:val="none"/>
        </w:rPr>
        <w:t>）：</w:t>
      </w:r>
      <w:r>
        <w:rPr>
          <w:rFonts w:hint="eastAsia" w:ascii="宋体" w:hAnsi="宋体" w:cs="宋体"/>
          <w:highlight w:val="none"/>
        </w:rPr>
        <w:t>____________</w:t>
      </w:r>
    </w:p>
    <w:p w14:paraId="0C6F2590">
      <w:pPr>
        <w:tabs>
          <w:tab w:val="left" w:pos="123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kern w:val="0"/>
          <w:szCs w:val="21"/>
          <w:highlight w:val="none"/>
        </w:rPr>
        <w:t>投标人代表（签字或盖章）</w:t>
      </w:r>
      <w:r>
        <w:rPr>
          <w:rFonts w:hint="eastAsia" w:ascii="宋体" w:hAnsi="宋体" w:cs="宋体"/>
          <w:szCs w:val="21"/>
          <w:highlight w:val="none"/>
        </w:rPr>
        <w:t>：</w:t>
      </w:r>
      <w:r>
        <w:rPr>
          <w:rFonts w:hint="eastAsia" w:ascii="宋体" w:hAnsi="宋体" w:cs="宋体"/>
          <w:highlight w:val="none"/>
        </w:rPr>
        <w:t>____________</w:t>
      </w:r>
    </w:p>
    <w:p w14:paraId="5A3E0878">
      <w:pPr>
        <w:tabs>
          <w:tab w:val="left" w:pos="1230"/>
        </w:tabs>
        <w:topLinePunct/>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日期：</w:t>
      </w:r>
      <w:r>
        <w:rPr>
          <w:rFonts w:hint="eastAsia" w:ascii="宋体" w:hAnsi="宋体" w:cs="宋体"/>
          <w:highlight w:val="none"/>
        </w:rPr>
        <w:t>____________</w:t>
      </w:r>
    </w:p>
    <w:p w14:paraId="6158FB20">
      <w:pPr>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sz w:val="24"/>
          <w:highlight w:val="none"/>
        </w:rPr>
        <w:br w:type="page"/>
      </w:r>
      <w:r>
        <w:rPr>
          <w:rFonts w:hint="eastAsia" w:ascii="宋体" w:hAnsi="宋体" w:cs="宋体"/>
          <w:b/>
          <w:bCs/>
          <w:sz w:val="28"/>
          <w:szCs w:val="28"/>
          <w:highlight w:val="none"/>
        </w:rPr>
        <w:t>十</w:t>
      </w:r>
      <w:r>
        <w:rPr>
          <w:rFonts w:hint="eastAsia" w:ascii="宋体" w:hAnsi="宋体" w:cs="宋体"/>
          <w:b/>
          <w:bCs/>
          <w:sz w:val="28"/>
          <w:szCs w:val="28"/>
          <w:highlight w:val="none"/>
          <w:lang w:val="en-US" w:eastAsia="zh-CN"/>
        </w:rPr>
        <w:t>一</w:t>
      </w:r>
      <w:r>
        <w:rPr>
          <w:rFonts w:hint="eastAsia" w:ascii="宋体" w:hAnsi="宋体" w:cs="宋体"/>
          <w:b/>
          <w:bCs/>
          <w:sz w:val="28"/>
          <w:szCs w:val="28"/>
          <w:highlight w:val="none"/>
        </w:rPr>
        <w:t>、</w:t>
      </w:r>
      <w:r>
        <w:rPr>
          <w:rFonts w:hint="eastAsia" w:ascii="宋体" w:hAnsi="宋体" w:cs="宋体"/>
          <w:b/>
          <w:bCs/>
          <w:sz w:val="28"/>
          <w:szCs w:val="28"/>
          <w:highlight w:val="none"/>
          <w:lang w:val="en-US" w:eastAsia="zh-CN"/>
        </w:rPr>
        <w:t>服务</w:t>
      </w:r>
      <w:r>
        <w:rPr>
          <w:rFonts w:hint="eastAsia" w:ascii="宋体" w:hAnsi="宋体" w:cs="宋体"/>
          <w:b/>
          <w:bCs/>
          <w:color w:val="000000" w:themeColor="text1"/>
          <w:sz w:val="28"/>
          <w:szCs w:val="28"/>
          <w:highlight w:val="none"/>
          <w14:textFill>
            <w14:solidFill>
              <w14:schemeClr w14:val="tx1"/>
            </w14:solidFill>
          </w14:textFill>
        </w:rPr>
        <w:t>方案</w:t>
      </w:r>
    </w:p>
    <w:p w14:paraId="7BF2D47D">
      <w:pPr>
        <w:rPr>
          <w:rFonts w:ascii="宋体" w:hAnsi="宋体" w:cs="宋体"/>
          <w:szCs w:val="21"/>
          <w:highlight w:val="none"/>
        </w:rPr>
      </w:pPr>
    </w:p>
    <w:p w14:paraId="0A2A3A3B">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eastAsia="黑体" w:cs="Times New Roman"/>
          <w:color w:val="auto"/>
          <w:szCs w:val="21"/>
          <w:highlight w:val="none"/>
        </w:rPr>
      </w:pPr>
      <w:r>
        <w:rPr>
          <w:rFonts w:hint="eastAsia" w:ascii="宋体" w:hAnsi="宋体" w:eastAsia="宋体" w:cs="宋体"/>
          <w:b/>
          <w:bCs/>
          <w:color w:val="auto"/>
          <w:sz w:val="28"/>
          <w:szCs w:val="28"/>
          <w:highlight w:val="none"/>
        </w:rPr>
        <w:t>服务方案</w:t>
      </w:r>
    </w:p>
    <w:p w14:paraId="5FD5603B">
      <w:pPr>
        <w:adjustRightInd w:val="0"/>
        <w:snapToGrid w:val="0"/>
        <w:spacing w:line="360" w:lineRule="auto"/>
        <w:jc w:val="center"/>
        <w:rPr>
          <w:rFonts w:ascii="宋体" w:hAnsi="宋体" w:cs="宋体"/>
          <w:color w:val="FF0000"/>
          <w:kern w:val="0"/>
          <w:szCs w:val="21"/>
          <w:highlight w:val="none"/>
        </w:rPr>
      </w:pPr>
      <w:r>
        <w:rPr>
          <w:rFonts w:hint="eastAsia" w:ascii="宋体" w:hAnsi="宋体" w:eastAsia="宋体" w:cs="Times New Roman"/>
          <w:b/>
          <w:bCs/>
          <w:color w:val="auto"/>
          <w:kern w:val="0"/>
          <w:sz w:val="21"/>
          <w:szCs w:val="21"/>
          <w:highlight w:val="none"/>
        </w:rPr>
        <w:t>供应商应根据第六章规定</w:t>
      </w:r>
      <w:r>
        <w:rPr>
          <w:rFonts w:hint="eastAsia" w:hAnsi="宋体"/>
          <w:b/>
          <w:bCs/>
          <w:color w:val="auto"/>
          <w:highlight w:val="none"/>
        </w:rPr>
        <w:t>及评分</w:t>
      </w:r>
      <w:r>
        <w:rPr>
          <w:rFonts w:hint="eastAsia" w:hAnsi="宋体"/>
          <w:b/>
          <w:bCs/>
          <w:color w:val="auto"/>
          <w:highlight w:val="none"/>
          <w:lang w:val="en-US" w:eastAsia="zh-CN"/>
        </w:rPr>
        <w:t>标准</w:t>
      </w:r>
      <w:r>
        <w:rPr>
          <w:rFonts w:hint="eastAsia" w:hAnsi="宋体"/>
          <w:b/>
          <w:bCs/>
          <w:color w:val="auto"/>
          <w:highlight w:val="none"/>
        </w:rPr>
        <w:t>要点编写服务方案</w:t>
      </w:r>
      <w:r>
        <w:rPr>
          <w:rFonts w:hint="eastAsia" w:ascii="宋体" w:hAnsi="宋体" w:eastAsia="宋体" w:cs="Times New Roman"/>
          <w:color w:val="auto"/>
          <w:kern w:val="0"/>
          <w:sz w:val="21"/>
          <w:szCs w:val="21"/>
          <w:highlight w:val="none"/>
        </w:rPr>
        <w:t>。</w:t>
      </w:r>
      <w:r>
        <w:rPr>
          <w:rFonts w:hint="eastAsia" w:ascii="宋体" w:hAnsi="宋体" w:cs="宋体"/>
          <w:szCs w:val="21"/>
          <w:highlight w:val="none"/>
        </w:rPr>
        <w:br w:type="page"/>
      </w:r>
    </w:p>
    <w:p w14:paraId="285E4A5D">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十</w:t>
      </w:r>
      <w:r>
        <w:rPr>
          <w:rFonts w:hint="eastAsia" w:ascii="宋体" w:hAnsi="宋体" w:cs="宋体"/>
          <w:b/>
          <w:bCs/>
          <w:sz w:val="28"/>
          <w:szCs w:val="28"/>
          <w:highlight w:val="none"/>
          <w:lang w:val="en-US" w:eastAsia="zh-CN"/>
        </w:rPr>
        <w:t>二</w:t>
      </w:r>
      <w:r>
        <w:rPr>
          <w:rFonts w:hint="eastAsia" w:ascii="宋体" w:hAnsi="宋体" w:cs="宋体"/>
          <w:b/>
          <w:bCs/>
          <w:sz w:val="28"/>
          <w:szCs w:val="28"/>
          <w:highlight w:val="none"/>
        </w:rPr>
        <w:t>、</w:t>
      </w:r>
      <w:r>
        <w:rPr>
          <w:rFonts w:hint="eastAsia" w:ascii="宋体" w:hAnsi="宋体" w:cs="宋体"/>
          <w:b/>
          <w:bCs/>
          <w:color w:val="auto"/>
          <w:sz w:val="28"/>
          <w:szCs w:val="28"/>
          <w:highlight w:val="none"/>
        </w:rPr>
        <w:t>技术力量一览表</w:t>
      </w:r>
    </w:p>
    <w:tbl>
      <w:tblPr>
        <w:tblStyle w:val="24"/>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380"/>
        <w:gridCol w:w="1208"/>
        <w:gridCol w:w="1210"/>
        <w:gridCol w:w="1297"/>
        <w:gridCol w:w="1265"/>
        <w:gridCol w:w="1950"/>
      </w:tblGrid>
      <w:tr w14:paraId="40E3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08" w:type="dxa"/>
            <w:tcBorders>
              <w:top w:val="single" w:color="auto" w:sz="4" w:space="0"/>
              <w:left w:val="single" w:color="auto" w:sz="4" w:space="0"/>
              <w:bottom w:val="single" w:color="auto" w:sz="4" w:space="0"/>
              <w:right w:val="single" w:color="auto" w:sz="4" w:space="0"/>
            </w:tcBorders>
            <w:vAlign w:val="center"/>
          </w:tcPr>
          <w:p w14:paraId="1F474038">
            <w:pPr>
              <w:adjustRightInd w:val="0"/>
              <w:jc w:val="center"/>
              <w:rPr>
                <w:rFonts w:ascii="宋体" w:hAnsi="宋体" w:cs="宋体"/>
                <w:b/>
                <w:szCs w:val="21"/>
                <w:highlight w:val="none"/>
              </w:rPr>
            </w:pPr>
            <w:r>
              <w:rPr>
                <w:rFonts w:hint="eastAsia" w:ascii="宋体" w:hAnsi="宋体" w:cs="宋体"/>
                <w:b/>
                <w:szCs w:val="21"/>
                <w:highlight w:val="none"/>
              </w:rPr>
              <w:t>序号</w:t>
            </w:r>
          </w:p>
        </w:tc>
        <w:tc>
          <w:tcPr>
            <w:tcW w:w="1380" w:type="dxa"/>
            <w:tcBorders>
              <w:top w:val="single" w:color="auto" w:sz="4" w:space="0"/>
              <w:left w:val="single" w:color="auto" w:sz="4" w:space="0"/>
              <w:bottom w:val="single" w:color="auto" w:sz="4" w:space="0"/>
              <w:right w:val="single" w:color="auto" w:sz="4" w:space="0"/>
            </w:tcBorders>
            <w:vAlign w:val="center"/>
          </w:tcPr>
          <w:p w14:paraId="1D24C770">
            <w:pPr>
              <w:adjustRightInd w:val="0"/>
              <w:jc w:val="center"/>
              <w:rPr>
                <w:rFonts w:ascii="宋体" w:hAnsi="宋体" w:cs="宋体"/>
                <w:b/>
                <w:szCs w:val="21"/>
                <w:highlight w:val="none"/>
              </w:rPr>
            </w:pPr>
            <w:r>
              <w:rPr>
                <w:rFonts w:hint="eastAsia" w:ascii="宋体" w:hAnsi="宋体" w:cs="宋体"/>
                <w:b/>
                <w:szCs w:val="21"/>
                <w:highlight w:val="none"/>
              </w:rPr>
              <w:t>姓 名</w:t>
            </w:r>
          </w:p>
        </w:tc>
        <w:tc>
          <w:tcPr>
            <w:tcW w:w="1208" w:type="dxa"/>
            <w:tcBorders>
              <w:top w:val="single" w:color="auto" w:sz="4" w:space="0"/>
              <w:left w:val="single" w:color="auto" w:sz="4" w:space="0"/>
              <w:bottom w:val="single" w:color="auto" w:sz="4" w:space="0"/>
              <w:right w:val="single" w:color="auto" w:sz="4" w:space="0"/>
            </w:tcBorders>
            <w:vAlign w:val="center"/>
          </w:tcPr>
          <w:p w14:paraId="3CEC995F">
            <w:pPr>
              <w:adjustRightInd w:val="0"/>
              <w:jc w:val="center"/>
              <w:rPr>
                <w:rFonts w:ascii="宋体" w:hAnsi="宋体" w:cs="宋体"/>
                <w:b/>
                <w:szCs w:val="21"/>
                <w:highlight w:val="none"/>
              </w:rPr>
            </w:pPr>
            <w:r>
              <w:rPr>
                <w:rFonts w:hint="eastAsia" w:ascii="宋体" w:hAnsi="宋体" w:cs="宋体"/>
                <w:b/>
                <w:szCs w:val="21"/>
                <w:highlight w:val="none"/>
              </w:rPr>
              <w:t>技术职称</w:t>
            </w:r>
          </w:p>
        </w:tc>
        <w:tc>
          <w:tcPr>
            <w:tcW w:w="1210" w:type="dxa"/>
            <w:tcBorders>
              <w:top w:val="single" w:color="auto" w:sz="4" w:space="0"/>
              <w:left w:val="single" w:color="auto" w:sz="4" w:space="0"/>
              <w:bottom w:val="single" w:color="auto" w:sz="4" w:space="0"/>
              <w:right w:val="single" w:color="auto" w:sz="4" w:space="0"/>
            </w:tcBorders>
            <w:vAlign w:val="center"/>
          </w:tcPr>
          <w:p w14:paraId="46B8F5D0">
            <w:pPr>
              <w:adjustRightInd w:val="0"/>
              <w:jc w:val="center"/>
              <w:rPr>
                <w:rFonts w:ascii="宋体" w:hAnsi="宋体" w:cs="宋体"/>
                <w:b/>
                <w:szCs w:val="21"/>
                <w:highlight w:val="none"/>
              </w:rPr>
            </w:pPr>
            <w:r>
              <w:rPr>
                <w:rFonts w:hint="eastAsia" w:ascii="宋体" w:hAnsi="宋体" w:cs="宋体"/>
                <w:b/>
                <w:szCs w:val="21"/>
                <w:highlight w:val="none"/>
              </w:rPr>
              <w:t>人员级别</w:t>
            </w:r>
          </w:p>
        </w:tc>
        <w:tc>
          <w:tcPr>
            <w:tcW w:w="1297" w:type="dxa"/>
            <w:tcBorders>
              <w:top w:val="single" w:color="auto" w:sz="4" w:space="0"/>
              <w:left w:val="single" w:color="auto" w:sz="4" w:space="0"/>
              <w:bottom w:val="single" w:color="auto" w:sz="4" w:space="0"/>
              <w:right w:val="single" w:color="auto" w:sz="4" w:space="0"/>
            </w:tcBorders>
            <w:vAlign w:val="center"/>
          </w:tcPr>
          <w:p w14:paraId="4B4E35DB">
            <w:pPr>
              <w:adjustRightInd w:val="0"/>
              <w:jc w:val="center"/>
              <w:rPr>
                <w:rFonts w:ascii="宋体" w:hAnsi="宋体" w:cs="宋体"/>
                <w:b/>
                <w:szCs w:val="21"/>
                <w:highlight w:val="none"/>
              </w:rPr>
            </w:pPr>
            <w:r>
              <w:rPr>
                <w:rFonts w:hint="eastAsia" w:ascii="宋体" w:hAnsi="宋体" w:cs="宋体"/>
                <w:b/>
                <w:szCs w:val="21"/>
                <w:highlight w:val="none"/>
              </w:rPr>
              <w:t>工作年限</w:t>
            </w:r>
          </w:p>
        </w:tc>
        <w:tc>
          <w:tcPr>
            <w:tcW w:w="1265" w:type="dxa"/>
            <w:tcBorders>
              <w:top w:val="single" w:color="auto" w:sz="4" w:space="0"/>
              <w:left w:val="single" w:color="auto" w:sz="4" w:space="0"/>
              <w:bottom w:val="single" w:color="auto" w:sz="4" w:space="0"/>
              <w:right w:val="single" w:color="auto" w:sz="4" w:space="0"/>
            </w:tcBorders>
            <w:vAlign w:val="center"/>
          </w:tcPr>
          <w:p w14:paraId="675C65B1">
            <w:pPr>
              <w:adjustRightInd w:val="0"/>
              <w:jc w:val="center"/>
              <w:rPr>
                <w:rFonts w:ascii="宋体" w:hAnsi="宋体" w:cs="宋体"/>
                <w:b/>
                <w:szCs w:val="21"/>
                <w:highlight w:val="none"/>
              </w:rPr>
            </w:pPr>
            <w:r>
              <w:rPr>
                <w:rFonts w:hint="eastAsia" w:ascii="宋体" w:hAnsi="宋体" w:cs="宋体"/>
                <w:b/>
                <w:szCs w:val="21"/>
                <w:highlight w:val="none"/>
              </w:rPr>
              <w:t>本项目中担任职务</w:t>
            </w:r>
          </w:p>
        </w:tc>
        <w:tc>
          <w:tcPr>
            <w:tcW w:w="1950" w:type="dxa"/>
            <w:tcBorders>
              <w:top w:val="single" w:color="auto" w:sz="4" w:space="0"/>
              <w:left w:val="single" w:color="auto" w:sz="4" w:space="0"/>
              <w:bottom w:val="single" w:color="auto" w:sz="4" w:space="0"/>
              <w:right w:val="single" w:color="auto" w:sz="4" w:space="0"/>
            </w:tcBorders>
            <w:vAlign w:val="center"/>
          </w:tcPr>
          <w:p w14:paraId="5EDE28B3">
            <w:pPr>
              <w:adjustRightInd w:val="0"/>
              <w:jc w:val="center"/>
              <w:rPr>
                <w:rFonts w:ascii="宋体" w:hAnsi="宋体" w:cs="宋体"/>
                <w:b/>
                <w:szCs w:val="21"/>
                <w:highlight w:val="none"/>
              </w:rPr>
            </w:pPr>
            <w:r>
              <w:rPr>
                <w:rFonts w:hint="eastAsia" w:ascii="宋体" w:hAnsi="宋体" w:cs="宋体"/>
                <w:b/>
                <w:szCs w:val="21"/>
                <w:highlight w:val="none"/>
              </w:rPr>
              <w:t>认证情况</w:t>
            </w:r>
          </w:p>
        </w:tc>
      </w:tr>
      <w:tr w14:paraId="3716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118" w:type="dxa"/>
            <w:gridSpan w:val="7"/>
            <w:tcBorders>
              <w:top w:val="single" w:color="auto" w:sz="4" w:space="0"/>
              <w:left w:val="single" w:color="auto" w:sz="4" w:space="0"/>
              <w:bottom w:val="single" w:color="auto" w:sz="4" w:space="0"/>
              <w:right w:val="single" w:color="auto" w:sz="4" w:space="0"/>
            </w:tcBorders>
            <w:vAlign w:val="center"/>
          </w:tcPr>
          <w:p w14:paraId="640CB55C">
            <w:pPr>
              <w:adjustRightInd w:val="0"/>
              <w:jc w:val="left"/>
              <w:rPr>
                <w:rFonts w:ascii="宋体" w:hAnsi="宋体" w:cs="宋体"/>
                <w:szCs w:val="21"/>
                <w:highlight w:val="none"/>
              </w:rPr>
            </w:pPr>
            <w:r>
              <w:rPr>
                <w:rFonts w:hint="eastAsia" w:ascii="宋体" w:hAnsi="宋体" w:cs="宋体"/>
                <w:szCs w:val="21"/>
                <w:highlight w:val="none"/>
              </w:rPr>
              <w:t>项目管理人员</w:t>
            </w:r>
          </w:p>
          <w:p w14:paraId="56BFA716">
            <w:pPr>
              <w:adjustRightInd w:val="0"/>
              <w:jc w:val="left"/>
              <w:rPr>
                <w:rFonts w:ascii="宋体" w:hAnsi="宋体" w:cs="宋体"/>
                <w:szCs w:val="21"/>
                <w:highlight w:val="none"/>
              </w:rPr>
            </w:pPr>
            <w:r>
              <w:rPr>
                <w:rFonts w:hint="eastAsia" w:ascii="宋体" w:hAnsi="宋体" w:cs="宋体"/>
                <w:szCs w:val="21"/>
                <w:highlight w:val="none"/>
              </w:rPr>
              <w:t>（一）项目负责人</w:t>
            </w:r>
          </w:p>
        </w:tc>
      </w:tr>
      <w:tr w14:paraId="51B0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8" w:type="dxa"/>
            <w:tcBorders>
              <w:top w:val="single" w:color="auto" w:sz="4" w:space="0"/>
              <w:left w:val="single" w:color="auto" w:sz="4" w:space="0"/>
              <w:bottom w:val="single" w:color="auto" w:sz="4" w:space="0"/>
              <w:right w:val="single" w:color="auto" w:sz="4" w:space="0"/>
            </w:tcBorders>
            <w:vAlign w:val="center"/>
          </w:tcPr>
          <w:p w14:paraId="10B38ABC">
            <w:pPr>
              <w:adjustRightInd w:val="0"/>
              <w:jc w:val="center"/>
              <w:rPr>
                <w:rFonts w:ascii="宋体" w:hAnsi="宋体" w:cs="宋体"/>
                <w:szCs w:val="21"/>
                <w:highlight w:val="none"/>
              </w:rPr>
            </w:pPr>
            <w:r>
              <w:rPr>
                <w:rFonts w:hint="eastAsia" w:ascii="宋体" w:hAnsi="宋体" w:cs="宋体"/>
                <w:szCs w:val="21"/>
                <w:highlight w:val="none"/>
              </w:rPr>
              <w:t>1</w:t>
            </w:r>
          </w:p>
        </w:tc>
        <w:tc>
          <w:tcPr>
            <w:tcW w:w="1380" w:type="dxa"/>
            <w:tcBorders>
              <w:top w:val="single" w:color="auto" w:sz="4" w:space="0"/>
              <w:left w:val="single" w:color="auto" w:sz="4" w:space="0"/>
              <w:bottom w:val="single" w:color="auto" w:sz="4" w:space="0"/>
              <w:right w:val="single" w:color="auto" w:sz="4" w:space="0"/>
            </w:tcBorders>
            <w:vAlign w:val="center"/>
          </w:tcPr>
          <w:p w14:paraId="54F458E1">
            <w:pPr>
              <w:adjustRightInd w:val="0"/>
              <w:jc w:val="center"/>
              <w:rPr>
                <w:rFonts w:ascii="宋体" w:hAnsi="宋体" w:cs="宋体"/>
                <w:szCs w:val="21"/>
                <w:highlight w:val="none"/>
              </w:rPr>
            </w:pPr>
          </w:p>
        </w:tc>
        <w:tc>
          <w:tcPr>
            <w:tcW w:w="1208" w:type="dxa"/>
            <w:tcBorders>
              <w:top w:val="single" w:color="auto" w:sz="4" w:space="0"/>
              <w:left w:val="single" w:color="auto" w:sz="4" w:space="0"/>
              <w:bottom w:val="single" w:color="auto" w:sz="4" w:space="0"/>
              <w:right w:val="single" w:color="auto" w:sz="4" w:space="0"/>
            </w:tcBorders>
            <w:vAlign w:val="center"/>
          </w:tcPr>
          <w:p w14:paraId="2F394C9B">
            <w:pPr>
              <w:adjustRightInd w:val="0"/>
              <w:jc w:val="center"/>
              <w:rPr>
                <w:rFonts w:ascii="宋体" w:hAnsi="宋体" w:cs="宋体"/>
                <w:szCs w:val="21"/>
                <w:highlight w:val="none"/>
              </w:rPr>
            </w:pPr>
          </w:p>
        </w:tc>
        <w:tc>
          <w:tcPr>
            <w:tcW w:w="1210" w:type="dxa"/>
            <w:tcBorders>
              <w:top w:val="single" w:color="auto" w:sz="4" w:space="0"/>
              <w:left w:val="single" w:color="auto" w:sz="4" w:space="0"/>
              <w:bottom w:val="single" w:color="auto" w:sz="4" w:space="0"/>
              <w:right w:val="single" w:color="auto" w:sz="4" w:space="0"/>
            </w:tcBorders>
            <w:vAlign w:val="center"/>
          </w:tcPr>
          <w:p w14:paraId="59FE2C00">
            <w:pPr>
              <w:adjustRightInd w:val="0"/>
              <w:jc w:val="center"/>
              <w:rPr>
                <w:rFonts w:ascii="宋体" w:hAnsi="宋体" w:cs="宋体"/>
                <w:szCs w:val="21"/>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4346B48">
            <w:pPr>
              <w:adjustRightInd w:val="0"/>
              <w:jc w:val="center"/>
              <w:rPr>
                <w:rFonts w:ascii="宋体" w:hAnsi="宋体" w:cs="宋体"/>
                <w:szCs w:val="21"/>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1AA349AB">
            <w:pPr>
              <w:adjustRightInd w:val="0"/>
              <w:jc w:val="center"/>
              <w:rPr>
                <w:rFonts w:ascii="宋体" w:hAnsi="宋体" w:cs="宋体"/>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3A5789F6">
            <w:pPr>
              <w:adjustRightInd w:val="0"/>
              <w:jc w:val="center"/>
              <w:rPr>
                <w:rFonts w:ascii="宋体" w:hAnsi="宋体" w:cs="宋体"/>
                <w:szCs w:val="21"/>
                <w:highlight w:val="none"/>
              </w:rPr>
            </w:pPr>
          </w:p>
        </w:tc>
      </w:tr>
      <w:tr w14:paraId="462B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8" w:type="dxa"/>
            <w:tcBorders>
              <w:top w:val="single" w:color="auto" w:sz="4" w:space="0"/>
              <w:left w:val="single" w:color="auto" w:sz="4" w:space="0"/>
              <w:bottom w:val="single" w:color="auto" w:sz="4" w:space="0"/>
              <w:right w:val="single" w:color="auto" w:sz="4" w:space="0"/>
            </w:tcBorders>
            <w:vAlign w:val="center"/>
          </w:tcPr>
          <w:p w14:paraId="345ED796">
            <w:pPr>
              <w:adjustRightInd w:val="0"/>
              <w:jc w:val="center"/>
              <w:rPr>
                <w:rFonts w:ascii="宋体" w:hAnsi="宋体" w:cs="宋体"/>
                <w:szCs w:val="21"/>
                <w:highlight w:val="none"/>
              </w:rPr>
            </w:pPr>
            <w:r>
              <w:rPr>
                <w:rFonts w:hint="eastAsia" w:ascii="宋体" w:hAnsi="宋体" w:cs="宋体"/>
                <w:szCs w:val="21"/>
                <w:highlight w:val="none"/>
              </w:rPr>
              <w:t>2</w:t>
            </w:r>
          </w:p>
        </w:tc>
        <w:tc>
          <w:tcPr>
            <w:tcW w:w="1380" w:type="dxa"/>
            <w:tcBorders>
              <w:top w:val="single" w:color="auto" w:sz="4" w:space="0"/>
              <w:left w:val="single" w:color="auto" w:sz="4" w:space="0"/>
              <w:bottom w:val="single" w:color="auto" w:sz="4" w:space="0"/>
              <w:right w:val="single" w:color="auto" w:sz="4" w:space="0"/>
            </w:tcBorders>
            <w:vAlign w:val="center"/>
          </w:tcPr>
          <w:p w14:paraId="0E08B38F">
            <w:pPr>
              <w:adjustRightInd w:val="0"/>
              <w:jc w:val="center"/>
              <w:rPr>
                <w:rFonts w:ascii="宋体" w:hAnsi="宋体" w:cs="宋体"/>
                <w:szCs w:val="21"/>
                <w:highlight w:val="none"/>
              </w:rPr>
            </w:pPr>
          </w:p>
        </w:tc>
        <w:tc>
          <w:tcPr>
            <w:tcW w:w="1208" w:type="dxa"/>
            <w:tcBorders>
              <w:top w:val="single" w:color="auto" w:sz="4" w:space="0"/>
              <w:left w:val="single" w:color="auto" w:sz="4" w:space="0"/>
              <w:bottom w:val="single" w:color="auto" w:sz="4" w:space="0"/>
              <w:right w:val="single" w:color="auto" w:sz="4" w:space="0"/>
            </w:tcBorders>
            <w:vAlign w:val="center"/>
          </w:tcPr>
          <w:p w14:paraId="31E1DB39">
            <w:pPr>
              <w:adjustRightInd w:val="0"/>
              <w:jc w:val="center"/>
              <w:rPr>
                <w:rFonts w:ascii="宋体" w:hAnsi="宋体" w:cs="宋体"/>
                <w:szCs w:val="21"/>
                <w:highlight w:val="none"/>
              </w:rPr>
            </w:pPr>
          </w:p>
        </w:tc>
        <w:tc>
          <w:tcPr>
            <w:tcW w:w="1210" w:type="dxa"/>
            <w:tcBorders>
              <w:top w:val="single" w:color="auto" w:sz="4" w:space="0"/>
              <w:left w:val="single" w:color="auto" w:sz="4" w:space="0"/>
              <w:bottom w:val="single" w:color="auto" w:sz="4" w:space="0"/>
              <w:right w:val="single" w:color="auto" w:sz="4" w:space="0"/>
            </w:tcBorders>
            <w:vAlign w:val="center"/>
          </w:tcPr>
          <w:p w14:paraId="549D378B">
            <w:pPr>
              <w:adjustRightInd w:val="0"/>
              <w:jc w:val="center"/>
              <w:rPr>
                <w:rFonts w:ascii="宋体" w:hAnsi="宋体" w:cs="宋体"/>
                <w:szCs w:val="21"/>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6C9FFBE">
            <w:pPr>
              <w:adjustRightInd w:val="0"/>
              <w:jc w:val="center"/>
              <w:rPr>
                <w:rFonts w:ascii="宋体" w:hAnsi="宋体" w:cs="宋体"/>
                <w:szCs w:val="21"/>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6CFA43D5">
            <w:pPr>
              <w:adjustRightInd w:val="0"/>
              <w:jc w:val="center"/>
              <w:rPr>
                <w:rFonts w:ascii="宋体" w:hAnsi="宋体" w:cs="宋体"/>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17131ADC">
            <w:pPr>
              <w:adjustRightInd w:val="0"/>
              <w:jc w:val="center"/>
              <w:rPr>
                <w:rFonts w:ascii="宋体" w:hAnsi="宋体" w:cs="宋体"/>
                <w:szCs w:val="21"/>
                <w:highlight w:val="none"/>
              </w:rPr>
            </w:pPr>
          </w:p>
        </w:tc>
      </w:tr>
      <w:tr w14:paraId="3261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8" w:type="dxa"/>
            <w:tcBorders>
              <w:top w:val="single" w:color="auto" w:sz="4" w:space="0"/>
              <w:left w:val="single" w:color="auto" w:sz="4" w:space="0"/>
              <w:bottom w:val="single" w:color="auto" w:sz="4" w:space="0"/>
              <w:right w:val="single" w:color="auto" w:sz="4" w:space="0"/>
            </w:tcBorders>
            <w:vAlign w:val="center"/>
          </w:tcPr>
          <w:p w14:paraId="664E462D">
            <w:pPr>
              <w:adjustRightInd w:val="0"/>
              <w:jc w:val="center"/>
              <w:rPr>
                <w:rFonts w:ascii="宋体" w:hAnsi="宋体" w:cs="宋体"/>
                <w:szCs w:val="21"/>
                <w:highlight w:val="none"/>
              </w:rPr>
            </w:pPr>
            <w:r>
              <w:rPr>
                <w:rFonts w:hint="eastAsia" w:ascii="宋体" w:hAnsi="宋体" w:cs="宋体"/>
                <w:szCs w:val="21"/>
                <w:highlight w:val="none"/>
              </w:rPr>
              <w:t>……</w:t>
            </w:r>
          </w:p>
        </w:tc>
        <w:tc>
          <w:tcPr>
            <w:tcW w:w="1380" w:type="dxa"/>
            <w:tcBorders>
              <w:top w:val="single" w:color="auto" w:sz="4" w:space="0"/>
              <w:left w:val="single" w:color="auto" w:sz="4" w:space="0"/>
              <w:bottom w:val="single" w:color="auto" w:sz="4" w:space="0"/>
              <w:right w:val="single" w:color="auto" w:sz="4" w:space="0"/>
            </w:tcBorders>
            <w:vAlign w:val="center"/>
          </w:tcPr>
          <w:p w14:paraId="798E9C5B">
            <w:pPr>
              <w:adjustRightInd w:val="0"/>
              <w:jc w:val="center"/>
              <w:rPr>
                <w:rFonts w:ascii="宋体" w:hAnsi="宋体" w:cs="宋体"/>
                <w:szCs w:val="21"/>
                <w:highlight w:val="none"/>
              </w:rPr>
            </w:pPr>
          </w:p>
        </w:tc>
        <w:tc>
          <w:tcPr>
            <w:tcW w:w="1208" w:type="dxa"/>
            <w:tcBorders>
              <w:top w:val="single" w:color="auto" w:sz="4" w:space="0"/>
              <w:left w:val="single" w:color="auto" w:sz="4" w:space="0"/>
              <w:bottom w:val="single" w:color="auto" w:sz="4" w:space="0"/>
              <w:right w:val="single" w:color="auto" w:sz="4" w:space="0"/>
            </w:tcBorders>
            <w:vAlign w:val="center"/>
          </w:tcPr>
          <w:p w14:paraId="0F6EA8A6">
            <w:pPr>
              <w:adjustRightInd w:val="0"/>
              <w:jc w:val="center"/>
              <w:rPr>
                <w:rFonts w:ascii="宋体" w:hAnsi="宋体" w:cs="宋体"/>
                <w:szCs w:val="21"/>
                <w:highlight w:val="none"/>
              </w:rPr>
            </w:pPr>
          </w:p>
        </w:tc>
        <w:tc>
          <w:tcPr>
            <w:tcW w:w="1210" w:type="dxa"/>
            <w:tcBorders>
              <w:top w:val="single" w:color="auto" w:sz="4" w:space="0"/>
              <w:left w:val="single" w:color="auto" w:sz="4" w:space="0"/>
              <w:bottom w:val="single" w:color="auto" w:sz="4" w:space="0"/>
              <w:right w:val="single" w:color="auto" w:sz="4" w:space="0"/>
            </w:tcBorders>
            <w:vAlign w:val="center"/>
          </w:tcPr>
          <w:p w14:paraId="1CF681B0">
            <w:pPr>
              <w:adjustRightInd w:val="0"/>
              <w:jc w:val="center"/>
              <w:rPr>
                <w:rFonts w:ascii="宋体" w:hAnsi="宋体" w:cs="宋体"/>
                <w:szCs w:val="21"/>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E03335A">
            <w:pPr>
              <w:adjustRightInd w:val="0"/>
              <w:jc w:val="center"/>
              <w:rPr>
                <w:rFonts w:ascii="宋体" w:hAnsi="宋体" w:cs="宋体"/>
                <w:szCs w:val="21"/>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1D9D0657">
            <w:pPr>
              <w:adjustRightInd w:val="0"/>
              <w:jc w:val="center"/>
              <w:rPr>
                <w:rFonts w:ascii="宋体" w:hAnsi="宋体" w:cs="宋体"/>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7095A5BF">
            <w:pPr>
              <w:adjustRightInd w:val="0"/>
              <w:jc w:val="center"/>
              <w:rPr>
                <w:rFonts w:ascii="宋体" w:hAnsi="宋体" w:cs="宋体"/>
                <w:szCs w:val="21"/>
                <w:highlight w:val="none"/>
              </w:rPr>
            </w:pPr>
          </w:p>
        </w:tc>
      </w:tr>
      <w:tr w14:paraId="115E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118" w:type="dxa"/>
            <w:gridSpan w:val="7"/>
            <w:tcBorders>
              <w:top w:val="single" w:color="auto" w:sz="4" w:space="0"/>
              <w:left w:val="single" w:color="auto" w:sz="4" w:space="0"/>
              <w:bottom w:val="single" w:color="auto" w:sz="4" w:space="0"/>
              <w:right w:val="single" w:color="auto" w:sz="4" w:space="0"/>
            </w:tcBorders>
            <w:vAlign w:val="center"/>
          </w:tcPr>
          <w:p w14:paraId="2372A553">
            <w:pPr>
              <w:adjustRightInd w:val="0"/>
              <w:jc w:val="left"/>
              <w:rPr>
                <w:rFonts w:hint="eastAsia" w:ascii="宋体" w:hAnsi="宋体" w:eastAsia="宋体" w:cs="宋体"/>
                <w:szCs w:val="21"/>
                <w:highlight w:val="none"/>
                <w:lang w:eastAsia="zh-CN"/>
              </w:rPr>
            </w:pPr>
            <w:r>
              <w:rPr>
                <w:rFonts w:hint="eastAsia" w:ascii="宋体" w:hAnsi="宋体" w:cs="宋体"/>
                <w:szCs w:val="21"/>
                <w:highlight w:val="none"/>
              </w:rPr>
              <w:t>（二）技术负</w:t>
            </w:r>
            <w:r>
              <w:rPr>
                <w:rFonts w:hint="eastAsia" w:ascii="宋体" w:hAnsi="宋体" w:cs="宋体"/>
                <w:color w:val="auto"/>
                <w:szCs w:val="21"/>
                <w:highlight w:val="none"/>
              </w:rPr>
              <w:t>责人</w:t>
            </w:r>
            <w:r>
              <w:rPr>
                <w:rFonts w:hint="eastAsia" w:ascii="宋体" w:hAnsi="宋体" w:cs="宋体"/>
                <w:color w:val="auto"/>
                <w:szCs w:val="21"/>
                <w:highlight w:val="none"/>
                <w:lang w:eastAsia="zh-CN"/>
              </w:rPr>
              <w:t>（如有）</w:t>
            </w:r>
          </w:p>
        </w:tc>
      </w:tr>
      <w:tr w14:paraId="2D8F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8" w:type="dxa"/>
            <w:tcBorders>
              <w:top w:val="single" w:color="auto" w:sz="4" w:space="0"/>
              <w:left w:val="single" w:color="auto" w:sz="4" w:space="0"/>
              <w:bottom w:val="single" w:color="auto" w:sz="4" w:space="0"/>
              <w:right w:val="single" w:color="auto" w:sz="4" w:space="0"/>
            </w:tcBorders>
            <w:vAlign w:val="center"/>
          </w:tcPr>
          <w:p w14:paraId="3387D285">
            <w:pPr>
              <w:adjustRightInd w:val="0"/>
              <w:jc w:val="center"/>
              <w:rPr>
                <w:rFonts w:ascii="宋体" w:hAnsi="宋体" w:cs="宋体"/>
                <w:szCs w:val="21"/>
                <w:highlight w:val="none"/>
              </w:rPr>
            </w:pPr>
            <w:r>
              <w:rPr>
                <w:rFonts w:hint="eastAsia" w:ascii="宋体" w:hAnsi="宋体" w:cs="宋体"/>
                <w:szCs w:val="21"/>
                <w:highlight w:val="none"/>
              </w:rPr>
              <w:t>1</w:t>
            </w:r>
          </w:p>
        </w:tc>
        <w:tc>
          <w:tcPr>
            <w:tcW w:w="1380" w:type="dxa"/>
            <w:tcBorders>
              <w:top w:val="single" w:color="auto" w:sz="4" w:space="0"/>
              <w:left w:val="single" w:color="auto" w:sz="4" w:space="0"/>
              <w:bottom w:val="single" w:color="auto" w:sz="4" w:space="0"/>
              <w:right w:val="single" w:color="auto" w:sz="4" w:space="0"/>
            </w:tcBorders>
            <w:vAlign w:val="center"/>
          </w:tcPr>
          <w:p w14:paraId="4C081970">
            <w:pPr>
              <w:adjustRightInd w:val="0"/>
              <w:jc w:val="center"/>
              <w:rPr>
                <w:rFonts w:ascii="宋体" w:hAnsi="宋体" w:cs="宋体"/>
                <w:szCs w:val="21"/>
                <w:highlight w:val="none"/>
              </w:rPr>
            </w:pPr>
          </w:p>
        </w:tc>
        <w:tc>
          <w:tcPr>
            <w:tcW w:w="1208" w:type="dxa"/>
            <w:tcBorders>
              <w:top w:val="single" w:color="auto" w:sz="4" w:space="0"/>
              <w:left w:val="single" w:color="auto" w:sz="4" w:space="0"/>
              <w:bottom w:val="single" w:color="auto" w:sz="4" w:space="0"/>
              <w:right w:val="single" w:color="auto" w:sz="4" w:space="0"/>
            </w:tcBorders>
            <w:vAlign w:val="center"/>
          </w:tcPr>
          <w:p w14:paraId="38596C97">
            <w:pPr>
              <w:adjustRightInd w:val="0"/>
              <w:jc w:val="center"/>
              <w:rPr>
                <w:rFonts w:ascii="宋体" w:hAnsi="宋体" w:cs="宋体"/>
                <w:szCs w:val="21"/>
                <w:highlight w:val="none"/>
              </w:rPr>
            </w:pPr>
          </w:p>
        </w:tc>
        <w:tc>
          <w:tcPr>
            <w:tcW w:w="1210" w:type="dxa"/>
            <w:tcBorders>
              <w:top w:val="single" w:color="auto" w:sz="4" w:space="0"/>
              <w:left w:val="single" w:color="auto" w:sz="4" w:space="0"/>
              <w:bottom w:val="single" w:color="auto" w:sz="4" w:space="0"/>
              <w:right w:val="single" w:color="auto" w:sz="4" w:space="0"/>
            </w:tcBorders>
            <w:vAlign w:val="center"/>
          </w:tcPr>
          <w:p w14:paraId="7B78C118">
            <w:pPr>
              <w:adjustRightInd w:val="0"/>
              <w:jc w:val="center"/>
              <w:rPr>
                <w:rFonts w:ascii="宋体" w:hAnsi="宋体" w:cs="宋体"/>
                <w:szCs w:val="21"/>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4F01BC5">
            <w:pPr>
              <w:adjustRightInd w:val="0"/>
              <w:jc w:val="center"/>
              <w:rPr>
                <w:rFonts w:ascii="宋体" w:hAnsi="宋体" w:cs="宋体"/>
                <w:szCs w:val="21"/>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7FFFAA3D">
            <w:pPr>
              <w:adjustRightInd w:val="0"/>
              <w:jc w:val="center"/>
              <w:rPr>
                <w:rFonts w:ascii="宋体" w:hAnsi="宋体" w:cs="宋体"/>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436F44E7">
            <w:pPr>
              <w:adjustRightInd w:val="0"/>
              <w:jc w:val="center"/>
              <w:rPr>
                <w:rFonts w:ascii="宋体" w:hAnsi="宋体" w:cs="宋体"/>
                <w:szCs w:val="21"/>
                <w:highlight w:val="none"/>
              </w:rPr>
            </w:pPr>
          </w:p>
        </w:tc>
      </w:tr>
      <w:tr w14:paraId="3570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8" w:type="dxa"/>
            <w:tcBorders>
              <w:top w:val="single" w:color="auto" w:sz="4" w:space="0"/>
              <w:left w:val="single" w:color="auto" w:sz="4" w:space="0"/>
              <w:bottom w:val="single" w:color="auto" w:sz="4" w:space="0"/>
              <w:right w:val="single" w:color="auto" w:sz="4" w:space="0"/>
            </w:tcBorders>
            <w:vAlign w:val="center"/>
          </w:tcPr>
          <w:p w14:paraId="08385D86">
            <w:pPr>
              <w:adjustRightInd w:val="0"/>
              <w:jc w:val="center"/>
              <w:rPr>
                <w:rFonts w:ascii="宋体" w:hAnsi="宋体" w:cs="宋体"/>
                <w:szCs w:val="21"/>
                <w:highlight w:val="none"/>
              </w:rPr>
            </w:pPr>
            <w:r>
              <w:rPr>
                <w:rFonts w:hint="eastAsia" w:ascii="宋体" w:hAnsi="宋体" w:cs="宋体"/>
                <w:szCs w:val="21"/>
                <w:highlight w:val="none"/>
              </w:rPr>
              <w:t>2</w:t>
            </w:r>
          </w:p>
        </w:tc>
        <w:tc>
          <w:tcPr>
            <w:tcW w:w="1380" w:type="dxa"/>
            <w:tcBorders>
              <w:top w:val="single" w:color="auto" w:sz="4" w:space="0"/>
              <w:left w:val="single" w:color="auto" w:sz="4" w:space="0"/>
              <w:bottom w:val="single" w:color="auto" w:sz="4" w:space="0"/>
              <w:right w:val="single" w:color="auto" w:sz="4" w:space="0"/>
            </w:tcBorders>
            <w:vAlign w:val="center"/>
          </w:tcPr>
          <w:p w14:paraId="3ABFC155">
            <w:pPr>
              <w:adjustRightInd w:val="0"/>
              <w:jc w:val="center"/>
              <w:rPr>
                <w:rFonts w:ascii="宋体" w:hAnsi="宋体" w:cs="宋体"/>
                <w:szCs w:val="21"/>
                <w:highlight w:val="none"/>
              </w:rPr>
            </w:pPr>
          </w:p>
        </w:tc>
        <w:tc>
          <w:tcPr>
            <w:tcW w:w="1208" w:type="dxa"/>
            <w:tcBorders>
              <w:top w:val="single" w:color="auto" w:sz="4" w:space="0"/>
              <w:left w:val="single" w:color="auto" w:sz="4" w:space="0"/>
              <w:bottom w:val="single" w:color="auto" w:sz="4" w:space="0"/>
              <w:right w:val="single" w:color="auto" w:sz="4" w:space="0"/>
            </w:tcBorders>
            <w:vAlign w:val="center"/>
          </w:tcPr>
          <w:p w14:paraId="56D0312D">
            <w:pPr>
              <w:adjustRightInd w:val="0"/>
              <w:jc w:val="center"/>
              <w:rPr>
                <w:rFonts w:ascii="宋体" w:hAnsi="宋体" w:cs="宋体"/>
                <w:szCs w:val="21"/>
                <w:highlight w:val="none"/>
              </w:rPr>
            </w:pPr>
          </w:p>
        </w:tc>
        <w:tc>
          <w:tcPr>
            <w:tcW w:w="1210" w:type="dxa"/>
            <w:tcBorders>
              <w:top w:val="single" w:color="auto" w:sz="4" w:space="0"/>
              <w:left w:val="single" w:color="auto" w:sz="4" w:space="0"/>
              <w:bottom w:val="single" w:color="auto" w:sz="4" w:space="0"/>
              <w:right w:val="single" w:color="auto" w:sz="4" w:space="0"/>
            </w:tcBorders>
            <w:vAlign w:val="center"/>
          </w:tcPr>
          <w:p w14:paraId="3AECBAAE">
            <w:pPr>
              <w:adjustRightInd w:val="0"/>
              <w:jc w:val="center"/>
              <w:rPr>
                <w:rFonts w:ascii="宋体" w:hAnsi="宋体" w:cs="宋体"/>
                <w:szCs w:val="21"/>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99FEF6E">
            <w:pPr>
              <w:adjustRightInd w:val="0"/>
              <w:jc w:val="center"/>
              <w:rPr>
                <w:rFonts w:ascii="宋体" w:hAnsi="宋体" w:cs="宋体"/>
                <w:szCs w:val="21"/>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70F1E083">
            <w:pPr>
              <w:adjustRightInd w:val="0"/>
              <w:jc w:val="center"/>
              <w:rPr>
                <w:rFonts w:ascii="宋体" w:hAnsi="宋体" w:cs="宋体"/>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0BAF1292">
            <w:pPr>
              <w:adjustRightInd w:val="0"/>
              <w:jc w:val="center"/>
              <w:rPr>
                <w:rFonts w:ascii="宋体" w:hAnsi="宋体" w:cs="宋体"/>
                <w:szCs w:val="21"/>
                <w:highlight w:val="none"/>
              </w:rPr>
            </w:pPr>
          </w:p>
        </w:tc>
      </w:tr>
      <w:tr w14:paraId="0151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8" w:type="dxa"/>
            <w:tcBorders>
              <w:top w:val="single" w:color="auto" w:sz="4" w:space="0"/>
              <w:left w:val="single" w:color="auto" w:sz="4" w:space="0"/>
              <w:bottom w:val="single" w:color="auto" w:sz="4" w:space="0"/>
              <w:right w:val="single" w:color="auto" w:sz="4" w:space="0"/>
            </w:tcBorders>
            <w:vAlign w:val="center"/>
          </w:tcPr>
          <w:p w14:paraId="10B1429B">
            <w:pPr>
              <w:adjustRightInd w:val="0"/>
              <w:jc w:val="center"/>
              <w:rPr>
                <w:rFonts w:ascii="宋体" w:hAnsi="宋体" w:cs="宋体"/>
                <w:szCs w:val="21"/>
                <w:highlight w:val="none"/>
              </w:rPr>
            </w:pPr>
            <w:r>
              <w:rPr>
                <w:rFonts w:hint="eastAsia" w:ascii="宋体" w:hAnsi="宋体" w:cs="宋体"/>
                <w:szCs w:val="21"/>
                <w:highlight w:val="none"/>
              </w:rPr>
              <w:t>……</w:t>
            </w:r>
          </w:p>
        </w:tc>
        <w:tc>
          <w:tcPr>
            <w:tcW w:w="1380" w:type="dxa"/>
            <w:tcBorders>
              <w:top w:val="single" w:color="auto" w:sz="4" w:space="0"/>
              <w:left w:val="single" w:color="auto" w:sz="4" w:space="0"/>
              <w:bottom w:val="single" w:color="auto" w:sz="4" w:space="0"/>
              <w:right w:val="single" w:color="auto" w:sz="4" w:space="0"/>
            </w:tcBorders>
            <w:vAlign w:val="center"/>
          </w:tcPr>
          <w:p w14:paraId="55D696E6">
            <w:pPr>
              <w:adjustRightInd w:val="0"/>
              <w:jc w:val="center"/>
              <w:rPr>
                <w:rFonts w:ascii="宋体" w:hAnsi="宋体" w:cs="宋体"/>
                <w:szCs w:val="21"/>
                <w:highlight w:val="none"/>
              </w:rPr>
            </w:pPr>
          </w:p>
        </w:tc>
        <w:tc>
          <w:tcPr>
            <w:tcW w:w="1208" w:type="dxa"/>
            <w:tcBorders>
              <w:top w:val="single" w:color="auto" w:sz="4" w:space="0"/>
              <w:left w:val="single" w:color="auto" w:sz="4" w:space="0"/>
              <w:bottom w:val="single" w:color="auto" w:sz="4" w:space="0"/>
              <w:right w:val="single" w:color="auto" w:sz="4" w:space="0"/>
            </w:tcBorders>
            <w:vAlign w:val="center"/>
          </w:tcPr>
          <w:p w14:paraId="7203DF7D">
            <w:pPr>
              <w:adjustRightInd w:val="0"/>
              <w:jc w:val="center"/>
              <w:rPr>
                <w:rFonts w:ascii="宋体" w:hAnsi="宋体" w:cs="宋体"/>
                <w:szCs w:val="21"/>
                <w:highlight w:val="none"/>
              </w:rPr>
            </w:pPr>
          </w:p>
        </w:tc>
        <w:tc>
          <w:tcPr>
            <w:tcW w:w="1210" w:type="dxa"/>
            <w:tcBorders>
              <w:top w:val="single" w:color="auto" w:sz="4" w:space="0"/>
              <w:left w:val="single" w:color="auto" w:sz="4" w:space="0"/>
              <w:bottom w:val="single" w:color="auto" w:sz="4" w:space="0"/>
              <w:right w:val="single" w:color="auto" w:sz="4" w:space="0"/>
            </w:tcBorders>
            <w:vAlign w:val="center"/>
          </w:tcPr>
          <w:p w14:paraId="3480FE9E">
            <w:pPr>
              <w:adjustRightInd w:val="0"/>
              <w:jc w:val="center"/>
              <w:rPr>
                <w:rFonts w:ascii="宋体" w:hAnsi="宋体" w:cs="宋体"/>
                <w:szCs w:val="21"/>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03E5581">
            <w:pPr>
              <w:adjustRightInd w:val="0"/>
              <w:jc w:val="center"/>
              <w:rPr>
                <w:rFonts w:ascii="宋体" w:hAnsi="宋体" w:cs="宋体"/>
                <w:szCs w:val="21"/>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7572D5CE">
            <w:pPr>
              <w:adjustRightInd w:val="0"/>
              <w:jc w:val="center"/>
              <w:rPr>
                <w:rFonts w:ascii="宋体" w:hAnsi="宋体" w:cs="宋体"/>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48290799">
            <w:pPr>
              <w:adjustRightInd w:val="0"/>
              <w:jc w:val="center"/>
              <w:rPr>
                <w:rFonts w:ascii="宋体" w:hAnsi="宋体" w:cs="宋体"/>
                <w:szCs w:val="21"/>
                <w:highlight w:val="none"/>
              </w:rPr>
            </w:pPr>
          </w:p>
        </w:tc>
      </w:tr>
      <w:tr w14:paraId="4DA0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118" w:type="dxa"/>
            <w:gridSpan w:val="7"/>
            <w:tcBorders>
              <w:top w:val="single" w:color="auto" w:sz="4" w:space="0"/>
              <w:left w:val="single" w:color="auto" w:sz="4" w:space="0"/>
              <w:bottom w:val="single" w:color="auto" w:sz="4" w:space="0"/>
              <w:right w:val="single" w:color="auto" w:sz="4" w:space="0"/>
            </w:tcBorders>
            <w:vAlign w:val="center"/>
          </w:tcPr>
          <w:p w14:paraId="09262050">
            <w:pPr>
              <w:adjustRightInd w:val="0"/>
              <w:jc w:val="left"/>
              <w:rPr>
                <w:rFonts w:ascii="宋体" w:hAnsi="宋体" w:cs="宋体"/>
                <w:szCs w:val="21"/>
                <w:highlight w:val="none"/>
              </w:rPr>
            </w:pPr>
            <w:r>
              <w:rPr>
                <w:rFonts w:hint="eastAsia" w:ascii="宋体" w:hAnsi="宋体" w:cs="宋体"/>
                <w:szCs w:val="21"/>
                <w:highlight w:val="none"/>
              </w:rPr>
              <w:t>二、XX人员</w:t>
            </w:r>
          </w:p>
        </w:tc>
      </w:tr>
      <w:tr w14:paraId="24E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8" w:type="dxa"/>
            <w:tcBorders>
              <w:top w:val="single" w:color="auto" w:sz="4" w:space="0"/>
              <w:left w:val="single" w:color="auto" w:sz="4" w:space="0"/>
              <w:bottom w:val="single" w:color="auto" w:sz="4" w:space="0"/>
              <w:right w:val="single" w:color="auto" w:sz="4" w:space="0"/>
            </w:tcBorders>
            <w:vAlign w:val="center"/>
          </w:tcPr>
          <w:p w14:paraId="38257DB3">
            <w:pPr>
              <w:adjustRightInd w:val="0"/>
              <w:jc w:val="center"/>
              <w:rPr>
                <w:rFonts w:ascii="宋体" w:hAnsi="宋体" w:cs="宋体"/>
                <w:szCs w:val="21"/>
                <w:highlight w:val="none"/>
              </w:rPr>
            </w:pPr>
            <w:r>
              <w:rPr>
                <w:rFonts w:hint="eastAsia" w:ascii="宋体" w:hAnsi="宋体" w:cs="宋体"/>
                <w:szCs w:val="21"/>
                <w:highlight w:val="none"/>
              </w:rPr>
              <w:t>1</w:t>
            </w:r>
          </w:p>
        </w:tc>
        <w:tc>
          <w:tcPr>
            <w:tcW w:w="1380" w:type="dxa"/>
            <w:tcBorders>
              <w:top w:val="single" w:color="auto" w:sz="4" w:space="0"/>
              <w:left w:val="single" w:color="auto" w:sz="4" w:space="0"/>
              <w:bottom w:val="single" w:color="auto" w:sz="4" w:space="0"/>
              <w:right w:val="single" w:color="auto" w:sz="4" w:space="0"/>
            </w:tcBorders>
            <w:vAlign w:val="center"/>
          </w:tcPr>
          <w:p w14:paraId="34CE196B">
            <w:pPr>
              <w:adjustRightInd w:val="0"/>
              <w:jc w:val="center"/>
              <w:rPr>
                <w:rFonts w:ascii="宋体" w:hAnsi="宋体" w:cs="宋体"/>
                <w:szCs w:val="21"/>
                <w:highlight w:val="none"/>
              </w:rPr>
            </w:pPr>
          </w:p>
        </w:tc>
        <w:tc>
          <w:tcPr>
            <w:tcW w:w="1208" w:type="dxa"/>
            <w:tcBorders>
              <w:top w:val="single" w:color="auto" w:sz="4" w:space="0"/>
              <w:left w:val="single" w:color="auto" w:sz="4" w:space="0"/>
              <w:bottom w:val="single" w:color="auto" w:sz="4" w:space="0"/>
              <w:right w:val="single" w:color="auto" w:sz="4" w:space="0"/>
            </w:tcBorders>
            <w:vAlign w:val="center"/>
          </w:tcPr>
          <w:p w14:paraId="5FC0A241">
            <w:pPr>
              <w:adjustRightInd w:val="0"/>
              <w:jc w:val="center"/>
              <w:rPr>
                <w:rFonts w:ascii="宋体" w:hAnsi="宋体" w:cs="宋体"/>
                <w:szCs w:val="21"/>
                <w:highlight w:val="none"/>
              </w:rPr>
            </w:pPr>
          </w:p>
        </w:tc>
        <w:tc>
          <w:tcPr>
            <w:tcW w:w="1210" w:type="dxa"/>
            <w:tcBorders>
              <w:top w:val="single" w:color="auto" w:sz="4" w:space="0"/>
              <w:left w:val="single" w:color="auto" w:sz="4" w:space="0"/>
              <w:bottom w:val="single" w:color="auto" w:sz="4" w:space="0"/>
              <w:right w:val="single" w:color="auto" w:sz="4" w:space="0"/>
            </w:tcBorders>
            <w:vAlign w:val="center"/>
          </w:tcPr>
          <w:p w14:paraId="5FE99C4B">
            <w:pPr>
              <w:adjustRightInd w:val="0"/>
              <w:jc w:val="center"/>
              <w:rPr>
                <w:rFonts w:ascii="宋体" w:hAnsi="宋体" w:cs="宋体"/>
                <w:szCs w:val="21"/>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5C5F1864">
            <w:pPr>
              <w:adjustRightInd w:val="0"/>
              <w:jc w:val="center"/>
              <w:rPr>
                <w:rFonts w:ascii="宋体" w:hAnsi="宋体" w:cs="宋体"/>
                <w:szCs w:val="21"/>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4DE8F6DA">
            <w:pPr>
              <w:adjustRightInd w:val="0"/>
              <w:jc w:val="center"/>
              <w:rPr>
                <w:rFonts w:ascii="宋体" w:hAnsi="宋体" w:cs="宋体"/>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6B5F0DD2">
            <w:pPr>
              <w:adjustRightInd w:val="0"/>
              <w:jc w:val="center"/>
              <w:rPr>
                <w:rFonts w:ascii="宋体" w:hAnsi="宋体" w:cs="宋体"/>
                <w:szCs w:val="21"/>
                <w:highlight w:val="none"/>
              </w:rPr>
            </w:pPr>
          </w:p>
        </w:tc>
      </w:tr>
      <w:tr w14:paraId="4825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8" w:type="dxa"/>
            <w:tcBorders>
              <w:top w:val="single" w:color="auto" w:sz="4" w:space="0"/>
              <w:left w:val="single" w:color="auto" w:sz="4" w:space="0"/>
              <w:bottom w:val="single" w:color="auto" w:sz="4" w:space="0"/>
              <w:right w:val="single" w:color="auto" w:sz="4" w:space="0"/>
            </w:tcBorders>
            <w:vAlign w:val="center"/>
          </w:tcPr>
          <w:p w14:paraId="122BBAE7">
            <w:pPr>
              <w:adjustRightInd w:val="0"/>
              <w:jc w:val="center"/>
              <w:rPr>
                <w:rFonts w:ascii="宋体" w:hAnsi="宋体" w:cs="宋体"/>
                <w:szCs w:val="21"/>
                <w:highlight w:val="none"/>
              </w:rPr>
            </w:pPr>
            <w:r>
              <w:rPr>
                <w:rFonts w:hint="eastAsia" w:ascii="宋体" w:hAnsi="宋体" w:cs="宋体"/>
                <w:szCs w:val="21"/>
                <w:highlight w:val="none"/>
              </w:rPr>
              <w:t>2</w:t>
            </w:r>
          </w:p>
        </w:tc>
        <w:tc>
          <w:tcPr>
            <w:tcW w:w="1380" w:type="dxa"/>
            <w:tcBorders>
              <w:top w:val="single" w:color="auto" w:sz="4" w:space="0"/>
              <w:left w:val="single" w:color="auto" w:sz="4" w:space="0"/>
              <w:bottom w:val="single" w:color="auto" w:sz="4" w:space="0"/>
              <w:right w:val="single" w:color="auto" w:sz="4" w:space="0"/>
            </w:tcBorders>
            <w:vAlign w:val="center"/>
          </w:tcPr>
          <w:p w14:paraId="6CD648C6">
            <w:pPr>
              <w:adjustRightInd w:val="0"/>
              <w:jc w:val="center"/>
              <w:rPr>
                <w:rFonts w:ascii="宋体" w:hAnsi="宋体" w:cs="宋体"/>
                <w:szCs w:val="21"/>
                <w:highlight w:val="none"/>
              </w:rPr>
            </w:pPr>
          </w:p>
        </w:tc>
        <w:tc>
          <w:tcPr>
            <w:tcW w:w="1208" w:type="dxa"/>
            <w:tcBorders>
              <w:top w:val="single" w:color="auto" w:sz="4" w:space="0"/>
              <w:left w:val="single" w:color="auto" w:sz="4" w:space="0"/>
              <w:bottom w:val="single" w:color="auto" w:sz="4" w:space="0"/>
              <w:right w:val="single" w:color="auto" w:sz="4" w:space="0"/>
            </w:tcBorders>
            <w:vAlign w:val="center"/>
          </w:tcPr>
          <w:p w14:paraId="40D5324B">
            <w:pPr>
              <w:adjustRightInd w:val="0"/>
              <w:jc w:val="center"/>
              <w:rPr>
                <w:rFonts w:ascii="宋体" w:hAnsi="宋体" w:cs="宋体"/>
                <w:szCs w:val="21"/>
                <w:highlight w:val="none"/>
              </w:rPr>
            </w:pPr>
          </w:p>
        </w:tc>
        <w:tc>
          <w:tcPr>
            <w:tcW w:w="1210" w:type="dxa"/>
            <w:tcBorders>
              <w:top w:val="single" w:color="auto" w:sz="4" w:space="0"/>
              <w:left w:val="single" w:color="auto" w:sz="4" w:space="0"/>
              <w:bottom w:val="single" w:color="auto" w:sz="4" w:space="0"/>
              <w:right w:val="single" w:color="auto" w:sz="4" w:space="0"/>
            </w:tcBorders>
            <w:vAlign w:val="center"/>
          </w:tcPr>
          <w:p w14:paraId="19A31A5A">
            <w:pPr>
              <w:adjustRightInd w:val="0"/>
              <w:jc w:val="center"/>
              <w:rPr>
                <w:rFonts w:ascii="宋体" w:hAnsi="宋体" w:cs="宋体"/>
                <w:szCs w:val="21"/>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3B5A744">
            <w:pPr>
              <w:adjustRightInd w:val="0"/>
              <w:jc w:val="center"/>
              <w:rPr>
                <w:rFonts w:ascii="宋体" w:hAnsi="宋体" w:cs="宋体"/>
                <w:szCs w:val="21"/>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4239A284">
            <w:pPr>
              <w:adjustRightInd w:val="0"/>
              <w:jc w:val="center"/>
              <w:rPr>
                <w:rFonts w:ascii="宋体" w:hAnsi="宋体" w:cs="宋体"/>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346EC9D9">
            <w:pPr>
              <w:adjustRightInd w:val="0"/>
              <w:jc w:val="center"/>
              <w:rPr>
                <w:rFonts w:ascii="宋体" w:hAnsi="宋体" w:cs="宋体"/>
                <w:szCs w:val="21"/>
                <w:highlight w:val="none"/>
              </w:rPr>
            </w:pPr>
          </w:p>
        </w:tc>
      </w:tr>
      <w:tr w14:paraId="6FCA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8" w:type="dxa"/>
            <w:tcBorders>
              <w:top w:val="single" w:color="auto" w:sz="4" w:space="0"/>
              <w:left w:val="single" w:color="auto" w:sz="4" w:space="0"/>
              <w:bottom w:val="single" w:color="auto" w:sz="4" w:space="0"/>
              <w:right w:val="single" w:color="auto" w:sz="4" w:space="0"/>
            </w:tcBorders>
            <w:vAlign w:val="center"/>
          </w:tcPr>
          <w:p w14:paraId="6083F8A9">
            <w:pPr>
              <w:adjustRightInd w:val="0"/>
              <w:jc w:val="center"/>
              <w:rPr>
                <w:rFonts w:ascii="宋体" w:hAnsi="宋体" w:cs="宋体"/>
                <w:szCs w:val="21"/>
                <w:highlight w:val="none"/>
              </w:rPr>
            </w:pPr>
            <w:r>
              <w:rPr>
                <w:rFonts w:hint="eastAsia" w:ascii="宋体" w:hAnsi="宋体" w:cs="宋体"/>
                <w:szCs w:val="21"/>
                <w:highlight w:val="none"/>
              </w:rPr>
              <w:t>……</w:t>
            </w:r>
          </w:p>
        </w:tc>
        <w:tc>
          <w:tcPr>
            <w:tcW w:w="1380" w:type="dxa"/>
            <w:tcBorders>
              <w:top w:val="single" w:color="auto" w:sz="4" w:space="0"/>
              <w:left w:val="single" w:color="auto" w:sz="4" w:space="0"/>
              <w:bottom w:val="single" w:color="auto" w:sz="4" w:space="0"/>
              <w:right w:val="single" w:color="auto" w:sz="4" w:space="0"/>
            </w:tcBorders>
            <w:vAlign w:val="center"/>
          </w:tcPr>
          <w:p w14:paraId="36C70B63">
            <w:pPr>
              <w:adjustRightInd w:val="0"/>
              <w:jc w:val="center"/>
              <w:rPr>
                <w:rFonts w:ascii="宋体" w:hAnsi="宋体" w:cs="宋体"/>
                <w:szCs w:val="21"/>
                <w:highlight w:val="none"/>
              </w:rPr>
            </w:pPr>
          </w:p>
        </w:tc>
        <w:tc>
          <w:tcPr>
            <w:tcW w:w="1208" w:type="dxa"/>
            <w:tcBorders>
              <w:top w:val="single" w:color="auto" w:sz="4" w:space="0"/>
              <w:left w:val="single" w:color="auto" w:sz="4" w:space="0"/>
              <w:bottom w:val="single" w:color="auto" w:sz="4" w:space="0"/>
              <w:right w:val="single" w:color="auto" w:sz="4" w:space="0"/>
            </w:tcBorders>
            <w:vAlign w:val="center"/>
          </w:tcPr>
          <w:p w14:paraId="668CCABE">
            <w:pPr>
              <w:adjustRightInd w:val="0"/>
              <w:jc w:val="center"/>
              <w:rPr>
                <w:rFonts w:ascii="宋体" w:hAnsi="宋体" w:cs="宋体"/>
                <w:szCs w:val="21"/>
                <w:highlight w:val="none"/>
              </w:rPr>
            </w:pPr>
          </w:p>
        </w:tc>
        <w:tc>
          <w:tcPr>
            <w:tcW w:w="1210" w:type="dxa"/>
            <w:tcBorders>
              <w:top w:val="single" w:color="auto" w:sz="4" w:space="0"/>
              <w:left w:val="single" w:color="auto" w:sz="4" w:space="0"/>
              <w:bottom w:val="single" w:color="auto" w:sz="4" w:space="0"/>
              <w:right w:val="single" w:color="auto" w:sz="4" w:space="0"/>
            </w:tcBorders>
            <w:vAlign w:val="center"/>
          </w:tcPr>
          <w:p w14:paraId="73CC4B49">
            <w:pPr>
              <w:adjustRightInd w:val="0"/>
              <w:jc w:val="center"/>
              <w:rPr>
                <w:rFonts w:ascii="宋体" w:hAnsi="宋体" w:cs="宋体"/>
                <w:szCs w:val="21"/>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ED42596">
            <w:pPr>
              <w:adjustRightInd w:val="0"/>
              <w:jc w:val="center"/>
              <w:rPr>
                <w:rFonts w:ascii="宋体" w:hAnsi="宋体" w:cs="宋体"/>
                <w:szCs w:val="21"/>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181F7011">
            <w:pPr>
              <w:adjustRightInd w:val="0"/>
              <w:jc w:val="center"/>
              <w:rPr>
                <w:rFonts w:ascii="宋体" w:hAnsi="宋体" w:cs="宋体"/>
                <w:szCs w:val="21"/>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2BB784DA">
            <w:pPr>
              <w:adjustRightInd w:val="0"/>
              <w:jc w:val="center"/>
              <w:rPr>
                <w:rFonts w:ascii="宋体" w:hAnsi="宋体" w:cs="宋体"/>
                <w:szCs w:val="21"/>
                <w:highlight w:val="none"/>
              </w:rPr>
            </w:pPr>
          </w:p>
        </w:tc>
      </w:tr>
      <w:tr w14:paraId="7A24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118" w:type="dxa"/>
            <w:gridSpan w:val="7"/>
            <w:tcBorders>
              <w:top w:val="single" w:color="auto" w:sz="4" w:space="0"/>
              <w:left w:val="single" w:color="auto" w:sz="4" w:space="0"/>
              <w:bottom w:val="single" w:color="auto" w:sz="4" w:space="0"/>
              <w:right w:val="single" w:color="auto" w:sz="4" w:space="0"/>
            </w:tcBorders>
            <w:vAlign w:val="center"/>
          </w:tcPr>
          <w:p w14:paraId="481CB5D6">
            <w:pPr>
              <w:adjustRightInd w:val="0"/>
              <w:jc w:val="left"/>
              <w:rPr>
                <w:rFonts w:ascii="宋体" w:hAnsi="宋体" w:cs="宋体"/>
                <w:szCs w:val="21"/>
                <w:highlight w:val="none"/>
              </w:rPr>
            </w:pPr>
            <w:r>
              <w:rPr>
                <w:rFonts w:hint="eastAsia" w:ascii="宋体" w:hAnsi="宋体" w:cs="宋体"/>
                <w:szCs w:val="21"/>
                <w:highlight w:val="none"/>
              </w:rPr>
              <w:t>三、XX人员</w:t>
            </w:r>
          </w:p>
        </w:tc>
      </w:tr>
      <w:tr w14:paraId="4C20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8" w:type="dxa"/>
            <w:vAlign w:val="center"/>
          </w:tcPr>
          <w:p w14:paraId="102D9CB2">
            <w:pPr>
              <w:adjustRightInd w:val="0"/>
              <w:jc w:val="center"/>
              <w:rPr>
                <w:rFonts w:ascii="宋体" w:hAnsi="宋体" w:cs="宋体"/>
                <w:szCs w:val="21"/>
                <w:highlight w:val="none"/>
              </w:rPr>
            </w:pPr>
            <w:r>
              <w:rPr>
                <w:rFonts w:hint="eastAsia" w:ascii="宋体" w:hAnsi="宋体" w:cs="宋体"/>
                <w:szCs w:val="21"/>
                <w:highlight w:val="none"/>
              </w:rPr>
              <w:t>1</w:t>
            </w:r>
          </w:p>
        </w:tc>
        <w:tc>
          <w:tcPr>
            <w:tcW w:w="1380" w:type="dxa"/>
            <w:vAlign w:val="center"/>
          </w:tcPr>
          <w:p w14:paraId="7D868A2D">
            <w:pPr>
              <w:adjustRightInd w:val="0"/>
              <w:jc w:val="center"/>
              <w:rPr>
                <w:rFonts w:ascii="宋体" w:hAnsi="宋体" w:cs="宋体"/>
                <w:szCs w:val="21"/>
                <w:highlight w:val="none"/>
              </w:rPr>
            </w:pPr>
          </w:p>
        </w:tc>
        <w:tc>
          <w:tcPr>
            <w:tcW w:w="1208" w:type="dxa"/>
            <w:vAlign w:val="center"/>
          </w:tcPr>
          <w:p w14:paraId="3A6C868E">
            <w:pPr>
              <w:adjustRightInd w:val="0"/>
              <w:jc w:val="center"/>
              <w:rPr>
                <w:rFonts w:ascii="宋体" w:hAnsi="宋体" w:cs="宋体"/>
                <w:szCs w:val="21"/>
                <w:highlight w:val="none"/>
              </w:rPr>
            </w:pPr>
          </w:p>
        </w:tc>
        <w:tc>
          <w:tcPr>
            <w:tcW w:w="1210" w:type="dxa"/>
            <w:vAlign w:val="center"/>
          </w:tcPr>
          <w:p w14:paraId="4A877E7A">
            <w:pPr>
              <w:adjustRightInd w:val="0"/>
              <w:jc w:val="center"/>
              <w:rPr>
                <w:rFonts w:ascii="宋体" w:hAnsi="宋体" w:cs="宋体"/>
                <w:szCs w:val="21"/>
                <w:highlight w:val="none"/>
              </w:rPr>
            </w:pPr>
          </w:p>
        </w:tc>
        <w:tc>
          <w:tcPr>
            <w:tcW w:w="1297" w:type="dxa"/>
            <w:vAlign w:val="center"/>
          </w:tcPr>
          <w:p w14:paraId="58B82CB4">
            <w:pPr>
              <w:adjustRightInd w:val="0"/>
              <w:jc w:val="center"/>
              <w:rPr>
                <w:rFonts w:ascii="宋体" w:hAnsi="宋体" w:cs="宋体"/>
                <w:szCs w:val="21"/>
                <w:highlight w:val="none"/>
              </w:rPr>
            </w:pPr>
          </w:p>
        </w:tc>
        <w:tc>
          <w:tcPr>
            <w:tcW w:w="1265" w:type="dxa"/>
            <w:vAlign w:val="center"/>
          </w:tcPr>
          <w:p w14:paraId="47525E6A">
            <w:pPr>
              <w:adjustRightInd w:val="0"/>
              <w:jc w:val="center"/>
              <w:rPr>
                <w:rFonts w:ascii="宋体" w:hAnsi="宋体" w:cs="宋体"/>
                <w:szCs w:val="21"/>
                <w:highlight w:val="none"/>
              </w:rPr>
            </w:pPr>
          </w:p>
        </w:tc>
        <w:tc>
          <w:tcPr>
            <w:tcW w:w="1950" w:type="dxa"/>
            <w:vAlign w:val="center"/>
          </w:tcPr>
          <w:p w14:paraId="7A3A5EEE">
            <w:pPr>
              <w:adjustRightInd w:val="0"/>
              <w:jc w:val="center"/>
              <w:rPr>
                <w:rFonts w:ascii="宋体" w:hAnsi="宋体" w:cs="宋体"/>
                <w:szCs w:val="21"/>
                <w:highlight w:val="none"/>
              </w:rPr>
            </w:pPr>
          </w:p>
        </w:tc>
      </w:tr>
      <w:tr w14:paraId="5E01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08" w:type="dxa"/>
            <w:vAlign w:val="center"/>
          </w:tcPr>
          <w:p w14:paraId="067A2B83">
            <w:pPr>
              <w:adjustRightInd w:val="0"/>
              <w:jc w:val="center"/>
              <w:rPr>
                <w:rFonts w:ascii="宋体" w:hAnsi="宋体" w:cs="宋体"/>
                <w:szCs w:val="21"/>
                <w:highlight w:val="none"/>
              </w:rPr>
            </w:pPr>
            <w:r>
              <w:rPr>
                <w:rFonts w:hint="eastAsia" w:ascii="宋体" w:hAnsi="宋体" w:cs="宋体"/>
                <w:szCs w:val="21"/>
                <w:highlight w:val="none"/>
              </w:rPr>
              <w:t>2</w:t>
            </w:r>
          </w:p>
        </w:tc>
        <w:tc>
          <w:tcPr>
            <w:tcW w:w="1380" w:type="dxa"/>
            <w:vAlign w:val="center"/>
          </w:tcPr>
          <w:p w14:paraId="13989F93">
            <w:pPr>
              <w:adjustRightInd w:val="0"/>
              <w:jc w:val="center"/>
              <w:rPr>
                <w:rFonts w:ascii="宋体" w:hAnsi="宋体" w:cs="宋体"/>
                <w:szCs w:val="21"/>
                <w:highlight w:val="none"/>
              </w:rPr>
            </w:pPr>
          </w:p>
        </w:tc>
        <w:tc>
          <w:tcPr>
            <w:tcW w:w="1208" w:type="dxa"/>
            <w:vAlign w:val="center"/>
          </w:tcPr>
          <w:p w14:paraId="6F57ABAF">
            <w:pPr>
              <w:adjustRightInd w:val="0"/>
              <w:jc w:val="center"/>
              <w:rPr>
                <w:rFonts w:ascii="宋体" w:hAnsi="宋体" w:cs="宋体"/>
                <w:szCs w:val="21"/>
                <w:highlight w:val="none"/>
              </w:rPr>
            </w:pPr>
          </w:p>
        </w:tc>
        <w:tc>
          <w:tcPr>
            <w:tcW w:w="1210" w:type="dxa"/>
            <w:vAlign w:val="center"/>
          </w:tcPr>
          <w:p w14:paraId="14A83FB8">
            <w:pPr>
              <w:adjustRightInd w:val="0"/>
              <w:jc w:val="center"/>
              <w:rPr>
                <w:rFonts w:ascii="宋体" w:hAnsi="宋体" w:cs="宋体"/>
                <w:szCs w:val="21"/>
                <w:highlight w:val="none"/>
              </w:rPr>
            </w:pPr>
          </w:p>
        </w:tc>
        <w:tc>
          <w:tcPr>
            <w:tcW w:w="1297" w:type="dxa"/>
            <w:vAlign w:val="center"/>
          </w:tcPr>
          <w:p w14:paraId="36D49B2F">
            <w:pPr>
              <w:adjustRightInd w:val="0"/>
              <w:jc w:val="center"/>
              <w:rPr>
                <w:rFonts w:ascii="宋体" w:hAnsi="宋体" w:cs="宋体"/>
                <w:szCs w:val="21"/>
                <w:highlight w:val="none"/>
              </w:rPr>
            </w:pPr>
          </w:p>
        </w:tc>
        <w:tc>
          <w:tcPr>
            <w:tcW w:w="1265" w:type="dxa"/>
            <w:vAlign w:val="center"/>
          </w:tcPr>
          <w:p w14:paraId="3637C329">
            <w:pPr>
              <w:adjustRightInd w:val="0"/>
              <w:jc w:val="center"/>
              <w:rPr>
                <w:rFonts w:ascii="宋体" w:hAnsi="宋体" w:cs="宋体"/>
                <w:szCs w:val="21"/>
                <w:highlight w:val="none"/>
              </w:rPr>
            </w:pPr>
          </w:p>
        </w:tc>
        <w:tc>
          <w:tcPr>
            <w:tcW w:w="1950" w:type="dxa"/>
            <w:vAlign w:val="center"/>
          </w:tcPr>
          <w:p w14:paraId="0ED07766">
            <w:pPr>
              <w:adjustRightInd w:val="0"/>
              <w:jc w:val="center"/>
              <w:rPr>
                <w:rFonts w:ascii="宋体" w:hAnsi="宋体" w:cs="宋体"/>
                <w:szCs w:val="21"/>
                <w:highlight w:val="none"/>
              </w:rPr>
            </w:pPr>
          </w:p>
        </w:tc>
      </w:tr>
      <w:tr w14:paraId="7D76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08" w:type="dxa"/>
            <w:vAlign w:val="center"/>
          </w:tcPr>
          <w:p w14:paraId="73E9F90C">
            <w:pPr>
              <w:adjustRightInd w:val="0"/>
              <w:jc w:val="center"/>
              <w:rPr>
                <w:rFonts w:ascii="宋体" w:hAnsi="宋体" w:cs="宋体"/>
                <w:szCs w:val="21"/>
                <w:highlight w:val="none"/>
              </w:rPr>
            </w:pPr>
            <w:r>
              <w:rPr>
                <w:rFonts w:hint="eastAsia" w:ascii="宋体" w:hAnsi="宋体" w:cs="宋体"/>
                <w:szCs w:val="21"/>
                <w:highlight w:val="none"/>
              </w:rPr>
              <w:t>……</w:t>
            </w:r>
          </w:p>
        </w:tc>
        <w:tc>
          <w:tcPr>
            <w:tcW w:w="1380" w:type="dxa"/>
            <w:vAlign w:val="center"/>
          </w:tcPr>
          <w:p w14:paraId="37AE8891">
            <w:pPr>
              <w:adjustRightInd w:val="0"/>
              <w:jc w:val="center"/>
              <w:rPr>
                <w:rFonts w:ascii="宋体" w:hAnsi="宋体" w:cs="宋体"/>
                <w:szCs w:val="21"/>
                <w:highlight w:val="none"/>
              </w:rPr>
            </w:pPr>
          </w:p>
        </w:tc>
        <w:tc>
          <w:tcPr>
            <w:tcW w:w="1208" w:type="dxa"/>
            <w:vAlign w:val="center"/>
          </w:tcPr>
          <w:p w14:paraId="5C512C1F">
            <w:pPr>
              <w:adjustRightInd w:val="0"/>
              <w:jc w:val="center"/>
              <w:rPr>
                <w:rFonts w:ascii="宋体" w:hAnsi="宋体" w:cs="宋体"/>
                <w:szCs w:val="21"/>
                <w:highlight w:val="none"/>
              </w:rPr>
            </w:pPr>
          </w:p>
        </w:tc>
        <w:tc>
          <w:tcPr>
            <w:tcW w:w="1210" w:type="dxa"/>
            <w:vAlign w:val="center"/>
          </w:tcPr>
          <w:p w14:paraId="67CC92F5">
            <w:pPr>
              <w:adjustRightInd w:val="0"/>
              <w:jc w:val="center"/>
              <w:rPr>
                <w:rFonts w:ascii="宋体" w:hAnsi="宋体" w:cs="宋体"/>
                <w:szCs w:val="21"/>
                <w:highlight w:val="none"/>
              </w:rPr>
            </w:pPr>
          </w:p>
        </w:tc>
        <w:tc>
          <w:tcPr>
            <w:tcW w:w="1297" w:type="dxa"/>
            <w:vAlign w:val="center"/>
          </w:tcPr>
          <w:p w14:paraId="3533D891">
            <w:pPr>
              <w:adjustRightInd w:val="0"/>
              <w:jc w:val="center"/>
              <w:rPr>
                <w:rFonts w:ascii="宋体" w:hAnsi="宋体" w:cs="宋体"/>
                <w:szCs w:val="21"/>
                <w:highlight w:val="none"/>
              </w:rPr>
            </w:pPr>
          </w:p>
        </w:tc>
        <w:tc>
          <w:tcPr>
            <w:tcW w:w="1265" w:type="dxa"/>
            <w:vAlign w:val="center"/>
          </w:tcPr>
          <w:p w14:paraId="10438925">
            <w:pPr>
              <w:adjustRightInd w:val="0"/>
              <w:jc w:val="center"/>
              <w:rPr>
                <w:rFonts w:ascii="宋体" w:hAnsi="宋体" w:cs="宋体"/>
                <w:szCs w:val="21"/>
                <w:highlight w:val="none"/>
              </w:rPr>
            </w:pPr>
          </w:p>
        </w:tc>
        <w:tc>
          <w:tcPr>
            <w:tcW w:w="1950" w:type="dxa"/>
            <w:vAlign w:val="center"/>
          </w:tcPr>
          <w:p w14:paraId="4035657D">
            <w:pPr>
              <w:adjustRightInd w:val="0"/>
              <w:jc w:val="center"/>
              <w:rPr>
                <w:rFonts w:ascii="宋体" w:hAnsi="宋体" w:cs="宋体"/>
                <w:szCs w:val="21"/>
                <w:highlight w:val="none"/>
              </w:rPr>
            </w:pPr>
          </w:p>
        </w:tc>
      </w:tr>
    </w:tbl>
    <w:p w14:paraId="239E1F51">
      <w:pPr>
        <w:topLinePunct/>
        <w:autoSpaceDE w:val="0"/>
        <w:autoSpaceDN w:val="0"/>
        <w:spacing w:line="360" w:lineRule="auto"/>
        <w:rPr>
          <w:rFonts w:ascii="宋体" w:hAnsi="宋体" w:cs="宋体"/>
          <w:szCs w:val="21"/>
          <w:highlight w:val="none"/>
        </w:rPr>
      </w:pPr>
      <w:r>
        <w:rPr>
          <w:rFonts w:hint="eastAsia" w:ascii="宋体" w:hAnsi="宋体" w:cs="宋体"/>
          <w:szCs w:val="21"/>
          <w:highlight w:val="none"/>
        </w:rPr>
        <w:t>特别说明：</w:t>
      </w:r>
    </w:p>
    <w:p w14:paraId="693FA521">
      <w:pPr>
        <w:topLinePunct/>
        <w:autoSpaceDE w:val="0"/>
        <w:autoSpaceDN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投标人须按照上述格式填写投入本项目所有人员的相关信息。</w:t>
      </w:r>
    </w:p>
    <w:p w14:paraId="0BFD6522">
      <w:pPr>
        <w:topLinePunct/>
        <w:autoSpaceDE w:val="0"/>
        <w:autoSpaceDN w:val="0"/>
        <w:spacing w:line="460" w:lineRule="exact"/>
        <w:ind w:firstLine="720"/>
        <w:rPr>
          <w:rFonts w:ascii="宋体" w:hAnsi="宋体" w:cs="宋体"/>
          <w:bCs/>
          <w:w w:val="150"/>
          <w:sz w:val="24"/>
          <w:highlight w:val="none"/>
          <w:shd w:val="clear" w:color="auto" w:fill="FFFF00"/>
        </w:rPr>
      </w:pPr>
    </w:p>
    <w:p w14:paraId="5D36E6A3">
      <w:pPr>
        <w:topLinePunct/>
        <w:autoSpaceDE w:val="0"/>
        <w:autoSpaceDN w:val="0"/>
        <w:spacing w:line="360" w:lineRule="auto"/>
        <w:jc w:val="center"/>
        <w:rPr>
          <w:rFonts w:ascii="宋体" w:hAnsi="宋体" w:cs="宋体"/>
          <w:b/>
          <w:bCs/>
          <w:sz w:val="28"/>
          <w:szCs w:val="28"/>
          <w:highlight w:val="none"/>
        </w:rPr>
      </w:pPr>
      <w:r>
        <w:rPr>
          <w:rFonts w:hint="eastAsia" w:ascii="宋体" w:hAnsi="宋体" w:cs="宋体"/>
          <w:b/>
          <w:sz w:val="30"/>
          <w:szCs w:val="30"/>
          <w:highlight w:val="none"/>
        </w:rPr>
        <w:br w:type="page"/>
      </w:r>
      <w:r>
        <w:rPr>
          <w:rFonts w:hint="eastAsia" w:ascii="宋体" w:hAnsi="宋体" w:cs="宋体"/>
          <w:b/>
          <w:bCs/>
          <w:sz w:val="28"/>
          <w:szCs w:val="28"/>
          <w:highlight w:val="none"/>
        </w:rPr>
        <w:t>十</w:t>
      </w:r>
      <w:r>
        <w:rPr>
          <w:rFonts w:hint="eastAsia" w:ascii="宋体" w:hAnsi="宋体" w:cs="宋体"/>
          <w:b/>
          <w:bCs/>
          <w:sz w:val="28"/>
          <w:szCs w:val="28"/>
          <w:highlight w:val="none"/>
          <w:lang w:val="en-US" w:eastAsia="zh-CN"/>
        </w:rPr>
        <w:t>三</w:t>
      </w:r>
      <w:r>
        <w:rPr>
          <w:rFonts w:hint="eastAsia" w:ascii="宋体" w:hAnsi="宋体" w:cs="宋体"/>
          <w:b/>
          <w:bCs/>
          <w:sz w:val="28"/>
          <w:szCs w:val="28"/>
          <w:highlight w:val="none"/>
        </w:rPr>
        <w:t>、</w:t>
      </w:r>
      <w:r>
        <w:rPr>
          <w:rFonts w:hint="eastAsia" w:ascii="宋体" w:hAnsi="宋体" w:cs="宋体"/>
          <w:b/>
          <w:bCs/>
          <w:sz w:val="28"/>
          <w:szCs w:val="28"/>
          <w:highlight w:val="none"/>
          <w:lang w:val="en-US" w:eastAsia="zh-CN"/>
        </w:rPr>
        <w:t>技术</w:t>
      </w:r>
      <w:r>
        <w:rPr>
          <w:rFonts w:hint="eastAsia" w:ascii="宋体" w:hAnsi="宋体" w:cs="宋体"/>
          <w:b/>
          <w:bCs/>
          <w:sz w:val="28"/>
          <w:szCs w:val="28"/>
          <w:highlight w:val="none"/>
        </w:rPr>
        <w:t>人员简历表</w:t>
      </w:r>
    </w:p>
    <w:tbl>
      <w:tblPr>
        <w:tblStyle w:val="2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713"/>
        <w:gridCol w:w="1505"/>
        <w:gridCol w:w="1388"/>
        <w:gridCol w:w="1796"/>
        <w:gridCol w:w="1686"/>
      </w:tblGrid>
      <w:tr w14:paraId="611A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14:paraId="0EDA55ED">
            <w:pPr>
              <w:adjustRightInd w:val="0"/>
              <w:jc w:val="center"/>
              <w:rPr>
                <w:rFonts w:ascii="宋体" w:hAnsi="宋体" w:cs="宋体"/>
                <w:szCs w:val="21"/>
                <w:highlight w:val="none"/>
              </w:rPr>
            </w:pPr>
            <w:r>
              <w:rPr>
                <w:rFonts w:hint="eastAsia" w:ascii="宋体" w:hAnsi="宋体" w:cs="宋体"/>
                <w:szCs w:val="21"/>
                <w:highlight w:val="none"/>
              </w:rPr>
              <w:t>姓   名</w:t>
            </w:r>
          </w:p>
        </w:tc>
        <w:tc>
          <w:tcPr>
            <w:tcW w:w="1713" w:type="dxa"/>
            <w:tcBorders>
              <w:top w:val="single" w:color="auto" w:sz="4" w:space="0"/>
              <w:left w:val="single" w:color="auto" w:sz="4" w:space="0"/>
              <w:bottom w:val="single" w:color="auto" w:sz="4" w:space="0"/>
              <w:right w:val="single" w:color="auto" w:sz="4" w:space="0"/>
            </w:tcBorders>
            <w:vAlign w:val="center"/>
          </w:tcPr>
          <w:p w14:paraId="54CB7E64">
            <w:pPr>
              <w:adjustRightInd w:val="0"/>
              <w:jc w:val="center"/>
              <w:rPr>
                <w:rFonts w:ascii="宋体" w:hAnsi="宋体" w:cs="宋体"/>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626A63CA">
            <w:pPr>
              <w:adjustRightInd w:val="0"/>
              <w:jc w:val="center"/>
              <w:rPr>
                <w:rFonts w:ascii="宋体" w:hAnsi="宋体" w:cs="宋体"/>
                <w:szCs w:val="21"/>
                <w:highlight w:val="none"/>
              </w:rPr>
            </w:pPr>
            <w:r>
              <w:rPr>
                <w:rFonts w:hint="eastAsia" w:ascii="宋体" w:hAnsi="宋体" w:cs="宋体"/>
                <w:szCs w:val="21"/>
                <w:highlight w:val="none"/>
              </w:rPr>
              <w:t>性    别</w:t>
            </w:r>
          </w:p>
        </w:tc>
        <w:tc>
          <w:tcPr>
            <w:tcW w:w="1388" w:type="dxa"/>
            <w:tcBorders>
              <w:top w:val="single" w:color="auto" w:sz="4" w:space="0"/>
              <w:left w:val="single" w:color="auto" w:sz="4" w:space="0"/>
              <w:bottom w:val="single" w:color="auto" w:sz="4" w:space="0"/>
              <w:right w:val="single" w:color="auto" w:sz="4" w:space="0"/>
            </w:tcBorders>
            <w:vAlign w:val="center"/>
          </w:tcPr>
          <w:p w14:paraId="53725D27">
            <w:pPr>
              <w:adjustRightInd w:val="0"/>
              <w:jc w:val="center"/>
              <w:rPr>
                <w:rFonts w:ascii="宋体" w:hAnsi="宋体" w:cs="宋体"/>
                <w:szCs w:val="21"/>
                <w:highlight w:val="none"/>
              </w:rPr>
            </w:pPr>
          </w:p>
        </w:tc>
        <w:tc>
          <w:tcPr>
            <w:tcW w:w="1796" w:type="dxa"/>
            <w:tcBorders>
              <w:top w:val="single" w:color="auto" w:sz="4" w:space="0"/>
              <w:left w:val="single" w:color="auto" w:sz="4" w:space="0"/>
              <w:bottom w:val="single" w:color="auto" w:sz="4" w:space="0"/>
              <w:right w:val="single" w:color="auto" w:sz="4" w:space="0"/>
            </w:tcBorders>
            <w:vAlign w:val="center"/>
          </w:tcPr>
          <w:p w14:paraId="61E8F75A">
            <w:pPr>
              <w:adjustRightInd w:val="0"/>
              <w:jc w:val="center"/>
              <w:rPr>
                <w:rFonts w:ascii="宋体" w:hAnsi="宋体" w:cs="宋体"/>
                <w:szCs w:val="21"/>
                <w:highlight w:val="none"/>
              </w:rPr>
            </w:pPr>
            <w:r>
              <w:rPr>
                <w:rFonts w:hint="eastAsia" w:ascii="宋体" w:hAnsi="宋体" w:cs="宋体"/>
                <w:szCs w:val="21"/>
                <w:highlight w:val="none"/>
              </w:rPr>
              <w:t>出生日期</w:t>
            </w:r>
          </w:p>
        </w:tc>
        <w:tc>
          <w:tcPr>
            <w:tcW w:w="1686" w:type="dxa"/>
            <w:tcBorders>
              <w:top w:val="single" w:color="auto" w:sz="4" w:space="0"/>
              <w:left w:val="single" w:color="auto" w:sz="4" w:space="0"/>
              <w:bottom w:val="single" w:color="auto" w:sz="4" w:space="0"/>
              <w:right w:val="single" w:color="auto" w:sz="4" w:space="0"/>
            </w:tcBorders>
            <w:vAlign w:val="center"/>
          </w:tcPr>
          <w:p w14:paraId="0E4EF2A1">
            <w:pPr>
              <w:adjustRightInd w:val="0"/>
              <w:jc w:val="center"/>
              <w:rPr>
                <w:rFonts w:ascii="宋体" w:hAnsi="宋体" w:cs="宋体"/>
                <w:szCs w:val="21"/>
                <w:highlight w:val="none"/>
              </w:rPr>
            </w:pPr>
          </w:p>
        </w:tc>
      </w:tr>
      <w:tr w14:paraId="0B6F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14:paraId="0F15F670">
            <w:pPr>
              <w:adjustRightInd w:val="0"/>
              <w:jc w:val="center"/>
              <w:rPr>
                <w:rFonts w:ascii="宋体" w:hAnsi="宋体" w:cs="宋体"/>
                <w:szCs w:val="21"/>
                <w:highlight w:val="none"/>
              </w:rPr>
            </w:pPr>
            <w:r>
              <w:rPr>
                <w:rFonts w:hint="eastAsia" w:ascii="宋体" w:hAnsi="宋体" w:cs="宋体"/>
                <w:szCs w:val="21"/>
                <w:highlight w:val="none"/>
              </w:rPr>
              <w:t>学   历</w:t>
            </w:r>
          </w:p>
        </w:tc>
        <w:tc>
          <w:tcPr>
            <w:tcW w:w="1713" w:type="dxa"/>
            <w:tcBorders>
              <w:top w:val="single" w:color="auto" w:sz="4" w:space="0"/>
              <w:left w:val="single" w:color="auto" w:sz="4" w:space="0"/>
              <w:bottom w:val="single" w:color="auto" w:sz="4" w:space="0"/>
              <w:right w:val="single" w:color="auto" w:sz="4" w:space="0"/>
            </w:tcBorders>
            <w:vAlign w:val="center"/>
          </w:tcPr>
          <w:p w14:paraId="7B1CC4E2">
            <w:pPr>
              <w:adjustRightInd w:val="0"/>
              <w:jc w:val="center"/>
              <w:rPr>
                <w:rFonts w:ascii="宋体" w:hAnsi="宋体" w:cs="宋体"/>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42FA13D5">
            <w:pPr>
              <w:adjustRightInd w:val="0"/>
              <w:jc w:val="center"/>
              <w:rPr>
                <w:rFonts w:ascii="宋体" w:hAnsi="宋体" w:cs="宋体"/>
                <w:szCs w:val="21"/>
                <w:highlight w:val="none"/>
              </w:rPr>
            </w:pPr>
            <w:r>
              <w:rPr>
                <w:rFonts w:hint="eastAsia" w:ascii="宋体" w:hAnsi="宋体" w:cs="宋体"/>
                <w:szCs w:val="21"/>
                <w:highlight w:val="none"/>
              </w:rPr>
              <w:t>毕业学校</w:t>
            </w:r>
          </w:p>
        </w:tc>
        <w:tc>
          <w:tcPr>
            <w:tcW w:w="1388" w:type="dxa"/>
            <w:tcBorders>
              <w:top w:val="single" w:color="auto" w:sz="4" w:space="0"/>
              <w:left w:val="single" w:color="auto" w:sz="4" w:space="0"/>
              <w:bottom w:val="single" w:color="auto" w:sz="4" w:space="0"/>
              <w:right w:val="single" w:color="auto" w:sz="4" w:space="0"/>
            </w:tcBorders>
            <w:vAlign w:val="center"/>
          </w:tcPr>
          <w:p w14:paraId="16B59555">
            <w:pPr>
              <w:adjustRightInd w:val="0"/>
              <w:jc w:val="center"/>
              <w:rPr>
                <w:rFonts w:ascii="宋体" w:hAnsi="宋体" w:cs="宋体"/>
                <w:szCs w:val="21"/>
                <w:highlight w:val="none"/>
              </w:rPr>
            </w:pPr>
          </w:p>
        </w:tc>
        <w:tc>
          <w:tcPr>
            <w:tcW w:w="1796" w:type="dxa"/>
            <w:tcBorders>
              <w:top w:val="single" w:color="auto" w:sz="4" w:space="0"/>
              <w:left w:val="single" w:color="auto" w:sz="4" w:space="0"/>
              <w:bottom w:val="single" w:color="auto" w:sz="4" w:space="0"/>
              <w:right w:val="single" w:color="auto" w:sz="4" w:space="0"/>
            </w:tcBorders>
            <w:vAlign w:val="center"/>
          </w:tcPr>
          <w:p w14:paraId="4A154C46">
            <w:pPr>
              <w:adjustRightInd w:val="0"/>
              <w:jc w:val="center"/>
              <w:rPr>
                <w:rFonts w:ascii="宋体" w:hAnsi="宋体" w:cs="宋体"/>
                <w:szCs w:val="21"/>
                <w:highlight w:val="none"/>
              </w:rPr>
            </w:pPr>
            <w:r>
              <w:rPr>
                <w:rFonts w:hint="eastAsia" w:ascii="宋体" w:hAnsi="宋体" w:cs="宋体"/>
                <w:szCs w:val="21"/>
                <w:highlight w:val="none"/>
              </w:rPr>
              <w:t>技术职称</w:t>
            </w:r>
          </w:p>
        </w:tc>
        <w:tc>
          <w:tcPr>
            <w:tcW w:w="1686" w:type="dxa"/>
            <w:tcBorders>
              <w:top w:val="single" w:color="auto" w:sz="4" w:space="0"/>
              <w:left w:val="single" w:color="auto" w:sz="4" w:space="0"/>
              <w:bottom w:val="single" w:color="auto" w:sz="4" w:space="0"/>
              <w:right w:val="single" w:color="auto" w:sz="4" w:space="0"/>
            </w:tcBorders>
            <w:vAlign w:val="center"/>
          </w:tcPr>
          <w:p w14:paraId="507617C3">
            <w:pPr>
              <w:adjustRightInd w:val="0"/>
              <w:jc w:val="center"/>
              <w:rPr>
                <w:rFonts w:ascii="宋体" w:hAnsi="宋体" w:cs="宋体"/>
                <w:szCs w:val="21"/>
                <w:highlight w:val="none"/>
              </w:rPr>
            </w:pPr>
          </w:p>
        </w:tc>
      </w:tr>
      <w:tr w14:paraId="46E6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14:paraId="48234F06">
            <w:pPr>
              <w:adjustRightInd w:val="0"/>
              <w:jc w:val="center"/>
              <w:rPr>
                <w:rFonts w:ascii="宋体" w:hAnsi="宋体" w:cs="宋体"/>
                <w:szCs w:val="21"/>
                <w:highlight w:val="none"/>
              </w:rPr>
            </w:pPr>
            <w:r>
              <w:rPr>
                <w:rFonts w:hint="eastAsia" w:ascii="宋体" w:hAnsi="宋体" w:cs="宋体"/>
                <w:szCs w:val="21"/>
                <w:highlight w:val="none"/>
              </w:rPr>
              <w:t>公司职务</w:t>
            </w:r>
          </w:p>
        </w:tc>
        <w:tc>
          <w:tcPr>
            <w:tcW w:w="1713" w:type="dxa"/>
            <w:tcBorders>
              <w:top w:val="single" w:color="auto" w:sz="4" w:space="0"/>
              <w:left w:val="single" w:color="auto" w:sz="4" w:space="0"/>
              <w:bottom w:val="single" w:color="auto" w:sz="4" w:space="0"/>
              <w:right w:val="single" w:color="auto" w:sz="4" w:space="0"/>
            </w:tcBorders>
            <w:vAlign w:val="center"/>
          </w:tcPr>
          <w:p w14:paraId="56E36FC5">
            <w:pPr>
              <w:adjustRightInd w:val="0"/>
              <w:jc w:val="center"/>
              <w:rPr>
                <w:rFonts w:ascii="宋体" w:hAnsi="宋体" w:cs="宋体"/>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3806F730">
            <w:pPr>
              <w:adjustRightInd w:val="0"/>
              <w:jc w:val="center"/>
              <w:rPr>
                <w:rFonts w:ascii="宋体" w:hAnsi="宋体" w:cs="宋体"/>
                <w:szCs w:val="21"/>
                <w:highlight w:val="none"/>
              </w:rPr>
            </w:pPr>
            <w:r>
              <w:rPr>
                <w:rFonts w:hint="eastAsia" w:ascii="宋体" w:hAnsi="宋体" w:cs="宋体"/>
                <w:szCs w:val="21"/>
                <w:highlight w:val="none"/>
              </w:rPr>
              <w:t>任职时间</w:t>
            </w:r>
          </w:p>
        </w:tc>
        <w:tc>
          <w:tcPr>
            <w:tcW w:w="1388" w:type="dxa"/>
            <w:tcBorders>
              <w:top w:val="single" w:color="auto" w:sz="4" w:space="0"/>
              <w:left w:val="single" w:color="auto" w:sz="4" w:space="0"/>
              <w:bottom w:val="single" w:color="auto" w:sz="4" w:space="0"/>
              <w:right w:val="single" w:color="auto" w:sz="4" w:space="0"/>
            </w:tcBorders>
            <w:vAlign w:val="center"/>
          </w:tcPr>
          <w:p w14:paraId="6CA58E91">
            <w:pPr>
              <w:adjustRightInd w:val="0"/>
              <w:jc w:val="center"/>
              <w:rPr>
                <w:rFonts w:ascii="宋体" w:hAnsi="宋体" w:cs="宋体"/>
                <w:szCs w:val="21"/>
                <w:highlight w:val="none"/>
              </w:rPr>
            </w:pPr>
          </w:p>
        </w:tc>
        <w:tc>
          <w:tcPr>
            <w:tcW w:w="1796" w:type="dxa"/>
            <w:tcBorders>
              <w:top w:val="single" w:color="auto" w:sz="4" w:space="0"/>
              <w:left w:val="single" w:color="auto" w:sz="4" w:space="0"/>
              <w:bottom w:val="single" w:color="auto" w:sz="4" w:space="0"/>
              <w:right w:val="single" w:color="auto" w:sz="4" w:space="0"/>
            </w:tcBorders>
            <w:vAlign w:val="center"/>
          </w:tcPr>
          <w:p w14:paraId="586AFE57">
            <w:pPr>
              <w:adjustRightInd w:val="0"/>
              <w:jc w:val="center"/>
              <w:rPr>
                <w:rFonts w:ascii="宋体" w:hAnsi="宋体" w:cs="宋体"/>
                <w:szCs w:val="21"/>
                <w:highlight w:val="none"/>
              </w:rPr>
            </w:pPr>
            <w:r>
              <w:rPr>
                <w:rFonts w:hint="eastAsia" w:ascii="宋体" w:hAnsi="宋体" w:cs="宋体"/>
                <w:szCs w:val="21"/>
                <w:highlight w:val="none"/>
              </w:rPr>
              <w:t>本项目任职</w:t>
            </w:r>
          </w:p>
        </w:tc>
        <w:tc>
          <w:tcPr>
            <w:tcW w:w="1686" w:type="dxa"/>
            <w:tcBorders>
              <w:top w:val="single" w:color="auto" w:sz="4" w:space="0"/>
              <w:left w:val="single" w:color="auto" w:sz="4" w:space="0"/>
              <w:bottom w:val="single" w:color="auto" w:sz="4" w:space="0"/>
              <w:right w:val="single" w:color="auto" w:sz="4" w:space="0"/>
            </w:tcBorders>
            <w:vAlign w:val="center"/>
          </w:tcPr>
          <w:p w14:paraId="1EDB5BA3">
            <w:pPr>
              <w:adjustRightInd w:val="0"/>
              <w:jc w:val="center"/>
              <w:rPr>
                <w:rFonts w:ascii="宋体" w:hAnsi="宋体" w:cs="宋体"/>
                <w:szCs w:val="21"/>
                <w:highlight w:val="none"/>
              </w:rPr>
            </w:pPr>
          </w:p>
        </w:tc>
      </w:tr>
      <w:tr w14:paraId="00FC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3" w:type="dxa"/>
            <w:tcBorders>
              <w:top w:val="single" w:color="auto" w:sz="4" w:space="0"/>
              <w:left w:val="single" w:color="auto" w:sz="4" w:space="0"/>
              <w:bottom w:val="single" w:color="auto" w:sz="4" w:space="0"/>
              <w:right w:val="single" w:color="auto" w:sz="4" w:space="0"/>
            </w:tcBorders>
            <w:vAlign w:val="center"/>
          </w:tcPr>
          <w:p w14:paraId="523F2A45">
            <w:pPr>
              <w:adjustRightInd w:val="0"/>
              <w:jc w:val="center"/>
              <w:rPr>
                <w:rFonts w:ascii="宋体" w:hAnsi="宋体" w:cs="宋体"/>
                <w:szCs w:val="21"/>
                <w:highlight w:val="none"/>
              </w:rPr>
            </w:pPr>
            <w:r>
              <w:rPr>
                <w:rFonts w:hint="eastAsia" w:ascii="宋体" w:hAnsi="宋体" w:cs="宋体"/>
                <w:szCs w:val="21"/>
                <w:highlight w:val="none"/>
              </w:rPr>
              <w:t>人员级别</w:t>
            </w:r>
          </w:p>
        </w:tc>
        <w:tc>
          <w:tcPr>
            <w:tcW w:w="1713" w:type="dxa"/>
            <w:tcBorders>
              <w:top w:val="single" w:color="auto" w:sz="4" w:space="0"/>
              <w:left w:val="single" w:color="auto" w:sz="4" w:space="0"/>
              <w:bottom w:val="single" w:color="auto" w:sz="4" w:space="0"/>
              <w:right w:val="single" w:color="auto" w:sz="4" w:space="0"/>
            </w:tcBorders>
            <w:vAlign w:val="center"/>
          </w:tcPr>
          <w:p w14:paraId="2BFF50D9">
            <w:pPr>
              <w:adjustRightInd w:val="0"/>
              <w:jc w:val="center"/>
              <w:rPr>
                <w:rFonts w:ascii="宋体" w:hAnsi="宋体" w:cs="宋体"/>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0160B852">
            <w:pPr>
              <w:adjustRightInd w:val="0"/>
              <w:jc w:val="center"/>
              <w:rPr>
                <w:rFonts w:ascii="宋体" w:hAnsi="宋体" w:cs="宋体"/>
                <w:szCs w:val="21"/>
                <w:highlight w:val="none"/>
              </w:rPr>
            </w:pPr>
            <w:r>
              <w:rPr>
                <w:rFonts w:hint="eastAsia" w:ascii="宋体" w:hAnsi="宋体" w:cs="宋体"/>
                <w:szCs w:val="21"/>
                <w:highlight w:val="none"/>
              </w:rPr>
              <w:t>从事XXX工作年限</w:t>
            </w:r>
          </w:p>
        </w:tc>
        <w:tc>
          <w:tcPr>
            <w:tcW w:w="1388" w:type="dxa"/>
            <w:tcBorders>
              <w:top w:val="single" w:color="auto" w:sz="4" w:space="0"/>
              <w:left w:val="single" w:color="auto" w:sz="4" w:space="0"/>
              <w:bottom w:val="single" w:color="auto" w:sz="4" w:space="0"/>
              <w:right w:val="single" w:color="auto" w:sz="4" w:space="0"/>
            </w:tcBorders>
            <w:vAlign w:val="center"/>
          </w:tcPr>
          <w:p w14:paraId="712B5733">
            <w:pPr>
              <w:adjustRightInd w:val="0"/>
              <w:jc w:val="center"/>
              <w:rPr>
                <w:rFonts w:ascii="宋体" w:hAnsi="宋体" w:cs="宋体"/>
                <w:szCs w:val="21"/>
                <w:highlight w:val="none"/>
              </w:rPr>
            </w:pPr>
          </w:p>
        </w:tc>
        <w:tc>
          <w:tcPr>
            <w:tcW w:w="1796" w:type="dxa"/>
            <w:tcBorders>
              <w:top w:val="single" w:color="auto" w:sz="4" w:space="0"/>
              <w:left w:val="single" w:color="auto" w:sz="4" w:space="0"/>
              <w:bottom w:val="single" w:color="auto" w:sz="4" w:space="0"/>
              <w:right w:val="single" w:color="auto" w:sz="4" w:space="0"/>
            </w:tcBorders>
            <w:vAlign w:val="center"/>
          </w:tcPr>
          <w:p w14:paraId="29106E0D">
            <w:pPr>
              <w:adjustRightInd w:val="0"/>
              <w:jc w:val="center"/>
              <w:rPr>
                <w:rFonts w:ascii="宋体" w:hAnsi="宋体" w:cs="宋体"/>
                <w:szCs w:val="21"/>
                <w:highlight w:val="none"/>
              </w:rPr>
            </w:pPr>
            <w:r>
              <w:rPr>
                <w:rFonts w:hint="eastAsia" w:ascii="宋体" w:hAnsi="宋体" w:cs="宋体"/>
                <w:szCs w:val="21"/>
                <w:highlight w:val="none"/>
              </w:rPr>
              <w:t>从事XXXX年限</w:t>
            </w:r>
          </w:p>
        </w:tc>
        <w:tc>
          <w:tcPr>
            <w:tcW w:w="1686" w:type="dxa"/>
            <w:tcBorders>
              <w:top w:val="single" w:color="auto" w:sz="4" w:space="0"/>
              <w:left w:val="single" w:color="auto" w:sz="4" w:space="0"/>
              <w:bottom w:val="single" w:color="auto" w:sz="4" w:space="0"/>
              <w:right w:val="single" w:color="auto" w:sz="4" w:space="0"/>
            </w:tcBorders>
            <w:vAlign w:val="center"/>
          </w:tcPr>
          <w:p w14:paraId="7F796442">
            <w:pPr>
              <w:adjustRightInd w:val="0"/>
              <w:jc w:val="center"/>
              <w:rPr>
                <w:rFonts w:ascii="宋体" w:hAnsi="宋体" w:cs="宋体"/>
                <w:szCs w:val="21"/>
                <w:highlight w:val="none"/>
              </w:rPr>
            </w:pPr>
          </w:p>
        </w:tc>
      </w:tr>
      <w:tr w14:paraId="1655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3" w:type="dxa"/>
            <w:tcBorders>
              <w:top w:val="single" w:color="auto" w:sz="4" w:space="0"/>
              <w:left w:val="single" w:color="auto" w:sz="4" w:space="0"/>
              <w:bottom w:val="single" w:color="auto" w:sz="4" w:space="0"/>
              <w:right w:val="single" w:color="auto" w:sz="4" w:space="0"/>
            </w:tcBorders>
            <w:vAlign w:val="center"/>
          </w:tcPr>
          <w:p w14:paraId="37655AA9">
            <w:pPr>
              <w:adjustRightInd w:val="0"/>
              <w:jc w:val="center"/>
              <w:rPr>
                <w:rFonts w:ascii="宋体" w:hAnsi="宋体" w:cs="宋体"/>
                <w:szCs w:val="21"/>
                <w:highlight w:val="none"/>
              </w:rPr>
            </w:pPr>
            <w:r>
              <w:rPr>
                <w:rFonts w:hint="eastAsia" w:ascii="宋体" w:hAnsi="宋体" w:cs="宋体"/>
                <w:szCs w:val="21"/>
                <w:highlight w:val="none"/>
              </w:rPr>
              <w:t>认证证书</w:t>
            </w:r>
          </w:p>
        </w:tc>
        <w:tc>
          <w:tcPr>
            <w:tcW w:w="8088" w:type="dxa"/>
            <w:gridSpan w:val="5"/>
            <w:tcBorders>
              <w:top w:val="single" w:color="auto" w:sz="4" w:space="0"/>
              <w:left w:val="single" w:color="auto" w:sz="4" w:space="0"/>
              <w:bottom w:val="single" w:color="auto" w:sz="4" w:space="0"/>
              <w:right w:val="single" w:color="auto" w:sz="4" w:space="0"/>
            </w:tcBorders>
            <w:vAlign w:val="center"/>
          </w:tcPr>
          <w:p w14:paraId="38604105">
            <w:pPr>
              <w:adjustRightInd w:val="0"/>
              <w:jc w:val="center"/>
              <w:rPr>
                <w:rFonts w:ascii="宋体" w:hAnsi="宋体" w:cs="宋体"/>
                <w:szCs w:val="21"/>
                <w:highlight w:val="none"/>
              </w:rPr>
            </w:pPr>
          </w:p>
        </w:tc>
      </w:tr>
      <w:tr w14:paraId="4CBD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9351" w:type="dxa"/>
            <w:gridSpan w:val="6"/>
            <w:tcBorders>
              <w:top w:val="single" w:color="auto" w:sz="4" w:space="0"/>
              <w:left w:val="single" w:color="auto" w:sz="4" w:space="0"/>
              <w:bottom w:val="single" w:color="auto" w:sz="4" w:space="0"/>
              <w:right w:val="single" w:color="auto" w:sz="4" w:space="0"/>
            </w:tcBorders>
          </w:tcPr>
          <w:p w14:paraId="7937F151">
            <w:pPr>
              <w:rPr>
                <w:rFonts w:ascii="宋体" w:hAnsi="宋体" w:cs="宋体"/>
                <w:szCs w:val="21"/>
                <w:highlight w:val="none"/>
              </w:rPr>
            </w:pPr>
            <w:r>
              <w:rPr>
                <w:rFonts w:hint="eastAsia" w:ascii="宋体" w:hAnsi="宋体" w:cs="宋体"/>
                <w:szCs w:val="21"/>
                <w:highlight w:val="none"/>
              </w:rPr>
              <w:t>工作简历及主要业绩</w:t>
            </w:r>
          </w:p>
          <w:p w14:paraId="0F483484">
            <w:pPr>
              <w:adjustRightInd w:val="0"/>
              <w:rPr>
                <w:rFonts w:ascii="宋体" w:hAnsi="宋体" w:cs="宋体"/>
                <w:szCs w:val="21"/>
                <w:highlight w:val="none"/>
              </w:rPr>
            </w:pPr>
          </w:p>
        </w:tc>
      </w:tr>
    </w:tbl>
    <w:p w14:paraId="649959A8">
      <w:pPr>
        <w:topLinePunct/>
        <w:autoSpaceDE w:val="0"/>
        <w:autoSpaceDN w:val="0"/>
        <w:spacing w:line="360" w:lineRule="auto"/>
        <w:rPr>
          <w:rFonts w:ascii="宋体" w:hAnsi="宋体" w:cs="宋体"/>
          <w:szCs w:val="21"/>
          <w:highlight w:val="none"/>
        </w:rPr>
      </w:pPr>
      <w:r>
        <w:rPr>
          <w:rFonts w:hint="eastAsia" w:ascii="宋体" w:hAnsi="宋体" w:cs="宋体"/>
          <w:szCs w:val="21"/>
          <w:highlight w:val="none"/>
        </w:rPr>
        <w:t>特别说明：</w:t>
      </w:r>
    </w:p>
    <w:p w14:paraId="16074BE7">
      <w:pPr>
        <w:topLinePunct/>
        <w:autoSpaceDE w:val="0"/>
        <w:autoSpaceDN w:val="0"/>
        <w:spacing w:line="360" w:lineRule="auto"/>
        <w:ind w:firstLine="420" w:firstLineChars="200"/>
        <w:rPr>
          <w:rFonts w:ascii="宋体" w:hAnsi="宋体" w:cs="宋体"/>
          <w:szCs w:val="21"/>
          <w:highlight w:val="none"/>
        </w:rPr>
      </w:pPr>
      <w:r>
        <w:rPr>
          <w:rFonts w:hint="eastAsia" w:ascii="宋体" w:hAnsi="宋体" w:cs="宋体"/>
          <w:szCs w:val="21"/>
          <w:highlight w:val="none"/>
        </w:rPr>
        <w:t>1.投标人应提供投入本项目所有人员的简历。</w:t>
      </w:r>
    </w:p>
    <w:p w14:paraId="642F7DF7">
      <w:pPr>
        <w:topLinePunct/>
        <w:autoSpaceDE w:val="0"/>
        <w:autoSpaceDN w:val="0"/>
        <w:spacing w:line="360" w:lineRule="auto"/>
        <w:ind w:firstLine="420" w:firstLineChars="200"/>
        <w:rPr>
          <w:rFonts w:ascii="宋体" w:hAnsi="宋体" w:cs="宋体"/>
          <w:highlight w:val="none"/>
        </w:rPr>
      </w:pPr>
      <w:r>
        <w:rPr>
          <w:rFonts w:hint="eastAsia" w:ascii="宋体" w:hAnsi="宋体" w:cs="宋体"/>
          <w:szCs w:val="21"/>
          <w:highlight w:val="none"/>
        </w:rPr>
        <w:t>2.</w:t>
      </w:r>
      <w:r>
        <w:rPr>
          <w:rFonts w:hint="eastAsia" w:ascii="宋体" w:hAnsi="宋体" w:cs="宋体"/>
          <w:szCs w:val="21"/>
          <w:highlight w:val="none"/>
          <w:u w:val="single"/>
        </w:rPr>
        <w:t xml:space="preserve">    </w:t>
      </w:r>
      <w:r>
        <w:rPr>
          <w:rFonts w:hint="eastAsia" w:ascii="宋体" w:hAnsi="宋体" w:cs="宋体"/>
          <w:szCs w:val="21"/>
          <w:highlight w:val="none"/>
        </w:rPr>
        <w:t>等人员应提供</w:t>
      </w:r>
      <w:r>
        <w:rPr>
          <w:rFonts w:hint="eastAsia" w:ascii="宋体" w:hAnsi="宋体" w:cs="宋体"/>
          <w:szCs w:val="21"/>
          <w:highlight w:val="none"/>
          <w:u w:val="single"/>
        </w:rPr>
        <w:t xml:space="preserve">       </w:t>
      </w:r>
      <w:r>
        <w:rPr>
          <w:rFonts w:hint="eastAsia" w:ascii="宋体" w:hAnsi="宋体" w:cs="宋体"/>
          <w:szCs w:val="21"/>
          <w:highlight w:val="none"/>
        </w:rPr>
        <w:t xml:space="preserve">复印件。 </w:t>
      </w:r>
    </w:p>
    <w:p w14:paraId="600A104C">
      <w:pPr>
        <w:widowControl/>
        <w:jc w:val="left"/>
        <w:rPr>
          <w:rFonts w:ascii="宋体" w:hAnsi="宋体" w:cs="宋体"/>
          <w:highlight w:val="none"/>
        </w:rPr>
      </w:pPr>
    </w:p>
    <w:p w14:paraId="4A899E3D">
      <w:pPr>
        <w:pStyle w:val="16"/>
        <w:numPr>
          <w:ilvl w:val="0"/>
          <w:numId w:val="0"/>
        </w:numPr>
        <w:topLinePunct/>
        <w:autoSpaceDE w:val="0"/>
        <w:autoSpaceDN w:val="0"/>
        <w:spacing w:line="460" w:lineRule="exact"/>
        <w:jc w:val="both"/>
        <w:rPr>
          <w:rFonts w:ascii="宋体" w:hAnsi="宋体" w:cs="宋体"/>
          <w:b/>
          <w:bCs/>
          <w:sz w:val="36"/>
          <w:szCs w:val="36"/>
          <w:highlight w:val="none"/>
        </w:rPr>
      </w:pPr>
      <w:r>
        <w:rPr>
          <w:rFonts w:hint="eastAsia" w:ascii="宋体" w:hAnsi="宋体" w:cs="宋体"/>
          <w:b/>
          <w:bCs/>
          <w:sz w:val="36"/>
          <w:szCs w:val="36"/>
          <w:highlight w:val="none"/>
        </w:rPr>
        <w:br w:type="page"/>
      </w:r>
    </w:p>
    <w:p w14:paraId="35BF941B">
      <w:pPr>
        <w:rPr>
          <w:rFonts w:hint="eastAsia" w:ascii="宋体" w:hAnsi="宋体" w:cs="宋体"/>
          <w:b/>
          <w:bCs/>
          <w:sz w:val="28"/>
          <w:szCs w:val="28"/>
          <w:highlight w:val="none"/>
        </w:rPr>
      </w:pPr>
    </w:p>
    <w:p w14:paraId="4A955439">
      <w:pPr>
        <w:widowControl/>
        <w:ind w:firstLine="723"/>
        <w:jc w:val="center"/>
        <w:rPr>
          <w:rFonts w:ascii="宋体" w:hAnsi="宋体" w:cs="宋体"/>
          <w:b/>
          <w:bCs/>
          <w:sz w:val="36"/>
          <w:szCs w:val="36"/>
          <w:highlight w:val="none"/>
        </w:rPr>
      </w:pPr>
      <w:r>
        <w:rPr>
          <w:rFonts w:hint="eastAsia" w:ascii="宋体" w:hAnsi="宋体" w:cs="宋体"/>
          <w:b/>
          <w:bCs/>
          <w:sz w:val="28"/>
          <w:szCs w:val="28"/>
          <w:highlight w:val="none"/>
        </w:rPr>
        <w:t>十四、服务承诺</w:t>
      </w:r>
    </w:p>
    <w:p w14:paraId="2472AA3F">
      <w:pPr>
        <w:ind w:firstLine="420" w:firstLineChars="200"/>
        <w:rPr>
          <w:rFonts w:ascii="宋体" w:hAnsi="宋体" w:cs="宋体"/>
          <w:szCs w:val="21"/>
          <w:highlight w:val="none"/>
        </w:rPr>
      </w:pPr>
    </w:p>
    <w:p w14:paraId="5781F8EF">
      <w:pPr>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(示例略)</w:t>
      </w:r>
    </w:p>
    <w:p w14:paraId="240F0274">
      <w:pPr>
        <w:pStyle w:val="8"/>
        <w:numPr>
          <w:ilvl w:val="0"/>
          <w:numId w:val="0"/>
        </w:numPr>
        <w:tabs>
          <w:tab w:val="clear" w:pos="780"/>
        </w:tabs>
        <w:spacing w:before="240" w:after="120"/>
        <w:ind w:left="780" w:leftChars="0" w:firstLine="420" w:firstLineChars="200"/>
        <w:rPr>
          <w:highlight w:val="none"/>
        </w:rPr>
      </w:pPr>
    </w:p>
    <w:p w14:paraId="0D2CE48C">
      <w:pPr>
        <w:rPr>
          <w:rFonts w:ascii="宋体" w:hAnsi="宋体" w:cs="宋体"/>
          <w:szCs w:val="21"/>
          <w:highlight w:val="none"/>
        </w:rPr>
      </w:pPr>
    </w:p>
    <w:p w14:paraId="2AC19E6A">
      <w:pPr>
        <w:pStyle w:val="8"/>
        <w:rPr>
          <w:rFonts w:ascii="宋体" w:hAnsi="宋体" w:cs="宋体"/>
          <w:szCs w:val="21"/>
          <w:highlight w:val="none"/>
        </w:rPr>
      </w:pPr>
    </w:p>
    <w:p w14:paraId="202116F9">
      <w:pPr>
        <w:widowControl/>
        <w:ind w:firstLine="723"/>
        <w:jc w:val="center"/>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十五、投标人认为需要提供的其它说明和资料</w:t>
      </w:r>
    </w:p>
    <w:p w14:paraId="2058653B">
      <w:pPr>
        <w:pStyle w:val="8"/>
        <w:keepNext/>
        <w:keepLines/>
        <w:widowControl w:val="0"/>
        <w:numPr>
          <w:ilvl w:val="0"/>
          <w:numId w:val="0"/>
        </w:numPr>
        <w:spacing w:before="280" w:after="290" w:line="377" w:lineRule="auto"/>
        <w:jc w:val="both"/>
        <w:outlineLvl w:val="4"/>
        <w:rPr>
          <w:highlight w:val="none"/>
        </w:rPr>
      </w:pPr>
    </w:p>
    <w:p w14:paraId="2C29C69D">
      <w:pPr>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(示例略)</w:t>
      </w:r>
    </w:p>
    <w:p w14:paraId="27CF6BE8">
      <w:pPr>
        <w:rPr>
          <w:highlight w:val="none"/>
        </w:rPr>
        <w:sectPr>
          <w:pgSz w:w="11907" w:h="16839"/>
          <w:pgMar w:top="1440" w:right="1334" w:bottom="1440" w:left="1332" w:header="851" w:footer="992" w:gutter="0"/>
          <w:pgBorders>
            <w:top w:val="none" w:sz="0" w:space="0"/>
            <w:left w:val="none" w:sz="0" w:space="0"/>
            <w:bottom w:val="none" w:sz="0" w:space="0"/>
            <w:right w:val="none" w:sz="0" w:space="0"/>
          </w:pgBorders>
          <w:cols w:space="720" w:num="1"/>
          <w:titlePg/>
          <w:docGrid w:linePitch="312" w:charSpace="0"/>
        </w:sectPr>
      </w:pPr>
    </w:p>
    <w:p w14:paraId="0A943927">
      <w:pPr>
        <w:pStyle w:val="15"/>
        <w:ind w:firstLine="643"/>
        <w:rPr>
          <w:rFonts w:ascii="宋体" w:hAnsi="宋体" w:cs="宋体"/>
          <w:sz w:val="32"/>
          <w:szCs w:val="32"/>
          <w:highlight w:val="none"/>
        </w:rPr>
      </w:pPr>
    </w:p>
    <w:p w14:paraId="752CF03B">
      <w:pPr>
        <w:rPr>
          <w:highlight w:val="none"/>
        </w:rPr>
      </w:pPr>
    </w:p>
    <w:p w14:paraId="4D610F44">
      <w:pPr>
        <w:ind w:firstLine="420"/>
        <w:rPr>
          <w:rFonts w:ascii="华文中宋" w:hAnsi="华文中宋" w:eastAsia="华文中宋" w:cs="华文中宋"/>
          <w:b/>
          <w:bCs/>
          <w:highlight w:val="none"/>
        </w:rPr>
      </w:pPr>
    </w:p>
    <w:p w14:paraId="46E54C0D">
      <w:pPr>
        <w:topLinePunct/>
        <w:autoSpaceDE w:val="0"/>
        <w:autoSpaceDN w:val="0"/>
        <w:jc w:val="center"/>
        <w:rPr>
          <w:rFonts w:ascii="华文中宋" w:hAnsi="华文中宋" w:eastAsia="华文中宋" w:cs="华文中宋"/>
          <w:b/>
          <w:bCs/>
          <w:sz w:val="72"/>
          <w:szCs w:val="72"/>
          <w:highlight w:val="none"/>
        </w:rPr>
      </w:pPr>
      <w:r>
        <w:rPr>
          <w:rFonts w:hint="eastAsia" w:ascii="华文中宋" w:hAnsi="华文中宋" w:eastAsia="华文中宋" w:cs="华文中宋"/>
          <w:b/>
          <w:bCs/>
          <w:sz w:val="72"/>
          <w:szCs w:val="72"/>
          <w:highlight w:val="none"/>
        </w:rPr>
        <w:t>招 标 文 件</w:t>
      </w:r>
    </w:p>
    <w:p w14:paraId="48514D7F">
      <w:pPr>
        <w:pStyle w:val="2"/>
        <w:ind w:left="0" w:leftChars="0" w:firstLine="0" w:firstLineChars="0"/>
        <w:jc w:val="center"/>
        <w:rPr>
          <w:rFonts w:ascii="华文中宋" w:hAnsi="华文中宋" w:eastAsia="华文中宋" w:cs="华文中宋"/>
          <w:b/>
          <w:bCs/>
          <w:sz w:val="56"/>
          <w:szCs w:val="56"/>
          <w:highlight w:val="none"/>
        </w:rPr>
      </w:pPr>
    </w:p>
    <w:p w14:paraId="2FD78BC5">
      <w:pPr>
        <w:pStyle w:val="2"/>
        <w:ind w:left="0" w:leftChars="0" w:firstLine="0" w:firstLineChars="0"/>
        <w:jc w:val="center"/>
        <w:rPr>
          <w:rFonts w:ascii="华文中宋" w:hAnsi="华文中宋" w:eastAsia="华文中宋" w:cs="华文中宋"/>
          <w:b/>
          <w:bCs/>
          <w:sz w:val="56"/>
          <w:szCs w:val="56"/>
          <w:highlight w:val="none"/>
        </w:rPr>
      </w:pPr>
      <w:r>
        <w:rPr>
          <w:rFonts w:hint="eastAsia" w:ascii="华文中宋" w:hAnsi="华文中宋" w:eastAsia="华文中宋" w:cs="华文中宋"/>
          <w:b/>
          <w:bCs/>
          <w:sz w:val="56"/>
          <w:szCs w:val="56"/>
          <w:highlight w:val="none"/>
        </w:rPr>
        <w:t>（技术部分）</w:t>
      </w:r>
    </w:p>
    <w:p w14:paraId="35D98170">
      <w:pPr>
        <w:topLinePunct/>
        <w:autoSpaceDE w:val="0"/>
        <w:autoSpaceDN w:val="0"/>
        <w:spacing w:line="60" w:lineRule="exact"/>
        <w:jc w:val="center"/>
        <w:rPr>
          <w:rFonts w:ascii="宋体" w:hAnsi="宋体" w:cs="宋体"/>
          <w:bCs/>
          <w:sz w:val="32"/>
          <w:szCs w:val="32"/>
          <w:highlight w:val="none"/>
        </w:rPr>
      </w:pPr>
    </w:p>
    <w:p w14:paraId="3C594881">
      <w:pPr>
        <w:pStyle w:val="8"/>
        <w:numPr>
          <w:ilvl w:val="0"/>
          <w:numId w:val="0"/>
        </w:numPr>
        <w:tabs>
          <w:tab w:val="clear" w:pos="780"/>
        </w:tabs>
        <w:spacing w:before="240" w:after="120"/>
        <w:ind w:left="2100" w:leftChars="1000" w:firstLine="0" w:firstLineChars="0"/>
        <w:rPr>
          <w:rFonts w:ascii="宋体" w:hAnsi="宋体" w:eastAsia="宋体" w:cs="宋体"/>
          <w:color w:val="auto"/>
          <w:highlight w:val="none"/>
        </w:rPr>
      </w:pPr>
    </w:p>
    <w:p w14:paraId="4B6ADC68">
      <w:pPr>
        <w:spacing w:line="360" w:lineRule="auto"/>
        <w:ind w:left="0" w:leftChars="0" w:firstLine="904" w:firstLineChars="300"/>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rPr>
        <w:t>项目名称：</w:t>
      </w:r>
      <w:r>
        <w:rPr>
          <w:rFonts w:hint="eastAsia" w:ascii="宋体" w:hAnsi="宋体" w:cs="宋体"/>
          <w:b/>
          <w:bCs/>
          <w:color w:val="auto"/>
          <w:sz w:val="30"/>
          <w:szCs w:val="30"/>
          <w:highlight w:val="none"/>
          <w:lang w:eastAsia="zh-CN"/>
        </w:rPr>
        <w:t>国家税务总局湖南省税务局2025年数据中心运行维护项目（第二次）</w:t>
      </w:r>
    </w:p>
    <w:p w14:paraId="4F3B9693">
      <w:pPr>
        <w:spacing w:line="360" w:lineRule="auto"/>
        <w:ind w:left="0" w:leftChars="0" w:firstLine="904" w:firstLineChars="300"/>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rPr>
        <w:t>项目编号：</w:t>
      </w:r>
      <w:r>
        <w:rPr>
          <w:rFonts w:hint="eastAsia" w:ascii="宋体" w:hAnsi="宋体" w:cs="宋体"/>
          <w:b/>
          <w:bCs/>
          <w:color w:val="auto"/>
          <w:sz w:val="30"/>
          <w:szCs w:val="30"/>
          <w:highlight w:val="none"/>
          <w:lang w:eastAsia="zh-CN"/>
        </w:rPr>
        <w:t>TJGJCS2024-296</w:t>
      </w:r>
    </w:p>
    <w:p w14:paraId="5A77A415">
      <w:pPr>
        <w:spacing w:line="360" w:lineRule="auto"/>
        <w:ind w:left="0" w:leftChars="0" w:firstLine="904" w:firstLineChars="300"/>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采 购 人：</w:t>
      </w:r>
      <w:r>
        <w:rPr>
          <w:rFonts w:hint="eastAsia" w:ascii="宋体" w:hAnsi="宋体" w:cs="宋体"/>
          <w:b/>
          <w:bCs/>
          <w:color w:val="auto"/>
          <w:sz w:val="30"/>
          <w:szCs w:val="30"/>
          <w:highlight w:val="none"/>
          <w:lang w:eastAsia="zh-CN"/>
        </w:rPr>
        <w:t>国家税务总局湖南省税务局</w:t>
      </w:r>
    </w:p>
    <w:p w14:paraId="3B8F0027">
      <w:pPr>
        <w:spacing w:line="360" w:lineRule="auto"/>
        <w:ind w:left="0" w:leftChars="0" w:firstLine="904" w:firstLineChars="300"/>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rPr>
        <w:t>采购代理机构：</w:t>
      </w:r>
      <w:r>
        <w:rPr>
          <w:rFonts w:hint="eastAsia" w:ascii="宋体" w:hAnsi="宋体" w:cs="宋体"/>
          <w:b/>
          <w:bCs/>
          <w:color w:val="auto"/>
          <w:sz w:val="30"/>
          <w:szCs w:val="30"/>
          <w:highlight w:val="none"/>
          <w:lang w:eastAsia="zh-CN"/>
        </w:rPr>
        <w:t>天鉴国际工程管理有限公司</w:t>
      </w:r>
    </w:p>
    <w:p w14:paraId="25C27E37">
      <w:pPr>
        <w:topLinePunct/>
        <w:autoSpaceDE w:val="0"/>
        <w:autoSpaceDN w:val="0"/>
        <w:spacing w:line="460" w:lineRule="exact"/>
        <w:rPr>
          <w:rFonts w:ascii="宋体" w:hAnsi="宋体" w:cs="宋体"/>
          <w:sz w:val="24"/>
          <w:szCs w:val="24"/>
          <w:highlight w:val="none"/>
        </w:rPr>
      </w:pPr>
    </w:p>
    <w:p w14:paraId="55BFC986">
      <w:pPr>
        <w:pStyle w:val="8"/>
        <w:numPr>
          <w:ilvl w:val="0"/>
          <w:numId w:val="0"/>
        </w:numPr>
        <w:tabs>
          <w:tab w:val="clear" w:pos="780"/>
        </w:tabs>
        <w:spacing w:before="240" w:after="120"/>
        <w:ind w:leftChars="200"/>
        <w:rPr>
          <w:rFonts w:ascii="宋体" w:hAnsi="宋体" w:eastAsia="宋体" w:cs="宋体"/>
          <w:bCs w:val="0"/>
          <w:sz w:val="24"/>
          <w:szCs w:val="24"/>
          <w:highlight w:val="none"/>
        </w:rPr>
      </w:pPr>
    </w:p>
    <w:p w14:paraId="1576C5E6">
      <w:pPr>
        <w:pStyle w:val="9"/>
        <w:spacing w:before="240" w:after="120"/>
        <w:rPr>
          <w:highlight w:val="none"/>
        </w:rPr>
      </w:pPr>
    </w:p>
    <w:p w14:paraId="393CFABE">
      <w:pPr>
        <w:pStyle w:val="9"/>
        <w:spacing w:before="240" w:after="120"/>
        <w:rPr>
          <w:highlight w:val="none"/>
        </w:rPr>
      </w:pPr>
    </w:p>
    <w:p w14:paraId="45E1E340">
      <w:pPr>
        <w:pStyle w:val="9"/>
        <w:spacing w:before="240" w:after="120"/>
        <w:rPr>
          <w:highlight w:val="none"/>
        </w:rPr>
      </w:pPr>
    </w:p>
    <w:p w14:paraId="6212F888">
      <w:pPr>
        <w:pStyle w:val="9"/>
        <w:spacing w:before="240" w:after="120"/>
        <w:rPr>
          <w:highlight w:val="none"/>
        </w:rPr>
      </w:pPr>
    </w:p>
    <w:p w14:paraId="527F3EA7">
      <w:pPr>
        <w:topLinePunct/>
        <w:autoSpaceDE w:val="0"/>
        <w:autoSpaceDN w:val="0"/>
        <w:spacing w:line="460" w:lineRule="exact"/>
        <w:jc w:val="center"/>
        <w:rPr>
          <w:rFonts w:ascii="宋体" w:hAnsi="宋体" w:cs="宋体"/>
          <w:sz w:val="24"/>
          <w:szCs w:val="24"/>
          <w:highlight w:val="none"/>
        </w:rPr>
      </w:pPr>
    </w:p>
    <w:p w14:paraId="269B127E">
      <w:pPr>
        <w:topLinePunct/>
        <w:autoSpaceDE w:val="0"/>
        <w:autoSpaceDN w:val="0"/>
        <w:spacing w:line="46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lang w:eastAsia="zh-CN"/>
        </w:rPr>
        <w:t>国家税务总局湖南省税务局</w:t>
      </w:r>
    </w:p>
    <w:p w14:paraId="43429201">
      <w:pPr>
        <w:topLinePunct/>
        <w:autoSpaceDE w:val="0"/>
        <w:autoSpaceDN w:val="0"/>
        <w:spacing w:line="160" w:lineRule="exact"/>
        <w:jc w:val="center"/>
        <w:rPr>
          <w:rFonts w:ascii="宋体" w:hAnsi="宋体" w:cs="宋体"/>
          <w:b/>
          <w:bCs/>
          <w:sz w:val="30"/>
          <w:szCs w:val="30"/>
          <w:highlight w:val="none"/>
        </w:rPr>
      </w:pPr>
    </w:p>
    <w:p w14:paraId="1DBCB4E8">
      <w:pPr>
        <w:jc w:val="center"/>
        <w:rPr>
          <w:rFonts w:ascii="宋体" w:hAnsi="宋体" w:cs="宋体"/>
          <w:b/>
          <w:bCs/>
          <w:sz w:val="30"/>
          <w:szCs w:val="30"/>
          <w:highlight w:val="none"/>
        </w:rPr>
      </w:pPr>
      <w:r>
        <w:rPr>
          <w:rFonts w:hint="eastAsia" w:ascii="宋体" w:hAnsi="宋体" w:cs="宋体"/>
          <w:b/>
          <w:bCs/>
          <w:sz w:val="30"/>
          <w:szCs w:val="30"/>
          <w:highlight w:val="none"/>
        </w:rPr>
        <w:t>2024年</w:t>
      </w:r>
      <w:r>
        <w:rPr>
          <w:rFonts w:hint="eastAsia" w:ascii="宋体" w:hAnsi="宋体" w:cs="宋体"/>
          <w:b/>
          <w:bCs/>
          <w:sz w:val="30"/>
          <w:szCs w:val="30"/>
          <w:highlight w:val="none"/>
          <w:lang w:val="en-US" w:eastAsia="zh-CN"/>
        </w:rPr>
        <w:t>12</w:t>
      </w:r>
      <w:r>
        <w:rPr>
          <w:rFonts w:hint="eastAsia" w:ascii="宋体" w:hAnsi="宋体" w:cs="宋体"/>
          <w:b/>
          <w:bCs/>
          <w:sz w:val="30"/>
          <w:szCs w:val="30"/>
          <w:highlight w:val="none"/>
        </w:rPr>
        <w:t>月</w:t>
      </w:r>
    </w:p>
    <w:p w14:paraId="3A51D8BF">
      <w:pPr>
        <w:widowControl/>
        <w:ind w:firstLine="480"/>
        <w:jc w:val="center"/>
        <w:outlineLvl w:val="0"/>
        <w:rPr>
          <w:rFonts w:ascii="宋体" w:hAnsi="宋体" w:cs="宋体"/>
          <w:sz w:val="28"/>
          <w:szCs w:val="28"/>
          <w:highlight w:val="none"/>
        </w:rPr>
      </w:pPr>
      <w:r>
        <w:rPr>
          <w:rFonts w:hint="eastAsia" w:ascii="宋体" w:hAnsi="宋体" w:cs="宋体"/>
          <w:sz w:val="24"/>
          <w:szCs w:val="24"/>
          <w:highlight w:val="none"/>
        </w:rPr>
        <w:br w:type="page"/>
      </w:r>
      <w:bookmarkStart w:id="42" w:name="_Toc19377"/>
      <w:r>
        <w:rPr>
          <w:rFonts w:hint="eastAsia" w:ascii="宋体" w:hAnsi="宋体" w:cs="宋体"/>
          <w:b/>
          <w:bCs/>
          <w:sz w:val="32"/>
          <w:szCs w:val="32"/>
          <w:highlight w:val="none"/>
        </w:rPr>
        <w:t>第六章  项目采购需求</w:t>
      </w:r>
      <w:bookmarkEnd w:id="42"/>
    </w:p>
    <w:p w14:paraId="556E8900">
      <w:pPr>
        <w:keepNext w:val="0"/>
        <w:keepLines w:val="0"/>
        <w:pageBreakBefore w:val="0"/>
        <w:widowControl w:val="0"/>
        <w:kinsoku/>
        <w:wordWrap/>
        <w:overflowPunct/>
        <w:topLinePunct w:val="0"/>
        <w:autoSpaceDE/>
        <w:autoSpaceDN/>
        <w:bidi w:val="0"/>
        <w:adjustRightInd w:val="0"/>
        <w:snapToGrid w:val="0"/>
        <w:spacing w:before="157" w:beforeLines="50" w:afterLines="0"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一、项目概述【不作为打分项，供投标人投标参考】</w:t>
      </w:r>
    </w:p>
    <w:p w14:paraId="2E2EB733">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1.项目背景</w:t>
      </w:r>
    </w:p>
    <w:p w14:paraId="286824E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国家税务总局湖南省税务局数据中心是我省税收信息化建设的中枢，数据中心的安全稳定运行对全省税收业务的办理起着至关重要的作用。数据中心机房面积大，功能模块多，设备数量和种类多，应用系统相对复杂，整体运维管理难度较大。为实现数据中心“网络零中断、系统零故障、安全零问题、数据零差错”的运维总目标，实现故障处理的“快速发现、快速定位、快速处置、快速恢复”，不断推进数据中心基础设施管理机制和治理能力的现代化，确保数据中心7×24小时安全平稳高效运行，需购买高质量的运维服务。</w:t>
      </w:r>
    </w:p>
    <w:p w14:paraId="31779E9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省局数据中心目前是一个“逻辑合一，物理分散”的架构。在物理上由三个互为支撑、密切关联、协同处理数据并存储数据的区域构成。三个区域包括环保路机房、友谊路机房、省政府政务云机房中专属于税务部门的数据区域（以下简称省税务政务云机房）。</w:t>
      </w:r>
    </w:p>
    <w:p w14:paraId="74A79EA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val="0"/>
          <w:bCs w:val="0"/>
          <w:color w:val="auto"/>
          <w:highlight w:val="none"/>
          <w:lang w:val="en-US" w:eastAsia="zh-CN"/>
        </w:rPr>
        <w:t>采购本项目的目的是要保障省局数据中心所有的设备和系统安全可靠高效运行，要消除或控制计划外宕机，通过现代化的运维手段和制度实现数据中心的标准化管理，达到运维工作“监、管、控”一体化的工作目标。中标公司在本项目预算和合同期限内，需遵循数据中心运维管理的各项规章制度，按照省税务局“大运维”的统一框架，确保服务质量，帮助采购人优化和整理已有但较为分散的各种监控系统，补充必要功能，形成一个统一的现代化运维监控平台，提供巡检、维护等自动化维护工具，提高数据中心的运维工作质量和效率，实现故障处理“快速发现、快速定位、快速处置、快速恢复”的目标。</w:t>
      </w:r>
    </w:p>
    <w:p w14:paraId="04929464">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项目内容</w:t>
      </w:r>
    </w:p>
    <w:p w14:paraId="1B9FA3D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为国家税务总局湖南省税务局数据中心及其辅助工作区的环境类、IT类设备及系统软件提供12个月7×24小时人员驻场及相关软硬件设备运维服务。项目实施时间为：2025年1月1日至2025年12月31日。</w:t>
      </w:r>
    </w:p>
    <w:p w14:paraId="5E522F9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项目实施地点为环保路机房及辅助工作区域（机房；办公区B栋一楼、负一楼UPS电池间），友谊路机房及辅助工作区域（机房；办公区八楼整层；负一楼UPS室及电池间），省税务政务云机房（中国移动东方红路机房三楼；中国移动东方红路机房四楼），以及项目合同期内采购人可能的租赁或扩建区域。</w:t>
      </w:r>
    </w:p>
    <w:p w14:paraId="3887469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2.1项目人员驻场服务</w:t>
      </w:r>
    </w:p>
    <w:p w14:paraId="70A050F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机房值班值守服务。两个自建机房7*24小时双人值班值守，专门负责精密空调、UPS、供配电等动环设备巡检及动环系统监控，负责机房人员设备出入登记等，每个机房每班需安排2名人员值守，3班至少需要6名机房值守人员；租赁机房区7*24小时远程监控及每周巡查，复用自建机房值守人员。该项人员需求为6人；</w:t>
      </w:r>
    </w:p>
    <w:p w14:paraId="1627399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自建数据中心内所有设备及基础平台运维监控服务，主要提供小型机、存储、虚拟化平台等IT设备及系统的每日巡检、资源分配、故障处理等服务；项目随工服务，主要根据省局项目实施要求，提供技术支持和保障服务,如国产化替代服务，包括依据本省特色软件的替代工作安排，计划完成替换239套红帽操作系统、“一图管”系统配置更新服务等。该项人员需求为6人。</w:t>
      </w:r>
    </w:p>
    <w:p w14:paraId="7652793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2.2软硬件质保维修服务</w:t>
      </w:r>
    </w:p>
    <w:p w14:paraId="6CB74CB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提供环保路、友谊路机房及其辅助工作区域的所有环境类设备、IT类设备、系统软件；省税务政务云机房IT类设备、系统软件质保服务。</w:t>
      </w:r>
    </w:p>
    <w:p w14:paraId="4F40B3C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bookmarkStart w:id="56" w:name="_GoBack"/>
      <w:bookmarkEnd w:id="56"/>
      <w:r>
        <w:rPr>
          <w:rFonts w:hint="eastAsia" w:ascii="宋体" w:hAnsi="宋体" w:eastAsia="宋体" w:cs="宋体"/>
          <w:b w:val="0"/>
          <w:bCs w:val="0"/>
          <w:color w:val="auto"/>
          <w:highlight w:val="none"/>
          <w:lang w:val="en-US" w:eastAsia="zh-CN"/>
        </w:rPr>
        <w:t>2.3数据中心基础设施监控、配置、事件三类数据采集、汇总并推送至多云运维平台的支持服务</w:t>
      </w:r>
    </w:p>
    <w:p w14:paraId="45DD7DA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对环保路、友谊路、政务云租赁机房等省局数据中心的所有物理服务器、小型机、虚拟机、云平台、虚拟化平台、超融合等基础设施进行监控、配置、事件三类数据采集和汇总，其中物理服务器不少于693台，阿里云服务器119台，小型机14台，虚拟机不少于1921台）。采集方式包括：Agent、SNMP、SSH。</w:t>
      </w:r>
    </w:p>
    <w:p w14:paraId="7FCE0E88">
      <w:pPr>
        <w:keepNext w:val="0"/>
        <w:keepLines w:val="0"/>
        <w:pageBreakBefore w:val="0"/>
        <w:widowControl w:val="0"/>
        <w:kinsoku/>
        <w:wordWrap/>
        <w:overflowPunct/>
        <w:topLinePunct w:val="0"/>
        <w:autoSpaceDE/>
        <w:autoSpaceDN/>
        <w:bidi w:val="0"/>
        <w:adjustRightInd w:val="0"/>
        <w:snapToGrid w:val="0"/>
        <w:spacing w:before="157" w:beforeLines="50" w:afterLines="0"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val="en-US" w:eastAsia="zh-CN"/>
        </w:rPr>
        <w:t>响应要求</w:t>
      </w:r>
    </w:p>
    <w:p w14:paraId="7A6FBBD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bookmarkStart w:id="43" w:name="_Toc25476"/>
      <w:bookmarkStart w:id="44" w:name="_Toc9920"/>
      <w:bookmarkStart w:id="45" w:name="_Toc631988723"/>
      <w:bookmarkStart w:id="46" w:name="_Toc45358804"/>
      <w:bookmarkStart w:id="47" w:name="_Toc1159130478"/>
      <w:r>
        <w:rPr>
          <w:rFonts w:hint="eastAsia" w:ascii="宋体" w:hAnsi="宋体" w:eastAsia="宋体" w:cs="宋体"/>
          <w:b w:val="0"/>
          <w:bCs w:val="0"/>
          <w:color w:val="auto"/>
          <w:highlight w:val="none"/>
          <w:lang w:val="en-US" w:eastAsia="zh-CN"/>
        </w:rPr>
        <w:t>1.对投标文件的基本要求</w:t>
      </w:r>
      <w:bookmarkEnd w:id="43"/>
      <w:bookmarkEnd w:id="44"/>
      <w:bookmarkEnd w:id="45"/>
      <w:bookmarkEnd w:id="46"/>
      <w:bookmarkEnd w:id="47"/>
    </w:p>
    <w:p w14:paraId="0F9D171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1.1投标人投标文件的章节编排应参照商务部分的有关规定，投标人必须针对采购需求的服务内容、服务要求逐个或分块作出实质性响应，其响应应与招标文件内容采用同样的顺序。对每个需求的响应必须遵循如下规则：</w:t>
      </w:r>
    </w:p>
    <w:p w14:paraId="18A2F11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（1）重复该需求；</w:t>
      </w:r>
    </w:p>
    <w:p w14:paraId="6F84302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（2）用“是/否”响应来表明该需求是否被满足；</w:t>
      </w:r>
    </w:p>
    <w:p w14:paraId="131C2E0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（3）简要描述投标文件或投标方案如何满足该需求，如果该响应在投标文件其它部分有详述，可在该处简单应答，但必须给出确切的位置索引。</w:t>
      </w:r>
    </w:p>
    <w:p w14:paraId="191E54B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1.2对招标文件的应答应至少包含以下具体细节：</w:t>
      </w:r>
    </w:p>
    <w:p w14:paraId="004B66A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（1）对投标基本要求中有关内容的响应。</w:t>
      </w:r>
    </w:p>
    <w:p w14:paraId="1F38B8F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（2）对技术支持和服务需求的响应。若厂家可以提供需求以外的额外支持，可以在这一部分加以详细说明。</w:t>
      </w:r>
    </w:p>
    <w:p w14:paraId="705D2CC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（3）投标人认为对整个项目实施特别重要的建议。</w:t>
      </w:r>
    </w:p>
    <w:p w14:paraId="119330C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（4）提供投标文件（含附件）中涉及的所有说明或相关证明，并必须以中文描述。</w:t>
      </w:r>
    </w:p>
    <w:p w14:paraId="60E1377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2.供应商资质要求为符合《中华人民共和国采购法》第二十二条规定的资格条件。</w:t>
      </w:r>
    </w:p>
    <w:p w14:paraId="3D813A6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3.落实促进中小企业发展政策要求，所有项目应首先确定本采购标的对应的中小企业划分标准所属行业为 </w:t>
      </w:r>
      <w:r>
        <w:rPr>
          <w:rFonts w:hint="eastAsia" w:ascii="宋体" w:hAnsi="宋体" w:eastAsia="宋体" w:cs="宋体"/>
          <w:b w:val="0"/>
          <w:bCs w:val="0"/>
          <w:color w:val="auto"/>
          <w:highlight w:val="none"/>
          <w:u w:val="single"/>
          <w:lang w:val="en-US" w:eastAsia="zh-CN"/>
        </w:rPr>
        <w:t>软件和信息技术服务业</w:t>
      </w:r>
      <w:r>
        <w:rPr>
          <w:rFonts w:hint="eastAsia" w:ascii="宋体" w:hAnsi="宋体" w:eastAsia="宋体" w:cs="宋体"/>
          <w:b w:val="0"/>
          <w:bCs w:val="0"/>
          <w:color w:val="auto"/>
          <w:highlight w:val="none"/>
          <w:lang w:val="en-US" w:eastAsia="zh-CN"/>
        </w:rPr>
        <w:t>（请在横线处填报所属行业，如果一个采购项目涉及多个采购分包的，应当逐一明确所有采购分包对应的中小企业划分标准所属行业，中小企业划分标准所属行业参考《关于印发中小企业划型标准规定的通知》（工信部联企业〔2011〕300号））。</w:t>
      </w:r>
    </w:p>
    <w:p w14:paraId="57E2B64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本项目专门面向中小企业采购。</w:t>
      </w:r>
    </w:p>
    <w:p w14:paraId="2B12BD2D">
      <w:pPr>
        <w:keepNext w:val="0"/>
        <w:keepLines w:val="0"/>
        <w:pageBreakBefore w:val="0"/>
        <w:widowControl w:val="0"/>
        <w:kinsoku/>
        <w:wordWrap/>
        <w:overflowPunct/>
        <w:topLinePunct w:val="0"/>
        <w:autoSpaceDE/>
        <w:autoSpaceDN/>
        <w:bidi w:val="0"/>
        <w:adjustRightInd w:val="0"/>
        <w:snapToGrid w:val="0"/>
        <w:spacing w:before="157" w:beforeLines="50" w:afterLines="0" w:line="360" w:lineRule="auto"/>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lang w:val="en-US" w:eastAsia="zh-CN"/>
        </w:rPr>
        <w:t>要求</w:t>
      </w:r>
    </w:p>
    <w:p w14:paraId="7BD5730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eastAsia="zh-CN"/>
        </w:rPr>
        <w:t xml:space="preserve"> </w:t>
      </w:r>
      <w:r>
        <w:rPr>
          <w:rFonts w:hint="eastAsia" w:ascii="宋体" w:hAnsi="宋体" w:eastAsia="宋体" w:cs="宋体"/>
          <w:color w:val="auto"/>
          <w:sz w:val="21"/>
          <w:szCs w:val="21"/>
          <w:highlight w:val="none"/>
          <w:lang w:eastAsia="zh-CN"/>
        </w:rPr>
        <w:t>技术</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lang w:eastAsia="zh-CN"/>
        </w:rPr>
        <w:t>中有标注★号的，为必备服务要求，必须满足，如未作出响应，将导致投标无效。#为重要服务内容、</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 w:val="21"/>
          <w:szCs w:val="21"/>
          <w:highlight w:val="none"/>
          <w:lang w:eastAsia="zh-CN"/>
        </w:rPr>
        <w:t>为一般服务内容。“证明材料要求”项注明了材料要求的，投标人须按要求提供包含相关指标项的证明材料，未提供有效证明材料或证明材料中内容与所填报指标不一致的，该指标按不满足处理。</w:t>
      </w:r>
    </w:p>
    <w:p w14:paraId="7ACACB85">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3.1 整体服务内容需求</w:t>
      </w:r>
    </w:p>
    <w:p w14:paraId="05F6D89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本项目的</w:t>
      </w:r>
      <w:r>
        <w:rPr>
          <w:rFonts w:hint="eastAsia" w:ascii="宋体" w:hAnsi="宋体" w:eastAsia="宋体" w:cs="宋体"/>
          <w:color w:val="auto"/>
          <w:sz w:val="21"/>
          <w:szCs w:val="21"/>
          <w:highlight w:val="none"/>
          <w:lang w:val="en-US" w:eastAsia="zh-CN"/>
        </w:rPr>
        <w:t>整体</w:t>
      </w:r>
      <w:r>
        <w:rPr>
          <w:rFonts w:hint="eastAsia" w:ascii="宋体" w:hAnsi="宋体" w:eastAsia="宋体" w:cs="宋体"/>
          <w:color w:val="auto"/>
          <w:sz w:val="21"/>
          <w:szCs w:val="21"/>
          <w:highlight w:val="none"/>
          <w:lang w:eastAsia="zh-CN"/>
        </w:rPr>
        <w:t>服务要求是保障数据中心的基础设施和系统7×24小时安全稳定高效运行，</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lang w:eastAsia="zh-CN"/>
        </w:rPr>
        <w:t>《绿色数据中心政府采购需求标准（试行）》</w:t>
      </w:r>
      <w:r>
        <w:rPr>
          <w:rFonts w:hint="eastAsia" w:ascii="宋体" w:hAnsi="宋体" w:eastAsia="宋体" w:cs="宋体"/>
          <w:color w:val="auto"/>
          <w:sz w:val="21"/>
          <w:szCs w:val="21"/>
          <w:highlight w:val="none"/>
          <w:lang w:val="en-US" w:eastAsia="zh-CN"/>
        </w:rPr>
        <w:t>中数据中心运行维护的相关标准和要求。</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114"/>
        <w:gridCol w:w="4277"/>
        <w:gridCol w:w="1091"/>
        <w:gridCol w:w="1370"/>
      </w:tblGrid>
      <w:tr w14:paraId="04C0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E72D9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114" w:type="dxa"/>
            <w:vAlign w:val="center"/>
          </w:tcPr>
          <w:p w14:paraId="22D345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指标名称</w:t>
            </w:r>
          </w:p>
        </w:tc>
        <w:tc>
          <w:tcPr>
            <w:tcW w:w="4277" w:type="dxa"/>
            <w:vAlign w:val="center"/>
          </w:tcPr>
          <w:p w14:paraId="4AB0C5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指标内容</w:t>
            </w:r>
          </w:p>
        </w:tc>
        <w:tc>
          <w:tcPr>
            <w:tcW w:w="1091" w:type="dxa"/>
            <w:vAlign w:val="center"/>
          </w:tcPr>
          <w:p w14:paraId="6DB372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370" w:type="dxa"/>
            <w:vAlign w:val="center"/>
          </w:tcPr>
          <w:p w14:paraId="1BE6EF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是否需要证明材料</w:t>
            </w:r>
          </w:p>
        </w:tc>
      </w:tr>
      <w:tr w14:paraId="58A9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restart"/>
            <w:vAlign w:val="center"/>
          </w:tcPr>
          <w:p w14:paraId="305727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p>
        </w:tc>
        <w:tc>
          <w:tcPr>
            <w:tcW w:w="1114" w:type="dxa"/>
            <w:vMerge w:val="restart"/>
            <w:vAlign w:val="center"/>
          </w:tcPr>
          <w:p w14:paraId="787480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机房出入管理</w:t>
            </w:r>
          </w:p>
        </w:tc>
        <w:tc>
          <w:tcPr>
            <w:tcW w:w="4277" w:type="dxa"/>
            <w:vAlign w:val="center"/>
          </w:tcPr>
          <w:p w14:paraId="28C2EA4F">
            <w:pPr>
              <w:widowControl/>
              <w:spacing w:line="400" w:lineRule="exact"/>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人员出入管理</w:t>
            </w:r>
          </w:p>
          <w:p w14:paraId="381A90BA">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对机房的人员出入进行整体管理，并依据机房管理制度对进出机房的人员进行登记和审核，每月向采购人提交机房进出登记情况。</w:t>
            </w:r>
          </w:p>
        </w:tc>
        <w:tc>
          <w:tcPr>
            <w:tcW w:w="1091" w:type="dxa"/>
            <w:vMerge w:val="restart"/>
            <w:vAlign w:val="center"/>
          </w:tcPr>
          <w:p w14:paraId="0F19E6B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p>
        </w:tc>
        <w:tc>
          <w:tcPr>
            <w:tcW w:w="1370" w:type="dxa"/>
            <w:vMerge w:val="restart"/>
            <w:vAlign w:val="center"/>
          </w:tcPr>
          <w:p w14:paraId="751F9F7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否</w:t>
            </w:r>
          </w:p>
        </w:tc>
      </w:tr>
      <w:tr w14:paraId="1E30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vAlign w:val="center"/>
          </w:tcPr>
          <w:p w14:paraId="7EC4CCE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sz w:val="21"/>
                <w:szCs w:val="21"/>
                <w:highlight w:val="none"/>
              </w:rPr>
            </w:pPr>
          </w:p>
        </w:tc>
        <w:tc>
          <w:tcPr>
            <w:tcW w:w="1114" w:type="dxa"/>
            <w:vMerge w:val="continue"/>
            <w:vAlign w:val="center"/>
          </w:tcPr>
          <w:p w14:paraId="14FA8D9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sz w:val="21"/>
                <w:szCs w:val="21"/>
                <w:highlight w:val="none"/>
              </w:rPr>
            </w:pPr>
          </w:p>
        </w:tc>
        <w:tc>
          <w:tcPr>
            <w:tcW w:w="4277" w:type="dxa"/>
            <w:vAlign w:val="center"/>
          </w:tcPr>
          <w:p w14:paraId="5D4FBE52">
            <w:pPr>
              <w:widowControl/>
              <w:spacing w:line="400" w:lineRule="exact"/>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设备准入及准出管理</w:t>
            </w:r>
          </w:p>
          <w:p w14:paraId="06687839">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对环保路</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友谊路</w:t>
            </w:r>
            <w:r>
              <w:rPr>
                <w:rFonts w:hint="eastAsia" w:ascii="宋体" w:hAnsi="宋体" w:eastAsia="宋体" w:cs="宋体"/>
                <w:sz w:val="21"/>
                <w:szCs w:val="21"/>
                <w:highlight w:val="none"/>
                <w:lang w:eastAsia="zh-CN"/>
              </w:rPr>
              <w:t>和政务云</w:t>
            </w:r>
            <w:r>
              <w:rPr>
                <w:rFonts w:hint="eastAsia" w:ascii="宋体" w:hAnsi="宋体" w:eastAsia="宋体" w:cs="宋体"/>
                <w:sz w:val="21"/>
                <w:szCs w:val="21"/>
                <w:highlight w:val="none"/>
              </w:rPr>
              <w:t>机房设备出入进行整体管理，对机房设备进出情况进行登记和审核，每月向采购人提交机房设备进出情况和在用设备列表（含设备品牌、型号、安装位置、IP、登记用途等）。</w:t>
            </w:r>
          </w:p>
        </w:tc>
        <w:tc>
          <w:tcPr>
            <w:tcW w:w="1091" w:type="dxa"/>
            <w:vMerge w:val="continue"/>
            <w:vAlign w:val="center"/>
          </w:tcPr>
          <w:p w14:paraId="4CE3871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sz w:val="21"/>
                <w:szCs w:val="21"/>
                <w:highlight w:val="none"/>
              </w:rPr>
            </w:pPr>
          </w:p>
        </w:tc>
        <w:tc>
          <w:tcPr>
            <w:tcW w:w="1370" w:type="dxa"/>
            <w:vMerge w:val="continue"/>
            <w:vAlign w:val="center"/>
          </w:tcPr>
          <w:p w14:paraId="64EF6EB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sz w:val="21"/>
                <w:szCs w:val="21"/>
                <w:highlight w:val="none"/>
              </w:rPr>
            </w:pPr>
          </w:p>
        </w:tc>
      </w:tr>
      <w:tr w14:paraId="19C7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vAlign w:val="center"/>
          </w:tcPr>
          <w:p w14:paraId="2DC7B49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sz w:val="21"/>
                <w:szCs w:val="21"/>
                <w:highlight w:val="none"/>
                <w:lang w:eastAsia="zh-CN"/>
              </w:rPr>
            </w:pPr>
          </w:p>
        </w:tc>
        <w:tc>
          <w:tcPr>
            <w:tcW w:w="1114" w:type="dxa"/>
            <w:vMerge w:val="continue"/>
            <w:vAlign w:val="center"/>
          </w:tcPr>
          <w:p w14:paraId="74B57C4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sz w:val="21"/>
                <w:szCs w:val="21"/>
                <w:highlight w:val="none"/>
              </w:rPr>
            </w:pPr>
          </w:p>
        </w:tc>
        <w:tc>
          <w:tcPr>
            <w:tcW w:w="4277" w:type="dxa"/>
            <w:vAlign w:val="center"/>
          </w:tcPr>
          <w:p w14:paraId="286E22CE">
            <w:pPr>
              <w:widowControl/>
              <w:spacing w:line="400" w:lineRule="exact"/>
              <w:contextualSpacing/>
              <w:jc w:val="left"/>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仓库管理</w:t>
            </w:r>
          </w:p>
          <w:p w14:paraId="51B604AB">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按采购人要求，对</w:t>
            </w:r>
            <w:r>
              <w:rPr>
                <w:rFonts w:hint="eastAsia" w:ascii="宋体" w:hAnsi="宋体" w:eastAsia="宋体" w:cs="宋体"/>
                <w:sz w:val="21"/>
                <w:szCs w:val="21"/>
                <w:highlight w:val="none"/>
              </w:rPr>
              <w:t>环保路和友谊路</w:t>
            </w:r>
            <w:r>
              <w:rPr>
                <w:rFonts w:hint="eastAsia" w:ascii="宋体" w:hAnsi="宋体" w:eastAsia="宋体" w:cs="宋体"/>
                <w:sz w:val="21"/>
                <w:szCs w:val="21"/>
                <w:highlight w:val="none"/>
                <w:lang w:eastAsia="zh-CN"/>
              </w:rPr>
              <w:t>机房配件仓库进行管理，依据采购人清单式、货架式和一账式相关规定，在仓库内建立货架并分类编号，每月向采购人提交配件进出清单并及时更新一账式系统。</w:t>
            </w:r>
          </w:p>
        </w:tc>
        <w:tc>
          <w:tcPr>
            <w:tcW w:w="1091" w:type="dxa"/>
            <w:vMerge w:val="restart"/>
            <w:vAlign w:val="center"/>
          </w:tcPr>
          <w:p w14:paraId="613BC81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sz w:val="21"/>
                <w:szCs w:val="21"/>
                <w:highlight w:val="none"/>
              </w:rPr>
            </w:pPr>
            <w:r>
              <w:rPr>
                <w:rFonts w:hint="eastAsia" w:ascii="宋体" w:hAnsi="宋体" w:eastAsia="宋体" w:cs="宋体"/>
                <w:b w:val="0"/>
                <w:bCs/>
                <w:color w:val="auto"/>
                <w:sz w:val="21"/>
                <w:szCs w:val="21"/>
                <w:highlight w:val="none"/>
                <w:lang w:eastAsia="zh-CN"/>
              </w:rPr>
              <w:t>△</w:t>
            </w:r>
          </w:p>
        </w:tc>
        <w:tc>
          <w:tcPr>
            <w:tcW w:w="1370" w:type="dxa"/>
            <w:vMerge w:val="continue"/>
            <w:vAlign w:val="center"/>
          </w:tcPr>
          <w:p w14:paraId="466E75A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sz w:val="21"/>
                <w:szCs w:val="21"/>
                <w:highlight w:val="none"/>
              </w:rPr>
            </w:pPr>
          </w:p>
        </w:tc>
      </w:tr>
      <w:tr w14:paraId="279E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vAlign w:val="center"/>
          </w:tcPr>
          <w:p w14:paraId="63E8210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sz w:val="21"/>
                <w:szCs w:val="21"/>
                <w:highlight w:val="none"/>
                <w:lang w:val="en-US" w:eastAsia="zh-CN"/>
              </w:rPr>
            </w:pPr>
          </w:p>
        </w:tc>
        <w:tc>
          <w:tcPr>
            <w:tcW w:w="1114" w:type="dxa"/>
            <w:vMerge w:val="continue"/>
            <w:vAlign w:val="center"/>
          </w:tcPr>
          <w:p w14:paraId="2822563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sz w:val="21"/>
                <w:szCs w:val="21"/>
                <w:highlight w:val="none"/>
              </w:rPr>
            </w:pPr>
          </w:p>
        </w:tc>
        <w:tc>
          <w:tcPr>
            <w:tcW w:w="4277" w:type="dxa"/>
            <w:vAlign w:val="center"/>
          </w:tcPr>
          <w:p w14:paraId="6A6268D7">
            <w:pPr>
              <w:widowControl/>
              <w:spacing w:line="400" w:lineRule="exact"/>
              <w:contextualSpacing/>
              <w:jc w:val="left"/>
              <w:textAlignment w:val="center"/>
              <w:rPr>
                <w:rFonts w:hint="eastAsia" w:ascii="宋体" w:hAnsi="宋体" w:eastAsia="宋体" w:cs="宋体"/>
                <w:b w:val="0"/>
                <w:sz w:val="21"/>
                <w:szCs w:val="21"/>
                <w:highlight w:val="none"/>
              </w:rPr>
            </w:pPr>
            <w:r>
              <w:rPr>
                <w:rFonts w:hint="eastAsia" w:ascii="宋体" w:hAnsi="宋体" w:eastAsia="宋体" w:cs="宋体"/>
                <w:sz w:val="21"/>
                <w:szCs w:val="21"/>
                <w:highlight w:val="none"/>
              </w:rPr>
              <w:t>行为管理</w:t>
            </w:r>
          </w:p>
          <w:p w14:paraId="4CD3A03A">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依据机房管理制度对进入机房人员的行为进行管理，外来人员进入机房时必须有值班人员全程陪同，外来人员的操作必须经事前审批。</w:t>
            </w:r>
          </w:p>
        </w:tc>
        <w:tc>
          <w:tcPr>
            <w:tcW w:w="1091" w:type="dxa"/>
            <w:vMerge w:val="continue"/>
            <w:vAlign w:val="center"/>
          </w:tcPr>
          <w:p w14:paraId="177080F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sz w:val="21"/>
                <w:szCs w:val="21"/>
                <w:highlight w:val="none"/>
              </w:rPr>
            </w:pPr>
          </w:p>
        </w:tc>
        <w:tc>
          <w:tcPr>
            <w:tcW w:w="1370" w:type="dxa"/>
            <w:vMerge w:val="continue"/>
            <w:vAlign w:val="center"/>
          </w:tcPr>
          <w:p w14:paraId="0532A76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sz w:val="21"/>
                <w:szCs w:val="21"/>
                <w:highlight w:val="none"/>
              </w:rPr>
            </w:pPr>
          </w:p>
        </w:tc>
      </w:tr>
      <w:tr w14:paraId="6F00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620BA6F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sz w:val="21"/>
                <w:szCs w:val="21"/>
                <w:highlight w:val="none"/>
              </w:rPr>
            </w:pPr>
          </w:p>
        </w:tc>
      </w:tr>
      <w:tr w14:paraId="7426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restart"/>
            <w:vAlign w:val="center"/>
          </w:tcPr>
          <w:p w14:paraId="6DE292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14" w:type="dxa"/>
            <w:vMerge w:val="restart"/>
            <w:vAlign w:val="center"/>
          </w:tcPr>
          <w:p w14:paraId="53A808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值班</w:t>
            </w:r>
            <w:r>
              <w:rPr>
                <w:rFonts w:hint="eastAsia" w:ascii="宋体" w:hAnsi="宋体" w:eastAsia="宋体" w:cs="宋体"/>
                <w:sz w:val="21"/>
                <w:szCs w:val="21"/>
                <w:highlight w:val="none"/>
                <w:lang w:eastAsia="zh-CN"/>
              </w:rPr>
              <w:t>值守</w:t>
            </w:r>
          </w:p>
        </w:tc>
        <w:tc>
          <w:tcPr>
            <w:tcW w:w="4277" w:type="dxa"/>
            <w:vAlign w:val="center"/>
          </w:tcPr>
          <w:p w14:paraId="6D6BDD19">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为环保路机房提供7×24小时值班保障服务，采购人上班时间段值班人员每班不少于</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人，其他时间每班不少于</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人。</w:t>
            </w:r>
          </w:p>
        </w:tc>
        <w:tc>
          <w:tcPr>
            <w:tcW w:w="1091" w:type="dxa"/>
            <w:vMerge w:val="restart"/>
            <w:vAlign w:val="center"/>
          </w:tcPr>
          <w:p w14:paraId="370F9E4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p>
        </w:tc>
        <w:tc>
          <w:tcPr>
            <w:tcW w:w="1370" w:type="dxa"/>
            <w:vMerge w:val="restart"/>
            <w:vAlign w:val="center"/>
          </w:tcPr>
          <w:p w14:paraId="67D6FF3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否</w:t>
            </w:r>
          </w:p>
        </w:tc>
      </w:tr>
      <w:tr w14:paraId="32C0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vAlign w:val="center"/>
          </w:tcPr>
          <w:p w14:paraId="60F2EDA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sz w:val="21"/>
                <w:szCs w:val="21"/>
                <w:highlight w:val="none"/>
                <w:lang w:val="en-US" w:eastAsia="zh-CN"/>
              </w:rPr>
            </w:pPr>
          </w:p>
        </w:tc>
        <w:tc>
          <w:tcPr>
            <w:tcW w:w="1114" w:type="dxa"/>
            <w:vMerge w:val="continue"/>
            <w:vAlign w:val="center"/>
          </w:tcPr>
          <w:p w14:paraId="0A8453FC">
            <w:pPr>
              <w:spacing w:line="400" w:lineRule="exact"/>
              <w:ind w:firstLine="420" w:firstLineChars="200"/>
              <w:contextualSpacing/>
              <w:rPr>
                <w:rFonts w:hint="eastAsia" w:ascii="宋体" w:hAnsi="宋体" w:eastAsia="宋体" w:cs="宋体"/>
                <w:sz w:val="21"/>
                <w:szCs w:val="21"/>
                <w:highlight w:val="none"/>
              </w:rPr>
            </w:pPr>
          </w:p>
        </w:tc>
        <w:tc>
          <w:tcPr>
            <w:tcW w:w="4277" w:type="dxa"/>
            <w:vAlign w:val="center"/>
          </w:tcPr>
          <w:p w14:paraId="48036B56">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为友谊路机房提供7×24小时值班值守服务，采购人上班时间值班人员每班不少于2人，其他时间段每班值班值守人员不少于</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人。</w:t>
            </w:r>
          </w:p>
        </w:tc>
        <w:tc>
          <w:tcPr>
            <w:tcW w:w="1091" w:type="dxa"/>
            <w:vMerge w:val="continue"/>
            <w:vAlign w:val="center"/>
          </w:tcPr>
          <w:p w14:paraId="69D6BAAA">
            <w:pPr>
              <w:spacing w:line="400" w:lineRule="exact"/>
              <w:ind w:firstLine="420" w:firstLineChars="200"/>
              <w:contextualSpacing/>
              <w:rPr>
                <w:rFonts w:hint="eastAsia" w:ascii="宋体" w:hAnsi="宋体" w:eastAsia="宋体" w:cs="宋体"/>
                <w:sz w:val="21"/>
                <w:szCs w:val="21"/>
                <w:highlight w:val="none"/>
              </w:rPr>
            </w:pPr>
          </w:p>
        </w:tc>
        <w:tc>
          <w:tcPr>
            <w:tcW w:w="1370" w:type="dxa"/>
            <w:vMerge w:val="continue"/>
            <w:vAlign w:val="center"/>
          </w:tcPr>
          <w:p w14:paraId="388BECF3">
            <w:pPr>
              <w:spacing w:line="400" w:lineRule="exact"/>
              <w:ind w:firstLine="420" w:firstLineChars="200"/>
              <w:contextualSpacing/>
              <w:rPr>
                <w:rFonts w:hint="eastAsia" w:ascii="宋体" w:hAnsi="宋体" w:eastAsia="宋体" w:cs="宋体"/>
                <w:sz w:val="21"/>
                <w:szCs w:val="21"/>
                <w:highlight w:val="none"/>
              </w:rPr>
            </w:pPr>
          </w:p>
        </w:tc>
      </w:tr>
      <w:tr w14:paraId="6D22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vAlign w:val="center"/>
          </w:tcPr>
          <w:p w14:paraId="1BCF7D1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sz w:val="21"/>
                <w:szCs w:val="21"/>
                <w:highlight w:val="none"/>
                <w:lang w:val="en-US" w:eastAsia="zh-CN"/>
              </w:rPr>
            </w:pPr>
          </w:p>
        </w:tc>
        <w:tc>
          <w:tcPr>
            <w:tcW w:w="1114" w:type="dxa"/>
            <w:vMerge w:val="continue"/>
            <w:vAlign w:val="center"/>
          </w:tcPr>
          <w:p w14:paraId="426324D7">
            <w:pPr>
              <w:spacing w:line="400" w:lineRule="exact"/>
              <w:ind w:firstLine="420" w:firstLineChars="200"/>
              <w:contextualSpacing/>
              <w:rPr>
                <w:rFonts w:hint="eastAsia" w:ascii="宋体" w:hAnsi="宋体" w:eastAsia="宋体" w:cs="宋体"/>
                <w:sz w:val="21"/>
                <w:szCs w:val="21"/>
                <w:highlight w:val="none"/>
              </w:rPr>
            </w:pPr>
          </w:p>
        </w:tc>
        <w:tc>
          <w:tcPr>
            <w:tcW w:w="4277" w:type="dxa"/>
            <w:vAlign w:val="center"/>
          </w:tcPr>
          <w:p w14:paraId="52C28CE0">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值班必须由驻场运维人员承担</w:t>
            </w:r>
            <w:r>
              <w:rPr>
                <w:rFonts w:hint="eastAsia" w:ascii="宋体" w:hAnsi="宋体" w:eastAsia="宋体" w:cs="宋体"/>
                <w:sz w:val="21"/>
                <w:szCs w:val="21"/>
                <w:highlight w:val="none"/>
                <w:lang w:eastAsia="zh-CN"/>
              </w:rPr>
              <w:t>，各时段值班人员中至少有</w:t>
            </w:r>
            <w:r>
              <w:rPr>
                <w:rFonts w:hint="eastAsia" w:ascii="宋体" w:hAnsi="宋体" w:eastAsia="宋体" w:cs="宋体"/>
                <w:sz w:val="21"/>
                <w:szCs w:val="21"/>
                <w:highlight w:val="none"/>
                <w:lang w:val="en-US" w:eastAsia="zh-CN"/>
              </w:rPr>
              <w:t>1人</w:t>
            </w:r>
            <w:r>
              <w:rPr>
                <w:rFonts w:hint="eastAsia" w:ascii="宋体" w:hAnsi="宋体" w:eastAsia="宋体" w:cs="宋体"/>
                <w:sz w:val="21"/>
                <w:szCs w:val="21"/>
                <w:highlight w:val="none"/>
                <w:lang w:eastAsia="zh-CN"/>
              </w:rPr>
              <w:t>需持有电工或暖通作业证</w:t>
            </w:r>
            <w:r>
              <w:rPr>
                <w:rFonts w:hint="eastAsia" w:ascii="宋体" w:hAnsi="宋体" w:eastAsia="宋体" w:cs="宋体"/>
                <w:sz w:val="21"/>
                <w:szCs w:val="21"/>
                <w:highlight w:val="none"/>
              </w:rPr>
              <w:t>。</w:t>
            </w:r>
          </w:p>
        </w:tc>
        <w:tc>
          <w:tcPr>
            <w:tcW w:w="1091" w:type="dxa"/>
            <w:vMerge w:val="continue"/>
            <w:vAlign w:val="center"/>
          </w:tcPr>
          <w:p w14:paraId="16220223">
            <w:pPr>
              <w:spacing w:line="400" w:lineRule="exact"/>
              <w:ind w:firstLine="420" w:firstLineChars="200"/>
              <w:contextualSpacing/>
              <w:rPr>
                <w:rFonts w:hint="eastAsia" w:ascii="宋体" w:hAnsi="宋体" w:eastAsia="宋体" w:cs="宋体"/>
                <w:sz w:val="21"/>
                <w:szCs w:val="21"/>
                <w:highlight w:val="none"/>
              </w:rPr>
            </w:pPr>
          </w:p>
        </w:tc>
        <w:tc>
          <w:tcPr>
            <w:tcW w:w="1370" w:type="dxa"/>
            <w:vMerge w:val="continue"/>
            <w:vAlign w:val="center"/>
          </w:tcPr>
          <w:p w14:paraId="74F1E585">
            <w:pPr>
              <w:spacing w:line="400" w:lineRule="exact"/>
              <w:ind w:firstLine="420" w:firstLineChars="200"/>
              <w:contextualSpacing/>
              <w:rPr>
                <w:rFonts w:hint="eastAsia" w:ascii="宋体" w:hAnsi="宋体" w:eastAsia="宋体" w:cs="宋体"/>
                <w:sz w:val="21"/>
                <w:szCs w:val="21"/>
                <w:highlight w:val="none"/>
              </w:rPr>
            </w:pPr>
          </w:p>
        </w:tc>
      </w:tr>
      <w:tr w14:paraId="3725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vAlign w:val="center"/>
          </w:tcPr>
          <w:p w14:paraId="44C84AF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sz w:val="21"/>
                <w:szCs w:val="21"/>
                <w:highlight w:val="none"/>
                <w:lang w:val="en-US" w:eastAsia="zh-CN"/>
              </w:rPr>
            </w:pPr>
          </w:p>
        </w:tc>
        <w:tc>
          <w:tcPr>
            <w:tcW w:w="1114" w:type="dxa"/>
            <w:vMerge w:val="continue"/>
            <w:vAlign w:val="center"/>
          </w:tcPr>
          <w:p w14:paraId="147F078C">
            <w:pPr>
              <w:spacing w:line="400" w:lineRule="exact"/>
              <w:ind w:firstLine="420" w:firstLineChars="200"/>
              <w:contextualSpacing/>
              <w:rPr>
                <w:rFonts w:hint="eastAsia" w:ascii="宋体" w:hAnsi="宋体" w:eastAsia="宋体" w:cs="宋体"/>
                <w:sz w:val="21"/>
                <w:szCs w:val="21"/>
                <w:highlight w:val="none"/>
              </w:rPr>
            </w:pPr>
          </w:p>
        </w:tc>
        <w:tc>
          <w:tcPr>
            <w:tcW w:w="4277" w:type="dxa"/>
            <w:vAlign w:val="center"/>
          </w:tcPr>
          <w:p w14:paraId="357E21CE">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各班要填写交接登记表、值班情况表</w:t>
            </w:r>
            <w:r>
              <w:rPr>
                <w:rFonts w:hint="eastAsia" w:ascii="宋体" w:hAnsi="宋体" w:eastAsia="宋体" w:cs="宋体"/>
                <w:sz w:val="21"/>
                <w:szCs w:val="21"/>
                <w:highlight w:val="none"/>
                <w:lang w:eastAsia="zh-CN"/>
              </w:rPr>
              <w:t>（除记录设备状态信息外，还应记录设备指标信息）</w:t>
            </w:r>
            <w:r>
              <w:rPr>
                <w:rFonts w:hint="eastAsia" w:ascii="宋体" w:hAnsi="宋体" w:eastAsia="宋体" w:cs="宋体"/>
                <w:sz w:val="21"/>
                <w:szCs w:val="21"/>
                <w:highlight w:val="none"/>
              </w:rPr>
              <w:t>。</w:t>
            </w:r>
          </w:p>
        </w:tc>
        <w:tc>
          <w:tcPr>
            <w:tcW w:w="1091" w:type="dxa"/>
            <w:vMerge w:val="continue"/>
            <w:vAlign w:val="center"/>
          </w:tcPr>
          <w:p w14:paraId="6202902F">
            <w:pPr>
              <w:spacing w:line="400" w:lineRule="exact"/>
              <w:ind w:firstLine="420" w:firstLineChars="200"/>
              <w:contextualSpacing/>
              <w:rPr>
                <w:rFonts w:hint="eastAsia" w:ascii="宋体" w:hAnsi="宋体" w:eastAsia="宋体" w:cs="宋体"/>
                <w:sz w:val="21"/>
                <w:szCs w:val="21"/>
                <w:highlight w:val="none"/>
              </w:rPr>
            </w:pPr>
          </w:p>
        </w:tc>
        <w:tc>
          <w:tcPr>
            <w:tcW w:w="1370" w:type="dxa"/>
            <w:vMerge w:val="continue"/>
            <w:vAlign w:val="center"/>
          </w:tcPr>
          <w:p w14:paraId="2920B5F6">
            <w:pPr>
              <w:spacing w:line="400" w:lineRule="exact"/>
              <w:ind w:firstLine="420" w:firstLineChars="200"/>
              <w:contextualSpacing/>
              <w:rPr>
                <w:rFonts w:hint="eastAsia" w:ascii="宋体" w:hAnsi="宋体" w:eastAsia="宋体" w:cs="宋体"/>
                <w:sz w:val="21"/>
                <w:szCs w:val="21"/>
                <w:highlight w:val="none"/>
              </w:rPr>
            </w:pPr>
          </w:p>
        </w:tc>
      </w:tr>
      <w:tr w14:paraId="48F3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vAlign w:val="center"/>
          </w:tcPr>
          <w:p w14:paraId="7C1BB5D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sz w:val="21"/>
                <w:szCs w:val="21"/>
                <w:highlight w:val="none"/>
                <w:lang w:val="en-US" w:eastAsia="zh-CN"/>
              </w:rPr>
            </w:pPr>
          </w:p>
        </w:tc>
        <w:tc>
          <w:tcPr>
            <w:tcW w:w="1114" w:type="dxa"/>
            <w:vMerge w:val="continue"/>
            <w:vAlign w:val="center"/>
          </w:tcPr>
          <w:p w14:paraId="6C3A50BB">
            <w:pPr>
              <w:spacing w:line="400" w:lineRule="exact"/>
              <w:ind w:firstLine="420" w:firstLineChars="200"/>
              <w:contextualSpacing/>
              <w:rPr>
                <w:rFonts w:hint="eastAsia" w:ascii="宋体" w:hAnsi="宋体" w:eastAsia="宋体" w:cs="宋体"/>
                <w:sz w:val="21"/>
                <w:szCs w:val="21"/>
                <w:highlight w:val="none"/>
              </w:rPr>
            </w:pPr>
          </w:p>
        </w:tc>
        <w:tc>
          <w:tcPr>
            <w:tcW w:w="4277" w:type="dxa"/>
            <w:vAlign w:val="center"/>
          </w:tcPr>
          <w:p w14:paraId="639AC164">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值班地点：环保路机房运维间、友谊路机房运维间</w:t>
            </w:r>
          </w:p>
        </w:tc>
        <w:tc>
          <w:tcPr>
            <w:tcW w:w="1091" w:type="dxa"/>
            <w:vMerge w:val="continue"/>
            <w:vAlign w:val="center"/>
          </w:tcPr>
          <w:p w14:paraId="5CF39D18">
            <w:pPr>
              <w:spacing w:line="400" w:lineRule="exact"/>
              <w:ind w:firstLine="420" w:firstLineChars="200"/>
              <w:contextualSpacing/>
              <w:rPr>
                <w:rFonts w:hint="eastAsia" w:ascii="宋体" w:hAnsi="宋体" w:eastAsia="宋体" w:cs="宋体"/>
                <w:sz w:val="21"/>
                <w:szCs w:val="21"/>
                <w:highlight w:val="none"/>
              </w:rPr>
            </w:pPr>
          </w:p>
        </w:tc>
        <w:tc>
          <w:tcPr>
            <w:tcW w:w="1370" w:type="dxa"/>
            <w:vMerge w:val="continue"/>
            <w:vAlign w:val="center"/>
          </w:tcPr>
          <w:p w14:paraId="2626378C">
            <w:pPr>
              <w:spacing w:line="400" w:lineRule="exact"/>
              <w:ind w:firstLine="420" w:firstLineChars="200"/>
              <w:contextualSpacing/>
              <w:rPr>
                <w:rFonts w:hint="eastAsia" w:ascii="宋体" w:hAnsi="宋体" w:eastAsia="宋体" w:cs="宋体"/>
                <w:sz w:val="21"/>
                <w:szCs w:val="21"/>
                <w:highlight w:val="none"/>
              </w:rPr>
            </w:pPr>
          </w:p>
        </w:tc>
      </w:tr>
      <w:tr w14:paraId="78B0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Merge w:val="continue"/>
            <w:vAlign w:val="center"/>
          </w:tcPr>
          <w:p w14:paraId="412FBD7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sz w:val="21"/>
                <w:szCs w:val="21"/>
                <w:highlight w:val="none"/>
                <w:lang w:val="en-US" w:eastAsia="zh-CN"/>
              </w:rPr>
            </w:pPr>
          </w:p>
        </w:tc>
        <w:tc>
          <w:tcPr>
            <w:tcW w:w="1114" w:type="dxa"/>
            <w:vMerge w:val="continue"/>
            <w:vAlign w:val="center"/>
          </w:tcPr>
          <w:p w14:paraId="14AFB593">
            <w:pPr>
              <w:spacing w:line="400" w:lineRule="exact"/>
              <w:ind w:firstLine="420" w:firstLineChars="200"/>
              <w:contextualSpacing/>
              <w:rPr>
                <w:rFonts w:hint="eastAsia" w:ascii="宋体" w:hAnsi="宋体" w:eastAsia="宋体" w:cs="宋体"/>
                <w:sz w:val="21"/>
                <w:szCs w:val="21"/>
                <w:highlight w:val="none"/>
              </w:rPr>
            </w:pPr>
          </w:p>
        </w:tc>
        <w:tc>
          <w:tcPr>
            <w:tcW w:w="4277" w:type="dxa"/>
            <w:vAlign w:val="center"/>
          </w:tcPr>
          <w:p w14:paraId="3E2F49D0">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值班工作内容包括：日常运维、巡检监控、故障处理、</w:t>
            </w:r>
            <w:r>
              <w:rPr>
                <w:rFonts w:hint="eastAsia" w:ascii="宋体" w:hAnsi="宋体" w:eastAsia="宋体" w:cs="宋体"/>
                <w:sz w:val="21"/>
                <w:szCs w:val="21"/>
                <w:highlight w:val="none"/>
                <w:lang w:eastAsia="zh-CN"/>
              </w:rPr>
              <w:t>应急处置、</w:t>
            </w:r>
            <w:r>
              <w:rPr>
                <w:rFonts w:hint="eastAsia" w:ascii="宋体" w:hAnsi="宋体" w:eastAsia="宋体" w:cs="宋体"/>
                <w:sz w:val="21"/>
                <w:szCs w:val="21"/>
                <w:highlight w:val="none"/>
              </w:rPr>
              <w:t>采购人安排的其他工作等。</w:t>
            </w:r>
          </w:p>
        </w:tc>
        <w:tc>
          <w:tcPr>
            <w:tcW w:w="1091" w:type="dxa"/>
            <w:vMerge w:val="continue"/>
            <w:vAlign w:val="center"/>
          </w:tcPr>
          <w:p w14:paraId="1350E034">
            <w:pPr>
              <w:spacing w:line="400" w:lineRule="exact"/>
              <w:ind w:firstLine="420" w:firstLineChars="200"/>
              <w:contextualSpacing/>
              <w:rPr>
                <w:rFonts w:hint="eastAsia" w:ascii="宋体" w:hAnsi="宋体" w:eastAsia="宋体" w:cs="宋体"/>
                <w:sz w:val="21"/>
                <w:szCs w:val="21"/>
                <w:highlight w:val="none"/>
              </w:rPr>
            </w:pPr>
          </w:p>
        </w:tc>
        <w:tc>
          <w:tcPr>
            <w:tcW w:w="1370" w:type="dxa"/>
            <w:vMerge w:val="continue"/>
            <w:vAlign w:val="center"/>
          </w:tcPr>
          <w:p w14:paraId="5700DBDB">
            <w:pPr>
              <w:spacing w:line="400" w:lineRule="exact"/>
              <w:ind w:firstLine="420" w:firstLineChars="200"/>
              <w:contextualSpacing/>
              <w:rPr>
                <w:rFonts w:hint="eastAsia" w:ascii="宋体" w:hAnsi="宋体" w:eastAsia="宋体" w:cs="宋体"/>
                <w:sz w:val="21"/>
                <w:szCs w:val="21"/>
                <w:highlight w:val="none"/>
              </w:rPr>
            </w:pPr>
          </w:p>
        </w:tc>
      </w:tr>
      <w:tr w14:paraId="7466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5DF31978">
            <w:pPr>
              <w:spacing w:line="400" w:lineRule="exact"/>
              <w:ind w:firstLine="420" w:firstLineChars="200"/>
              <w:contextualSpacing/>
              <w:rPr>
                <w:rFonts w:hint="eastAsia" w:ascii="宋体" w:hAnsi="宋体" w:eastAsia="宋体" w:cs="宋体"/>
                <w:sz w:val="21"/>
                <w:szCs w:val="21"/>
                <w:highlight w:val="none"/>
              </w:rPr>
            </w:pPr>
          </w:p>
        </w:tc>
      </w:tr>
      <w:tr w14:paraId="5BBC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8E32D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14" w:type="dxa"/>
            <w:vAlign w:val="center"/>
          </w:tcPr>
          <w:p w14:paraId="0C9DDB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配置管理</w:t>
            </w:r>
          </w:p>
        </w:tc>
        <w:tc>
          <w:tcPr>
            <w:tcW w:w="4277" w:type="dxa"/>
            <w:vAlign w:val="center"/>
          </w:tcPr>
          <w:p w14:paraId="34D02406">
            <w:pPr>
              <w:widowControl w:val="0"/>
              <w:spacing w:line="400" w:lineRule="exact"/>
              <w:ind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计算存储资源配置管理工作的目标是通过梳理数据中心计算存储类配置项，建立统一的配置数据库，对所管理的计算存储资源有一个更清晰的了解和掌握，能够更好地规范、控制和管理相关资产，并向其他运维工作提供信息和支持，确保数据中心计算存储资源运维工作能够更有效，并使整个计算存储基础架构更稳定。在进行资产管理时，中标方人员需要根据采购人的相关制度流程和工具平台进行。</w:t>
            </w:r>
          </w:p>
        </w:tc>
        <w:tc>
          <w:tcPr>
            <w:tcW w:w="1091" w:type="dxa"/>
            <w:vAlign w:val="center"/>
          </w:tcPr>
          <w:p w14:paraId="7CCB934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p>
        </w:tc>
        <w:tc>
          <w:tcPr>
            <w:tcW w:w="1370" w:type="dxa"/>
            <w:vAlign w:val="center"/>
          </w:tcPr>
          <w:p w14:paraId="7B875DD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否</w:t>
            </w:r>
          </w:p>
        </w:tc>
      </w:tr>
      <w:tr w14:paraId="64F8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2A2B3BB9">
            <w:pPr>
              <w:spacing w:line="400" w:lineRule="exact"/>
              <w:ind w:firstLine="420" w:firstLineChars="200"/>
              <w:contextualSpacing/>
              <w:rPr>
                <w:rFonts w:hint="eastAsia" w:ascii="宋体" w:hAnsi="宋体" w:eastAsia="宋体" w:cs="宋体"/>
                <w:sz w:val="21"/>
                <w:szCs w:val="21"/>
                <w:highlight w:val="none"/>
              </w:rPr>
            </w:pPr>
          </w:p>
        </w:tc>
      </w:tr>
      <w:tr w14:paraId="6ED0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13DB3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14" w:type="dxa"/>
            <w:vAlign w:val="center"/>
          </w:tcPr>
          <w:p w14:paraId="557F25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监控和巡检</w:t>
            </w:r>
          </w:p>
        </w:tc>
        <w:tc>
          <w:tcPr>
            <w:tcW w:w="4277" w:type="dxa"/>
            <w:vAlign w:val="center"/>
          </w:tcPr>
          <w:p w14:paraId="126A0D28">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为数据中心提供7×24小时不间断监控和定期巡逻检查服务。监控对象</w:t>
            </w:r>
            <w:r>
              <w:rPr>
                <w:rFonts w:hint="eastAsia" w:ascii="宋体" w:hAnsi="宋体" w:eastAsia="宋体" w:cs="宋体"/>
                <w:sz w:val="21"/>
                <w:szCs w:val="21"/>
                <w:highlight w:val="none"/>
                <w:lang w:eastAsia="zh-CN"/>
              </w:rPr>
              <w:t>至少</w:t>
            </w:r>
            <w:r>
              <w:rPr>
                <w:rFonts w:hint="eastAsia" w:ascii="宋体" w:hAnsi="宋体" w:eastAsia="宋体" w:cs="宋体"/>
                <w:sz w:val="21"/>
                <w:szCs w:val="21"/>
                <w:highlight w:val="none"/>
              </w:rPr>
              <w:t>包括机房基础环境设备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IT类设备</w:t>
            </w:r>
            <w:r>
              <w:rPr>
                <w:rFonts w:hint="eastAsia" w:ascii="宋体" w:hAnsi="宋体" w:eastAsia="宋体" w:cs="宋体"/>
                <w:sz w:val="21"/>
                <w:szCs w:val="21"/>
                <w:highlight w:val="none"/>
                <w:lang w:eastAsia="zh-CN"/>
              </w:rPr>
              <w:t>、虚拟化平台、云平台、备份系统等</w:t>
            </w:r>
            <w:r>
              <w:rPr>
                <w:rFonts w:hint="eastAsia" w:ascii="宋体" w:hAnsi="宋体" w:eastAsia="宋体" w:cs="宋体"/>
                <w:sz w:val="21"/>
                <w:szCs w:val="21"/>
                <w:highlight w:val="none"/>
              </w:rPr>
              <w:t>。按照预设的监控周期，使用各种监控工具或人工巡查，采集预定义的各子系统设备的运行状态及工作参数。发现报警事件及时记录，并报告相关人员进行处理。收集整理历史数据，为数据中心运维提供趋势分析，针对工作流程和系统使用提出优化建议。其中：</w:t>
            </w:r>
          </w:p>
          <w:p w14:paraId="613020D9">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（1）每个机房提供每日不低于6次的定时巡检服务。</w:t>
            </w:r>
          </w:p>
          <w:p w14:paraId="748AF676">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（2）环保路B栋1楼机房视频监控室需提供人员现场值守。</w:t>
            </w:r>
          </w:p>
          <w:p w14:paraId="09890330">
            <w:pPr>
              <w:widowControl/>
              <w:spacing w:line="400" w:lineRule="exact"/>
              <w:ind w:firstLine="420" w:firstLineChars="200"/>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（3）监控告警的处理和巡检的记录必须符合采购人的制度。</w:t>
            </w:r>
          </w:p>
        </w:tc>
        <w:tc>
          <w:tcPr>
            <w:tcW w:w="1091" w:type="dxa"/>
            <w:vAlign w:val="center"/>
          </w:tcPr>
          <w:p w14:paraId="2F73F22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p>
        </w:tc>
        <w:tc>
          <w:tcPr>
            <w:tcW w:w="1370" w:type="dxa"/>
            <w:vAlign w:val="center"/>
          </w:tcPr>
          <w:p w14:paraId="5C8B4EF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否</w:t>
            </w:r>
          </w:p>
        </w:tc>
      </w:tr>
      <w:tr w14:paraId="3494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1C54E903">
            <w:pPr>
              <w:spacing w:line="400" w:lineRule="exact"/>
              <w:ind w:firstLine="420" w:firstLineChars="200"/>
              <w:contextualSpacing/>
              <w:rPr>
                <w:rFonts w:hint="eastAsia" w:ascii="宋体" w:hAnsi="宋体" w:eastAsia="宋体" w:cs="宋体"/>
                <w:sz w:val="21"/>
                <w:szCs w:val="21"/>
                <w:highlight w:val="none"/>
              </w:rPr>
            </w:pPr>
          </w:p>
        </w:tc>
      </w:tr>
      <w:tr w14:paraId="2E24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729BA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14" w:type="dxa"/>
            <w:vAlign w:val="center"/>
          </w:tcPr>
          <w:p w14:paraId="232D0F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故障管理</w:t>
            </w:r>
          </w:p>
        </w:tc>
        <w:tc>
          <w:tcPr>
            <w:tcW w:w="4277" w:type="dxa"/>
            <w:vAlign w:val="center"/>
          </w:tcPr>
          <w:p w14:paraId="3FE2105F">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对本项目包含的所有设备和系统提供故障处理和维修服务(有第三方维保的除外，本项目服务期内脱保的由中标人负责)。当故障发生时，应按照故障处置方案在规定的时限内进行处理和修复：</w:t>
            </w:r>
          </w:p>
          <w:p w14:paraId="02DADEAA">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（1）提供故障设备软硬件出错日志分析和故障诊断说明；</w:t>
            </w:r>
          </w:p>
          <w:p w14:paraId="177B3EB4">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（2）提供故障设备现场维修服务，并免费更换故障部件，故障部件必须更换全新原厂配件,如原厂配件已停产,则提供的配件应征得采购人认可；</w:t>
            </w:r>
          </w:p>
          <w:p w14:paraId="298305DF">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（3）故障部件存储有信息数据的中标人不能收回，确需收回的必须经过采购人同意；</w:t>
            </w:r>
          </w:p>
          <w:p w14:paraId="7690CF1D">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（4）如果设备出现无法恢复的故障，中标人必须在规定时间内提供替代设备，恢复故障；</w:t>
            </w:r>
          </w:p>
          <w:p w14:paraId="01FD7930">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（5）提供设备故障处理和配件更换记录。</w:t>
            </w:r>
          </w:p>
        </w:tc>
        <w:tc>
          <w:tcPr>
            <w:tcW w:w="1091" w:type="dxa"/>
            <w:vAlign w:val="center"/>
          </w:tcPr>
          <w:p w14:paraId="6F5031C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p>
        </w:tc>
        <w:tc>
          <w:tcPr>
            <w:tcW w:w="1370" w:type="dxa"/>
            <w:vAlign w:val="center"/>
          </w:tcPr>
          <w:p w14:paraId="6938EAF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否</w:t>
            </w:r>
          </w:p>
        </w:tc>
      </w:tr>
      <w:tr w14:paraId="7D6A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646BAE26">
            <w:pPr>
              <w:spacing w:line="400" w:lineRule="exact"/>
              <w:ind w:firstLine="420" w:firstLineChars="200"/>
              <w:contextualSpacing/>
              <w:rPr>
                <w:rFonts w:hint="eastAsia" w:ascii="宋体" w:hAnsi="宋体" w:eastAsia="宋体" w:cs="宋体"/>
                <w:sz w:val="21"/>
                <w:szCs w:val="21"/>
                <w:highlight w:val="none"/>
              </w:rPr>
            </w:pPr>
          </w:p>
        </w:tc>
      </w:tr>
      <w:tr w14:paraId="3ADF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9C242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14" w:type="dxa"/>
            <w:vAlign w:val="center"/>
          </w:tcPr>
          <w:p w14:paraId="6B8EF3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健康检查与维护保养</w:t>
            </w:r>
          </w:p>
        </w:tc>
        <w:tc>
          <w:tcPr>
            <w:tcW w:w="4277" w:type="dxa"/>
            <w:vAlign w:val="center"/>
          </w:tcPr>
          <w:p w14:paraId="15A42E1A">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定期</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具体时间要求见分项服务内容</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开展健康检查和预防性维护，尽早发现机房基础环境和计算存储资源可能存在的缺陷和安全隐患，识别可能影响运行状态的故障隐患，以便制定资源维护升级计划，为开展资源的维护、改造、扩容提供依据，避免潜在问题拖延导致严重故障。</w:t>
            </w:r>
          </w:p>
          <w:p w14:paraId="696FCEF7">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依据机房基础环境和计算存储类基础设施的运维管理需要，定期开展设备及系统的例行维护，排除其可能存在的安全隐患，保障系统稳定运行，提升系统健壮性。</w:t>
            </w:r>
          </w:p>
          <w:p w14:paraId="464A91AF">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上述工作需要形成相应的报告和记录，具体格式内容需符合采购人要求。</w:t>
            </w:r>
          </w:p>
        </w:tc>
        <w:tc>
          <w:tcPr>
            <w:tcW w:w="1091" w:type="dxa"/>
            <w:vAlign w:val="center"/>
          </w:tcPr>
          <w:p w14:paraId="3BCECA9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p>
        </w:tc>
        <w:tc>
          <w:tcPr>
            <w:tcW w:w="1370" w:type="dxa"/>
            <w:vAlign w:val="center"/>
          </w:tcPr>
          <w:p w14:paraId="5908235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否</w:t>
            </w:r>
          </w:p>
        </w:tc>
      </w:tr>
      <w:tr w14:paraId="47D2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60D08A00">
            <w:pPr>
              <w:spacing w:line="400" w:lineRule="exact"/>
              <w:ind w:firstLine="420" w:firstLineChars="200"/>
              <w:contextualSpacing/>
              <w:rPr>
                <w:rFonts w:hint="eastAsia" w:ascii="宋体" w:hAnsi="宋体" w:eastAsia="宋体" w:cs="宋体"/>
                <w:sz w:val="21"/>
                <w:szCs w:val="21"/>
                <w:highlight w:val="none"/>
              </w:rPr>
            </w:pPr>
          </w:p>
        </w:tc>
      </w:tr>
      <w:tr w14:paraId="203A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64F44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14" w:type="dxa"/>
            <w:vAlign w:val="center"/>
          </w:tcPr>
          <w:p w14:paraId="79998E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优化和升级服务</w:t>
            </w:r>
          </w:p>
        </w:tc>
        <w:tc>
          <w:tcPr>
            <w:tcW w:w="4277" w:type="dxa"/>
            <w:vAlign w:val="center"/>
          </w:tcPr>
          <w:p w14:paraId="09A7B62A">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按照采购人的要求，对本项目包含的设备和系统提供优化和升级服务，优化或升级前，要按照采购人需求提供完善的总体方案、技术方案和应急处置预案，提供现场人工服务。优化范围包括设施与管线的布放、设备配置的变更、系统配置参数、资源分配与回收等；升级范围包括固件、微码、系统、补丁等。</w:t>
            </w:r>
          </w:p>
          <w:p w14:paraId="39BE6D7E">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升级时，采购人可以要求最高升级至原厂正式发布的最新版本，且不能产生任何计划外宕机或故障。因升级所产生的所有费用均包含在本项目预算中，中标人不得以任何理由要求采购方追加费用。</w:t>
            </w:r>
            <w:r>
              <w:rPr>
                <w:rFonts w:hint="eastAsia" w:ascii="宋体" w:hAnsi="宋体" w:eastAsia="宋体" w:cs="宋体"/>
                <w:b/>
                <w:bCs/>
                <w:sz w:val="21"/>
                <w:szCs w:val="21"/>
                <w:highlight w:val="none"/>
              </w:rPr>
              <w:t>如中标人不按采购人的要求提供升级服务，或因中标人技术能力不足，不能满足升级过程中的保障服务要求，采购人有权请第三方提供升级服务，所产生的所有费用</w:t>
            </w:r>
            <w:r>
              <w:rPr>
                <w:rFonts w:hint="eastAsia" w:ascii="宋体" w:hAnsi="宋体" w:eastAsia="宋体" w:cs="宋体"/>
                <w:b/>
                <w:bCs/>
                <w:sz w:val="21"/>
                <w:szCs w:val="21"/>
                <w:highlight w:val="none"/>
                <w:lang w:eastAsia="zh-CN"/>
              </w:rPr>
              <w:t>由中标人支付</w:t>
            </w:r>
            <w:r>
              <w:rPr>
                <w:rFonts w:hint="eastAsia" w:ascii="宋体" w:hAnsi="宋体" w:eastAsia="宋体" w:cs="宋体"/>
                <w:b/>
                <w:bCs/>
                <w:sz w:val="21"/>
                <w:szCs w:val="21"/>
                <w:highlight w:val="none"/>
              </w:rPr>
              <w:t>。</w:t>
            </w:r>
          </w:p>
        </w:tc>
        <w:tc>
          <w:tcPr>
            <w:tcW w:w="1091" w:type="dxa"/>
            <w:vAlign w:val="center"/>
          </w:tcPr>
          <w:p w14:paraId="133799F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p>
        </w:tc>
        <w:tc>
          <w:tcPr>
            <w:tcW w:w="1370" w:type="dxa"/>
            <w:vAlign w:val="center"/>
          </w:tcPr>
          <w:p w14:paraId="02814B5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否</w:t>
            </w:r>
          </w:p>
        </w:tc>
      </w:tr>
      <w:tr w14:paraId="0940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53ABC699">
            <w:pPr>
              <w:spacing w:line="400" w:lineRule="exact"/>
              <w:ind w:firstLine="420" w:firstLineChars="200"/>
              <w:contextualSpacing/>
              <w:rPr>
                <w:rFonts w:hint="eastAsia" w:ascii="宋体" w:hAnsi="宋体" w:eastAsia="宋体" w:cs="宋体"/>
                <w:sz w:val="21"/>
                <w:szCs w:val="21"/>
                <w:highlight w:val="none"/>
              </w:rPr>
            </w:pPr>
          </w:p>
        </w:tc>
      </w:tr>
      <w:tr w14:paraId="488F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DD2D2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14" w:type="dxa"/>
            <w:vAlign w:val="center"/>
          </w:tcPr>
          <w:p w14:paraId="360EC0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分析与报告</w:t>
            </w:r>
          </w:p>
        </w:tc>
        <w:tc>
          <w:tcPr>
            <w:tcW w:w="4277" w:type="dxa"/>
            <w:vAlign w:val="center"/>
          </w:tcPr>
          <w:p w14:paraId="7120C6A1">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对机房基础设施的运行状况、负载状况、容量状况、故障处理和计算存储资源的运行状况、性能状况、容量状况和故障状况等方面进行分析，及时发现存在的运行问题、性能瓶颈和故障隐患；总结故障处理经验，提高故障的响应时间和处理速度；有针对性的提出整改和优化方案，确保基础设施和IT设备的健康、高效、稳定运行。</w:t>
            </w:r>
          </w:p>
        </w:tc>
        <w:tc>
          <w:tcPr>
            <w:tcW w:w="1091" w:type="dxa"/>
            <w:vAlign w:val="center"/>
          </w:tcPr>
          <w:p w14:paraId="5BA7347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p>
        </w:tc>
        <w:tc>
          <w:tcPr>
            <w:tcW w:w="1370" w:type="dxa"/>
            <w:vAlign w:val="center"/>
          </w:tcPr>
          <w:p w14:paraId="1EC8B72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否</w:t>
            </w:r>
          </w:p>
        </w:tc>
      </w:tr>
      <w:tr w14:paraId="570E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3C9CBB25">
            <w:pPr>
              <w:spacing w:line="400" w:lineRule="exact"/>
              <w:ind w:firstLine="420" w:firstLineChars="200"/>
              <w:contextualSpacing/>
              <w:rPr>
                <w:rFonts w:hint="eastAsia" w:ascii="宋体" w:hAnsi="宋体" w:eastAsia="宋体" w:cs="宋体"/>
                <w:sz w:val="21"/>
                <w:szCs w:val="21"/>
                <w:highlight w:val="none"/>
              </w:rPr>
            </w:pPr>
          </w:p>
        </w:tc>
      </w:tr>
      <w:tr w14:paraId="0DC0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93DF0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14" w:type="dxa"/>
            <w:vAlign w:val="center"/>
          </w:tcPr>
          <w:p w14:paraId="27C16F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数据备份和恢复</w:t>
            </w:r>
          </w:p>
        </w:tc>
        <w:tc>
          <w:tcPr>
            <w:tcW w:w="4277" w:type="dxa"/>
            <w:vAlign w:val="center"/>
          </w:tcPr>
          <w:p w14:paraId="3687D94D">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按照采购人要求，要做好备份设备、备份软件、备份策略、备份任务的日常维护，当发生故障时要及时解决，定期</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每半年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开展</w:t>
            </w:r>
            <w:r>
              <w:rPr>
                <w:rFonts w:hint="eastAsia" w:ascii="宋体" w:hAnsi="宋体" w:cs="宋体"/>
                <w:sz w:val="21"/>
                <w:szCs w:val="21"/>
                <w:highlight w:val="none"/>
                <w:u w:val="dotted"/>
                <w:lang w:val="en-US" w:eastAsia="zh-CN"/>
              </w:rPr>
              <w:t>一次</w:t>
            </w:r>
            <w:r>
              <w:rPr>
                <w:rFonts w:hint="eastAsia" w:ascii="宋体" w:hAnsi="宋体" w:eastAsia="宋体" w:cs="宋体"/>
                <w:sz w:val="21"/>
                <w:szCs w:val="21"/>
                <w:highlight w:val="none"/>
              </w:rPr>
              <w:t>数据恢复演练，包括搭建恢复环境、实施恢复操作、配合验证恢复结果。当发生数据丢失或损坏时，要在采购人规定的时间内实现数据的成功恢复。</w:t>
            </w:r>
          </w:p>
        </w:tc>
        <w:tc>
          <w:tcPr>
            <w:tcW w:w="1091" w:type="dxa"/>
            <w:vAlign w:val="center"/>
          </w:tcPr>
          <w:p w14:paraId="060FAD6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p>
        </w:tc>
        <w:tc>
          <w:tcPr>
            <w:tcW w:w="1370" w:type="dxa"/>
            <w:vAlign w:val="center"/>
          </w:tcPr>
          <w:p w14:paraId="48D9017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否</w:t>
            </w:r>
          </w:p>
        </w:tc>
      </w:tr>
      <w:tr w14:paraId="1E42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0AFE68A2">
            <w:pPr>
              <w:spacing w:line="400" w:lineRule="exact"/>
              <w:ind w:firstLine="420" w:firstLineChars="200"/>
              <w:contextualSpacing/>
              <w:rPr>
                <w:rFonts w:hint="eastAsia" w:ascii="宋体" w:hAnsi="宋体" w:eastAsia="宋体" w:cs="宋体"/>
                <w:sz w:val="21"/>
                <w:szCs w:val="21"/>
                <w:highlight w:val="none"/>
              </w:rPr>
            </w:pPr>
          </w:p>
        </w:tc>
      </w:tr>
      <w:tr w14:paraId="03D6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B7386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14" w:type="dxa"/>
            <w:vAlign w:val="center"/>
          </w:tcPr>
          <w:p w14:paraId="33D51B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项目配合</w:t>
            </w:r>
          </w:p>
        </w:tc>
        <w:tc>
          <w:tcPr>
            <w:tcW w:w="4277" w:type="dxa"/>
            <w:vAlign w:val="center"/>
          </w:tcPr>
          <w:p w14:paraId="0990F6D5">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提供对机房项目实施的配合工作，按照采购人的流程和制度，对</w:t>
            </w:r>
            <w:r>
              <w:rPr>
                <w:rFonts w:hint="eastAsia" w:ascii="宋体" w:hAnsi="宋体" w:eastAsia="宋体" w:cs="宋体"/>
                <w:sz w:val="21"/>
                <w:szCs w:val="21"/>
                <w:highlight w:val="none"/>
                <w:lang w:eastAsia="zh-CN"/>
              </w:rPr>
              <w:t>场地改造、</w:t>
            </w:r>
            <w:r>
              <w:rPr>
                <w:rFonts w:hint="eastAsia" w:ascii="宋体" w:hAnsi="宋体" w:eastAsia="宋体" w:cs="宋体"/>
                <w:sz w:val="21"/>
                <w:szCs w:val="21"/>
                <w:highlight w:val="none"/>
              </w:rPr>
              <w:t>设备到货安装、项目测试、系统上线、移机服务等工作实施过程进行实施前的环境评估，实施中的配合和监督，实施后的确认和现场恢复等工作，确保实施工作与现有机房环境、设备、系统等情况的有效衔接，保障各项目的顺利开展。</w:t>
            </w:r>
          </w:p>
          <w:p w14:paraId="12D403AE">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（1）项目实施前</w:t>
            </w:r>
          </w:p>
          <w:p w14:paraId="6A4F3C5A">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在项目实施前进行环境确认，包括强电、弱电、机柜位置、承重、空调负载、设备安装方式、设备网络规划、实施方案评估，并提出合理化建议。</w:t>
            </w:r>
          </w:p>
          <w:p w14:paraId="0EF94F90">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（2）项目实施中</w:t>
            </w:r>
          </w:p>
          <w:p w14:paraId="4351E7C2">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在项目实施中配合项目实施方开展实施工作，包括设备信息确认，督促去除设备包装、配合进行设备上架，配合了解网络连接、网络配置、存储连接等情况，配合开展线缆固定、加电测试、系统安装等工作。</w:t>
            </w:r>
          </w:p>
          <w:p w14:paraId="53136848">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（3）项目实施后</w:t>
            </w:r>
          </w:p>
          <w:p w14:paraId="49FD8F97">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在项目实施后配合收尾工作，包括现场恢复确认、设备信息核对、配置登记、制签标识、巡检监控、口令回收、资源确认、现场及维护等配合工作。</w:t>
            </w:r>
          </w:p>
        </w:tc>
        <w:tc>
          <w:tcPr>
            <w:tcW w:w="1091" w:type="dxa"/>
            <w:vAlign w:val="center"/>
          </w:tcPr>
          <w:p w14:paraId="3DCE7F7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p>
        </w:tc>
        <w:tc>
          <w:tcPr>
            <w:tcW w:w="1370" w:type="dxa"/>
            <w:vAlign w:val="center"/>
          </w:tcPr>
          <w:p w14:paraId="02EAF32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否</w:t>
            </w:r>
          </w:p>
        </w:tc>
      </w:tr>
      <w:tr w14:paraId="2064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5744AB67">
            <w:pPr>
              <w:spacing w:line="400" w:lineRule="exact"/>
              <w:ind w:firstLine="420" w:firstLineChars="200"/>
              <w:contextualSpacing/>
              <w:rPr>
                <w:rFonts w:hint="eastAsia" w:ascii="宋体" w:hAnsi="宋体" w:eastAsia="宋体" w:cs="宋体"/>
                <w:sz w:val="21"/>
                <w:szCs w:val="21"/>
                <w:highlight w:val="none"/>
              </w:rPr>
            </w:pPr>
          </w:p>
        </w:tc>
      </w:tr>
      <w:tr w14:paraId="3CA0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CCC73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14" w:type="dxa"/>
            <w:vAlign w:val="center"/>
          </w:tcPr>
          <w:p w14:paraId="484875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网络安全保障</w:t>
            </w:r>
          </w:p>
        </w:tc>
        <w:tc>
          <w:tcPr>
            <w:tcW w:w="4277" w:type="dxa"/>
            <w:vAlign w:val="center"/>
          </w:tcPr>
          <w:p w14:paraId="5577F4BA">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中标人必须在国家网络安全相关法律法规和采购人的信息安全要求下提供服务，遵守采购人的信息安全行为规范和保密要求开展运维工作。包括但不限于以下</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 xml:space="preserve">： </w:t>
            </w:r>
          </w:p>
          <w:p w14:paraId="5EC1FC9E">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1、提供</w:t>
            </w:r>
            <w:r>
              <w:rPr>
                <w:rFonts w:hint="eastAsia" w:ascii="宋体" w:hAnsi="宋体" w:eastAsia="宋体" w:cs="宋体"/>
                <w:sz w:val="21"/>
                <w:szCs w:val="21"/>
                <w:highlight w:val="none"/>
                <w:lang w:eastAsia="zh-CN"/>
              </w:rPr>
              <w:t>服务器</w:t>
            </w:r>
            <w:r>
              <w:rPr>
                <w:rFonts w:hint="eastAsia" w:ascii="宋体" w:hAnsi="宋体" w:eastAsia="宋体" w:cs="宋体"/>
                <w:sz w:val="21"/>
                <w:szCs w:val="21"/>
                <w:highlight w:val="none"/>
              </w:rPr>
              <w:t>设备和系统软件的安全基线加固</w:t>
            </w:r>
            <w:r>
              <w:rPr>
                <w:rFonts w:hint="eastAsia" w:ascii="宋体" w:hAnsi="宋体" w:eastAsia="宋体" w:cs="宋体"/>
                <w:sz w:val="21"/>
                <w:szCs w:val="21"/>
                <w:highlight w:val="none"/>
                <w:lang w:eastAsia="zh-CN"/>
              </w:rPr>
              <w:t>服务</w:t>
            </w:r>
            <w:r>
              <w:rPr>
                <w:rFonts w:hint="eastAsia" w:ascii="宋体" w:hAnsi="宋体" w:eastAsia="宋体" w:cs="宋体"/>
                <w:sz w:val="21"/>
                <w:szCs w:val="21"/>
                <w:highlight w:val="none"/>
              </w:rPr>
              <w:t>，达到采购人的安全基线要求。</w:t>
            </w:r>
          </w:p>
          <w:p w14:paraId="3740333F">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2、对</w:t>
            </w:r>
            <w:r>
              <w:rPr>
                <w:rFonts w:hint="eastAsia" w:ascii="宋体" w:hAnsi="宋体" w:eastAsia="宋体" w:cs="宋体"/>
                <w:sz w:val="21"/>
                <w:szCs w:val="21"/>
                <w:highlight w:val="none"/>
                <w:lang w:eastAsia="zh-CN"/>
              </w:rPr>
              <w:t>服务器</w:t>
            </w:r>
            <w:r>
              <w:rPr>
                <w:rFonts w:hint="eastAsia" w:ascii="宋体" w:hAnsi="宋体" w:eastAsia="宋体" w:cs="宋体"/>
                <w:sz w:val="21"/>
                <w:szCs w:val="21"/>
                <w:highlight w:val="none"/>
              </w:rPr>
              <w:t>设备和系统软件进行安全防护策略的配置和调整。</w:t>
            </w:r>
          </w:p>
          <w:p w14:paraId="5D5D8333">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3、提供</w:t>
            </w:r>
            <w:r>
              <w:rPr>
                <w:rFonts w:hint="eastAsia" w:ascii="宋体" w:hAnsi="宋体" w:eastAsia="宋体" w:cs="宋体"/>
                <w:sz w:val="21"/>
                <w:szCs w:val="21"/>
                <w:highlight w:val="none"/>
                <w:lang w:eastAsia="zh-CN"/>
              </w:rPr>
              <w:t>服务器</w:t>
            </w:r>
            <w:r>
              <w:rPr>
                <w:rFonts w:hint="eastAsia" w:ascii="宋体" w:hAnsi="宋体" w:eastAsia="宋体" w:cs="宋体"/>
                <w:sz w:val="21"/>
                <w:szCs w:val="21"/>
                <w:highlight w:val="none"/>
              </w:rPr>
              <w:t>设备和系统软件的补丁升级服务，达到采购人的</w:t>
            </w:r>
            <w:r>
              <w:rPr>
                <w:rFonts w:hint="eastAsia" w:ascii="宋体" w:hAnsi="宋体" w:eastAsia="宋体" w:cs="宋体"/>
                <w:sz w:val="21"/>
                <w:szCs w:val="21"/>
                <w:highlight w:val="none"/>
                <w:lang w:eastAsia="zh-CN"/>
              </w:rPr>
              <w:t>漏洞补丁管理要求</w:t>
            </w:r>
            <w:r>
              <w:rPr>
                <w:rFonts w:hint="eastAsia" w:ascii="宋体" w:hAnsi="宋体" w:eastAsia="宋体" w:cs="宋体"/>
                <w:sz w:val="21"/>
                <w:szCs w:val="21"/>
                <w:highlight w:val="none"/>
              </w:rPr>
              <w:t>。</w:t>
            </w:r>
          </w:p>
          <w:p w14:paraId="63BAE5D3">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4、对特殊时间段（如国家部委、税务总局、省委等组织的安全演习以及两会期间等）发现的安全基线和漏洞问题，需按照采购人的要求按时完成相关安全加固任务。</w:t>
            </w:r>
          </w:p>
          <w:p w14:paraId="1EE336C3">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5、完成采购人提出的设备和系统软件的其他安全保障工作。</w:t>
            </w:r>
          </w:p>
        </w:tc>
        <w:tc>
          <w:tcPr>
            <w:tcW w:w="1091" w:type="dxa"/>
            <w:vAlign w:val="center"/>
          </w:tcPr>
          <w:p w14:paraId="1E44497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p>
        </w:tc>
        <w:tc>
          <w:tcPr>
            <w:tcW w:w="1370" w:type="dxa"/>
            <w:vAlign w:val="center"/>
          </w:tcPr>
          <w:p w14:paraId="4E97465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否</w:t>
            </w:r>
          </w:p>
        </w:tc>
      </w:tr>
      <w:tr w14:paraId="3E52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2744B8D5">
            <w:pPr>
              <w:spacing w:line="400" w:lineRule="exact"/>
              <w:ind w:firstLine="420" w:firstLineChars="200"/>
              <w:contextualSpacing/>
              <w:rPr>
                <w:rFonts w:hint="eastAsia" w:ascii="宋体" w:hAnsi="宋体" w:eastAsia="宋体" w:cs="宋体"/>
                <w:sz w:val="21"/>
                <w:szCs w:val="21"/>
                <w:highlight w:val="none"/>
              </w:rPr>
            </w:pPr>
          </w:p>
        </w:tc>
      </w:tr>
      <w:tr w14:paraId="1F3E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F8B6E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14" w:type="dxa"/>
            <w:vAlign w:val="center"/>
          </w:tcPr>
          <w:p w14:paraId="084540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应急处理</w:t>
            </w:r>
          </w:p>
        </w:tc>
        <w:tc>
          <w:tcPr>
            <w:tcW w:w="4277" w:type="dxa"/>
            <w:vAlign w:val="center"/>
          </w:tcPr>
          <w:p w14:paraId="33B7EA8D">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为保障数据中心稳定运行和各项业务的连续性，需要做好突发故障的应急处置。中标人须定期对本项目包含的所有设备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系统、强弱电线路</w:t>
            </w:r>
            <w:r>
              <w:rPr>
                <w:rFonts w:hint="eastAsia" w:ascii="宋体" w:hAnsi="宋体" w:eastAsia="宋体" w:cs="宋体"/>
                <w:sz w:val="21"/>
                <w:szCs w:val="21"/>
                <w:highlight w:val="none"/>
              </w:rPr>
              <w:t>进行风险排查和评估。对单点设备予以重点关注，提供冷备设备并存放到采购人指定地点。制定设备和系统的应急演练方案，提供应急处理服务，服务期内开展不少于一次应急演练。应急处理所发生的所有费用均由中标人承担（包括提供的冷备设备）。</w:t>
            </w:r>
          </w:p>
        </w:tc>
        <w:tc>
          <w:tcPr>
            <w:tcW w:w="1091" w:type="dxa"/>
            <w:vAlign w:val="center"/>
          </w:tcPr>
          <w:p w14:paraId="5C8D0DC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p>
        </w:tc>
        <w:tc>
          <w:tcPr>
            <w:tcW w:w="1370" w:type="dxa"/>
            <w:vAlign w:val="center"/>
          </w:tcPr>
          <w:p w14:paraId="670AD84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否</w:t>
            </w:r>
          </w:p>
        </w:tc>
      </w:tr>
      <w:tr w14:paraId="1E49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49105119">
            <w:pPr>
              <w:spacing w:line="400" w:lineRule="exact"/>
              <w:ind w:firstLine="420" w:firstLineChars="200"/>
              <w:contextualSpacing/>
              <w:rPr>
                <w:rFonts w:hint="eastAsia" w:ascii="宋体" w:hAnsi="宋体" w:eastAsia="宋体" w:cs="宋体"/>
                <w:sz w:val="21"/>
                <w:szCs w:val="21"/>
                <w:highlight w:val="none"/>
              </w:rPr>
            </w:pPr>
          </w:p>
        </w:tc>
      </w:tr>
      <w:tr w14:paraId="32D7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A6F6E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14" w:type="dxa"/>
            <w:vAlign w:val="center"/>
          </w:tcPr>
          <w:p w14:paraId="11C2CA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国产化替代及适配服务</w:t>
            </w:r>
          </w:p>
        </w:tc>
        <w:tc>
          <w:tcPr>
            <w:tcW w:w="4277" w:type="dxa"/>
            <w:vAlign w:val="center"/>
          </w:tcPr>
          <w:p w14:paraId="1A3C6808">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按照采购人要求，提供应用系统国产化替代及适配的技术支持服务，主要包括：提供技术路线分析、编制服务器和操作系统的替代适配方案、提供硬件服务器及操作系统的替代适配测试服务（至少包含功能性、稳定性、可靠性及性能测试，出具测试报告）、配合其他厂商（数据库、中间件、应用系统</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rPr>
              <w:t>）开展适配测试、编制替换计划等。</w:t>
            </w:r>
          </w:p>
        </w:tc>
        <w:tc>
          <w:tcPr>
            <w:tcW w:w="1091" w:type="dxa"/>
            <w:vAlign w:val="center"/>
          </w:tcPr>
          <w:p w14:paraId="3832DE9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p>
        </w:tc>
        <w:tc>
          <w:tcPr>
            <w:tcW w:w="1370" w:type="dxa"/>
            <w:vAlign w:val="center"/>
          </w:tcPr>
          <w:p w14:paraId="0F96118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否</w:t>
            </w:r>
          </w:p>
        </w:tc>
      </w:tr>
      <w:tr w14:paraId="4833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472C593D">
            <w:pPr>
              <w:spacing w:line="400" w:lineRule="exact"/>
              <w:ind w:firstLine="420" w:firstLineChars="200"/>
              <w:contextualSpacing/>
              <w:rPr>
                <w:rFonts w:hint="eastAsia" w:ascii="宋体" w:hAnsi="宋体" w:eastAsia="宋体" w:cs="宋体"/>
                <w:sz w:val="21"/>
                <w:szCs w:val="21"/>
                <w:highlight w:val="none"/>
              </w:rPr>
            </w:pPr>
          </w:p>
        </w:tc>
      </w:tr>
      <w:tr w14:paraId="45FA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0CA88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14" w:type="dxa"/>
            <w:vAlign w:val="center"/>
          </w:tcPr>
          <w:p w14:paraId="299E40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培训服务</w:t>
            </w:r>
          </w:p>
        </w:tc>
        <w:tc>
          <w:tcPr>
            <w:tcW w:w="4277" w:type="dxa"/>
            <w:vAlign w:val="center"/>
          </w:tcPr>
          <w:p w14:paraId="59B9FD0A">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提供数据中心设备和系统的运行维护现场培训，开展</w:t>
            </w:r>
            <w:r>
              <w:rPr>
                <w:rFonts w:hint="eastAsia" w:ascii="宋体" w:hAnsi="宋体" w:eastAsia="宋体" w:cs="宋体"/>
                <w:bCs/>
                <w:kern w:val="0"/>
                <w:sz w:val="21"/>
                <w:szCs w:val="21"/>
                <w:highlight w:val="none"/>
                <w:lang w:val="en-US" w:eastAsia="zh-CN" w:bidi="ar-SA"/>
              </w:rPr>
              <w:t>技术</w:t>
            </w:r>
            <w:r>
              <w:rPr>
                <w:rFonts w:hint="eastAsia" w:ascii="宋体" w:hAnsi="宋体" w:eastAsia="宋体" w:cs="宋体"/>
                <w:sz w:val="21"/>
                <w:szCs w:val="21"/>
                <w:highlight w:val="none"/>
              </w:rPr>
              <w:t>交流和设备运行情况反馈，以提高采购人技术人员的日常维护水平和对故障的处理能力。</w:t>
            </w:r>
          </w:p>
          <w:p w14:paraId="2611D85A">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采购人根据实际需求，要求中标人提供</w:t>
            </w:r>
            <w:r>
              <w:rPr>
                <w:rFonts w:hint="eastAsia" w:ascii="宋体" w:hAnsi="宋体" w:eastAsia="宋体" w:cs="宋体"/>
                <w:sz w:val="21"/>
                <w:szCs w:val="21"/>
                <w:highlight w:val="none"/>
                <w:lang w:val="en-US" w:eastAsia="zh-CN"/>
              </w:rPr>
              <w:t>多次现场培训，</w:t>
            </w:r>
            <w:r>
              <w:rPr>
                <w:rFonts w:hint="eastAsia" w:ascii="宋体" w:hAnsi="宋体" w:eastAsia="宋体" w:cs="宋体"/>
                <w:sz w:val="21"/>
                <w:szCs w:val="21"/>
                <w:highlight w:val="none"/>
              </w:rPr>
              <w:t>每季度</w:t>
            </w:r>
            <w:r>
              <w:rPr>
                <w:rFonts w:hint="eastAsia" w:ascii="宋体" w:hAnsi="宋体" w:eastAsia="宋体" w:cs="宋体"/>
                <w:sz w:val="21"/>
                <w:szCs w:val="21"/>
                <w:highlight w:val="none"/>
                <w:lang w:eastAsia="zh-CN"/>
              </w:rPr>
              <w:t>至少</w:t>
            </w:r>
            <w:r>
              <w:rPr>
                <w:rFonts w:hint="eastAsia" w:ascii="宋体" w:hAnsi="宋体" w:eastAsia="宋体" w:cs="宋体"/>
                <w:sz w:val="21"/>
                <w:szCs w:val="21"/>
                <w:highlight w:val="none"/>
              </w:rPr>
              <w:t>一次，师资力量</w:t>
            </w:r>
            <w:r>
              <w:rPr>
                <w:rFonts w:hint="eastAsia" w:ascii="宋体" w:hAnsi="宋体" w:eastAsia="宋体" w:cs="宋体"/>
                <w:sz w:val="21"/>
                <w:szCs w:val="21"/>
                <w:highlight w:val="none"/>
                <w:lang w:eastAsia="zh-CN"/>
              </w:rPr>
              <w:t>为</w:t>
            </w:r>
            <w:r>
              <w:rPr>
                <w:rFonts w:hint="eastAsia" w:ascii="宋体" w:hAnsi="宋体" w:eastAsia="宋体" w:cs="宋体"/>
                <w:sz w:val="21"/>
                <w:szCs w:val="21"/>
                <w:highlight w:val="none"/>
              </w:rPr>
              <w:t>二线专家或原厂工程师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培训内容</w:t>
            </w:r>
            <w:r>
              <w:rPr>
                <w:rFonts w:hint="eastAsia" w:ascii="宋体" w:hAnsi="宋体" w:eastAsia="宋体" w:cs="宋体"/>
                <w:color w:val="auto"/>
                <w:sz w:val="21"/>
                <w:szCs w:val="21"/>
                <w:highlight w:val="none"/>
                <w:lang w:val="en-US" w:eastAsia="zh-CN"/>
              </w:rPr>
              <w:t>包含但不限于</w:t>
            </w:r>
            <w:r>
              <w:rPr>
                <w:rFonts w:hint="eastAsia" w:ascii="宋体" w:hAnsi="宋体" w:eastAsia="宋体" w:cs="宋体"/>
                <w:sz w:val="21"/>
                <w:szCs w:val="21"/>
                <w:highlight w:val="none"/>
              </w:rPr>
              <w:t>麒麟linux、PMP、Vmware</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腾讯云平台</w:t>
            </w:r>
            <w:r>
              <w:rPr>
                <w:rFonts w:hint="eastAsia" w:ascii="宋体" w:hAnsi="宋体" w:eastAsia="宋体" w:cs="宋体"/>
                <w:sz w:val="21"/>
                <w:szCs w:val="21"/>
                <w:highlight w:val="none"/>
              </w:rPr>
              <w:t>等。因此产生的</w:t>
            </w:r>
            <w:r>
              <w:rPr>
                <w:rFonts w:hint="eastAsia" w:ascii="宋体" w:hAnsi="宋体" w:eastAsia="宋体" w:cs="宋体"/>
                <w:sz w:val="21"/>
                <w:szCs w:val="21"/>
                <w:highlight w:val="none"/>
                <w:lang w:val="en-US" w:eastAsia="zh-CN"/>
              </w:rPr>
              <w:t>师资费用、</w:t>
            </w:r>
            <w:r>
              <w:rPr>
                <w:rFonts w:hint="eastAsia" w:ascii="宋体" w:hAnsi="宋体" w:eastAsia="宋体" w:cs="宋体"/>
                <w:sz w:val="21"/>
                <w:szCs w:val="21"/>
                <w:highlight w:val="none"/>
              </w:rPr>
              <w:t>资料费等均由中标人承担。</w:t>
            </w:r>
          </w:p>
        </w:tc>
        <w:tc>
          <w:tcPr>
            <w:tcW w:w="1091" w:type="dxa"/>
            <w:vAlign w:val="center"/>
          </w:tcPr>
          <w:p w14:paraId="0FD96FA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p>
        </w:tc>
        <w:tc>
          <w:tcPr>
            <w:tcW w:w="1370" w:type="dxa"/>
            <w:vAlign w:val="center"/>
          </w:tcPr>
          <w:p w14:paraId="3AD06AC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否</w:t>
            </w:r>
          </w:p>
        </w:tc>
      </w:tr>
      <w:tr w14:paraId="57CE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279ED51B">
            <w:pPr>
              <w:spacing w:line="400" w:lineRule="exact"/>
              <w:ind w:firstLine="420" w:firstLineChars="200"/>
              <w:contextualSpacing/>
              <w:rPr>
                <w:rFonts w:hint="eastAsia" w:ascii="宋体" w:hAnsi="宋体" w:eastAsia="宋体" w:cs="宋体"/>
                <w:sz w:val="21"/>
                <w:szCs w:val="21"/>
                <w:highlight w:val="none"/>
              </w:rPr>
            </w:pPr>
          </w:p>
        </w:tc>
      </w:tr>
      <w:tr w14:paraId="681F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37BB3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14" w:type="dxa"/>
            <w:vAlign w:val="center"/>
          </w:tcPr>
          <w:p w14:paraId="4CE0DF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高级技术支持</w:t>
            </w:r>
          </w:p>
        </w:tc>
        <w:tc>
          <w:tcPr>
            <w:tcW w:w="4277" w:type="dxa"/>
            <w:vAlign w:val="center"/>
          </w:tcPr>
          <w:p w14:paraId="28D103BC">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提供数据中心设备和系统的运行维护高级技术支持服务，配合现场和驻场工程师完成各项工作任务。</w:t>
            </w:r>
          </w:p>
          <w:p w14:paraId="01B5C3E6">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高级技术支持人员包括：设备和系统的原厂专家、中标人的二线技术专家。</w:t>
            </w:r>
          </w:p>
          <w:p w14:paraId="7493BF8A">
            <w:pPr>
              <w:widowControl/>
              <w:spacing w:line="400" w:lineRule="exact"/>
              <w:ind w:firstLine="420" w:firstLineChars="200"/>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需提供热线电话、E-Mail、远程诊断、现场服务、预防性维护（巡检）等多种服务方式，以满足采购人各种技术服务需求。</w:t>
            </w:r>
          </w:p>
        </w:tc>
        <w:tc>
          <w:tcPr>
            <w:tcW w:w="1091" w:type="dxa"/>
            <w:vAlign w:val="center"/>
          </w:tcPr>
          <w:p w14:paraId="608C5D2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p>
        </w:tc>
        <w:tc>
          <w:tcPr>
            <w:tcW w:w="1370" w:type="dxa"/>
            <w:vAlign w:val="center"/>
          </w:tcPr>
          <w:p w14:paraId="1FC097A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否</w:t>
            </w:r>
          </w:p>
        </w:tc>
      </w:tr>
      <w:tr w14:paraId="2D6F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99D111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sz w:val="21"/>
                <w:szCs w:val="21"/>
                <w:highlight w:val="none"/>
              </w:rPr>
            </w:pPr>
          </w:p>
        </w:tc>
        <w:tc>
          <w:tcPr>
            <w:tcW w:w="1114" w:type="dxa"/>
            <w:vAlign w:val="center"/>
          </w:tcPr>
          <w:p w14:paraId="79D7451E">
            <w:pPr>
              <w:spacing w:line="400" w:lineRule="exact"/>
              <w:ind w:firstLine="420" w:firstLineChars="200"/>
              <w:contextualSpacing/>
              <w:rPr>
                <w:rFonts w:hint="eastAsia" w:ascii="宋体" w:hAnsi="宋体" w:eastAsia="宋体" w:cs="宋体"/>
                <w:sz w:val="21"/>
                <w:szCs w:val="21"/>
                <w:highlight w:val="none"/>
              </w:rPr>
            </w:pPr>
          </w:p>
        </w:tc>
        <w:tc>
          <w:tcPr>
            <w:tcW w:w="4277" w:type="dxa"/>
            <w:vAlign w:val="center"/>
          </w:tcPr>
          <w:p w14:paraId="5EF29EE3">
            <w:pPr>
              <w:spacing w:line="400" w:lineRule="exact"/>
              <w:ind w:firstLine="420" w:firstLineChars="200"/>
              <w:contextualSpacing/>
              <w:rPr>
                <w:rFonts w:hint="eastAsia" w:ascii="宋体" w:hAnsi="宋体" w:eastAsia="宋体" w:cs="宋体"/>
                <w:sz w:val="21"/>
                <w:szCs w:val="21"/>
                <w:highlight w:val="none"/>
              </w:rPr>
            </w:pPr>
          </w:p>
        </w:tc>
        <w:tc>
          <w:tcPr>
            <w:tcW w:w="1091" w:type="dxa"/>
            <w:vAlign w:val="center"/>
          </w:tcPr>
          <w:p w14:paraId="237ABE0A">
            <w:pPr>
              <w:spacing w:line="400" w:lineRule="exact"/>
              <w:ind w:firstLine="420" w:firstLineChars="200"/>
              <w:contextualSpacing/>
              <w:rPr>
                <w:rFonts w:hint="eastAsia" w:ascii="宋体" w:hAnsi="宋体" w:eastAsia="宋体" w:cs="宋体"/>
                <w:sz w:val="21"/>
                <w:szCs w:val="21"/>
                <w:highlight w:val="none"/>
              </w:rPr>
            </w:pPr>
          </w:p>
        </w:tc>
        <w:tc>
          <w:tcPr>
            <w:tcW w:w="1370" w:type="dxa"/>
            <w:vAlign w:val="center"/>
          </w:tcPr>
          <w:p w14:paraId="1E6C8316">
            <w:pPr>
              <w:spacing w:line="400" w:lineRule="exact"/>
              <w:ind w:firstLine="420" w:firstLineChars="200"/>
              <w:contextualSpacing/>
              <w:rPr>
                <w:rFonts w:hint="eastAsia" w:ascii="宋体" w:hAnsi="宋体" w:eastAsia="宋体" w:cs="宋体"/>
                <w:sz w:val="21"/>
                <w:szCs w:val="21"/>
                <w:highlight w:val="none"/>
              </w:rPr>
            </w:pPr>
          </w:p>
        </w:tc>
      </w:tr>
      <w:tr w14:paraId="24C0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EC6E9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14" w:type="dxa"/>
            <w:vAlign w:val="center"/>
          </w:tcPr>
          <w:p w14:paraId="09631D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277" w:type="dxa"/>
            <w:vAlign w:val="center"/>
          </w:tcPr>
          <w:p w14:paraId="5DF76FB6">
            <w:pPr>
              <w:widowControl/>
              <w:spacing w:line="400" w:lineRule="exact"/>
              <w:ind w:firstLine="0" w:firstLineChars="0"/>
              <w:contextualSpacing/>
              <w:jc w:val="left"/>
              <w:textAlignment w:val="center"/>
              <w:rPr>
                <w:rFonts w:hint="eastAsia" w:ascii="宋体" w:hAnsi="宋体" w:eastAsia="宋体" w:cs="宋体"/>
                <w:b w:val="0"/>
                <w:kern w:val="2"/>
                <w:sz w:val="21"/>
                <w:szCs w:val="21"/>
                <w:highlight w:val="none"/>
                <w:lang w:val="en-US" w:eastAsia="zh-CN"/>
              </w:rPr>
            </w:pPr>
          </w:p>
        </w:tc>
        <w:tc>
          <w:tcPr>
            <w:tcW w:w="1091" w:type="dxa"/>
            <w:vAlign w:val="center"/>
          </w:tcPr>
          <w:p w14:paraId="5CEDEC2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p>
        </w:tc>
        <w:tc>
          <w:tcPr>
            <w:tcW w:w="1370" w:type="dxa"/>
            <w:vAlign w:val="center"/>
          </w:tcPr>
          <w:p w14:paraId="46C8B16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p>
        </w:tc>
      </w:tr>
      <w:tr w14:paraId="4A99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53BFDAFA">
            <w:pPr>
              <w:spacing w:line="400" w:lineRule="exact"/>
              <w:ind w:firstLine="420" w:firstLineChars="200"/>
              <w:contextualSpacing/>
              <w:rPr>
                <w:rFonts w:hint="eastAsia" w:ascii="宋体" w:hAnsi="宋体" w:eastAsia="宋体" w:cs="宋体"/>
                <w:sz w:val="21"/>
                <w:szCs w:val="21"/>
                <w:highlight w:val="none"/>
              </w:rPr>
            </w:pPr>
          </w:p>
        </w:tc>
      </w:tr>
      <w:tr w14:paraId="7CFB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BA292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14" w:type="dxa"/>
            <w:vAlign w:val="center"/>
          </w:tcPr>
          <w:p w14:paraId="4A2CAE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rPr>
              <w:t>绿色数据中心</w:t>
            </w:r>
            <w:r>
              <w:rPr>
                <w:rFonts w:hint="eastAsia" w:ascii="宋体" w:hAnsi="宋体" w:eastAsia="宋体" w:cs="宋体"/>
                <w:sz w:val="21"/>
                <w:szCs w:val="21"/>
                <w:highlight w:val="none"/>
                <w:lang w:val="en-US" w:eastAsia="zh-CN"/>
              </w:rPr>
              <w:t>运维服务要求</w:t>
            </w:r>
          </w:p>
        </w:tc>
        <w:tc>
          <w:tcPr>
            <w:tcW w:w="4277" w:type="dxa"/>
            <w:vAlign w:val="center"/>
          </w:tcPr>
          <w:p w14:paraId="2DF23A41">
            <w:pPr>
              <w:widowControl/>
              <w:spacing w:line="400" w:lineRule="exact"/>
              <w:ind w:firstLine="0" w:firstLineChars="0"/>
              <w:contextualSpacing/>
              <w:jc w:val="left"/>
              <w:textAlignment w:val="center"/>
              <w:rPr>
                <w:rFonts w:hint="eastAsia" w:ascii="宋体" w:hAnsi="宋体" w:eastAsia="宋体" w:cs="宋体"/>
                <w:b w:val="0"/>
                <w:kern w:val="2"/>
                <w:sz w:val="21"/>
                <w:szCs w:val="21"/>
                <w:highlight w:val="none"/>
                <w:lang w:val="en-US" w:eastAsia="zh-CN"/>
              </w:rPr>
            </w:pPr>
            <w:r>
              <w:rPr>
                <w:rFonts w:hint="eastAsia" w:ascii="宋体" w:hAnsi="宋体" w:eastAsia="宋体" w:cs="宋体"/>
                <w:b w:val="0"/>
                <w:w w:val="100"/>
                <w:kern w:val="2"/>
                <w:sz w:val="21"/>
                <w:szCs w:val="21"/>
                <w:highlight w:val="none"/>
                <w:shd w:val="clear" w:color="auto" w:fill="auto"/>
                <w:lang w:val="en-US" w:eastAsia="zh-CN"/>
              </w:rPr>
              <w:t>符合</w:t>
            </w:r>
            <w:r>
              <w:rPr>
                <w:rFonts w:hint="eastAsia" w:ascii="宋体" w:hAnsi="宋体" w:eastAsia="宋体" w:cs="宋体"/>
                <w:b w:val="0"/>
                <w:w w:val="100"/>
                <w:kern w:val="2"/>
                <w:sz w:val="21"/>
                <w:szCs w:val="21"/>
                <w:highlight w:val="none"/>
                <w:shd w:val="clear" w:color="auto" w:fill="auto"/>
                <w:lang w:val="zh-CN"/>
              </w:rPr>
              <w:t>《绿色数据中心政府采购需求标准（试行）》</w:t>
            </w:r>
            <w:r>
              <w:rPr>
                <w:rFonts w:hint="eastAsia" w:ascii="宋体" w:hAnsi="宋体" w:eastAsia="宋体" w:cs="宋体"/>
                <w:b w:val="0"/>
                <w:w w:val="100"/>
                <w:kern w:val="2"/>
                <w:sz w:val="21"/>
                <w:szCs w:val="21"/>
                <w:highlight w:val="none"/>
                <w:shd w:val="clear" w:color="auto" w:fill="auto"/>
                <w:lang w:val="en-US" w:eastAsia="zh-CN"/>
              </w:rPr>
              <w:t>中</w:t>
            </w:r>
            <w:r>
              <w:rPr>
                <w:rFonts w:hint="eastAsia" w:ascii="宋体" w:hAnsi="宋体" w:eastAsia="宋体" w:cs="宋体"/>
                <w:b w:val="0"/>
                <w:w w:val="100"/>
                <w:kern w:val="2"/>
                <w:sz w:val="21"/>
                <w:szCs w:val="21"/>
                <w:highlight w:val="none"/>
                <w:shd w:val="clear" w:color="auto" w:fill="auto"/>
                <w:lang w:val="zh-CN" w:eastAsia="zh-CN"/>
              </w:rPr>
              <w:t>提出的运维服务</w:t>
            </w:r>
            <w:r>
              <w:rPr>
                <w:rFonts w:hint="eastAsia" w:ascii="宋体" w:hAnsi="宋体" w:eastAsia="宋体" w:cs="宋体"/>
                <w:b w:val="0"/>
                <w:w w:val="100"/>
                <w:kern w:val="2"/>
                <w:sz w:val="21"/>
                <w:szCs w:val="21"/>
                <w:highlight w:val="none"/>
                <w:shd w:val="clear" w:color="auto" w:fill="auto"/>
                <w:lang w:val="en-US" w:eastAsia="zh-CN"/>
              </w:rPr>
              <w:t>要求，</w:t>
            </w:r>
            <w:r>
              <w:rPr>
                <w:rFonts w:hint="eastAsia" w:ascii="宋体" w:hAnsi="宋体" w:eastAsia="宋体" w:cs="宋体"/>
                <w:b w:val="0"/>
                <w:w w:val="100"/>
                <w:kern w:val="2"/>
                <w:sz w:val="21"/>
                <w:szCs w:val="21"/>
                <w:highlight w:val="none"/>
                <w:shd w:val="clear" w:color="auto" w:fill="auto"/>
                <w:lang w:val="zh-CN" w:eastAsia="zh-CN"/>
              </w:rPr>
              <w:t>具体包括数据中心电能比、可再生能源使用比例、</w:t>
            </w:r>
            <w:r>
              <w:rPr>
                <w:rFonts w:hint="eastAsia" w:ascii="宋体" w:hAnsi="宋体" w:eastAsia="宋体" w:cs="宋体"/>
                <w:b w:val="0"/>
                <w:w w:val="100"/>
                <w:kern w:val="2"/>
                <w:sz w:val="21"/>
                <w:szCs w:val="21"/>
                <w:highlight w:val="none"/>
                <w:shd w:val="clear" w:color="auto" w:fill="auto"/>
                <w:lang w:val="en-US" w:eastAsia="zh-CN"/>
              </w:rPr>
              <w:t>数据中心噪声等。</w:t>
            </w:r>
          </w:p>
        </w:tc>
        <w:tc>
          <w:tcPr>
            <w:tcW w:w="1091" w:type="dxa"/>
            <w:vAlign w:val="center"/>
          </w:tcPr>
          <w:p w14:paraId="7787A43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p>
        </w:tc>
        <w:tc>
          <w:tcPr>
            <w:tcW w:w="1370" w:type="dxa"/>
            <w:vAlign w:val="center"/>
          </w:tcPr>
          <w:p w14:paraId="319FF53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否</w:t>
            </w:r>
          </w:p>
        </w:tc>
      </w:tr>
      <w:tr w14:paraId="6C38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vAlign w:val="center"/>
          </w:tcPr>
          <w:p w14:paraId="5EDE1F39">
            <w:pPr>
              <w:spacing w:line="400" w:lineRule="exact"/>
              <w:ind w:firstLine="420" w:firstLineChars="200"/>
              <w:contextualSpacing/>
              <w:rPr>
                <w:rFonts w:hint="eastAsia" w:ascii="宋体" w:hAnsi="宋体" w:eastAsia="宋体" w:cs="宋体"/>
                <w:sz w:val="21"/>
                <w:szCs w:val="21"/>
                <w:highlight w:val="none"/>
              </w:rPr>
            </w:pPr>
          </w:p>
        </w:tc>
      </w:tr>
      <w:tr w14:paraId="4497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1CA34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14" w:type="dxa"/>
            <w:vAlign w:val="center"/>
          </w:tcPr>
          <w:p w14:paraId="1B35F5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eastAsia="zh-CN"/>
              </w:rPr>
              <w:t>税</w:t>
            </w:r>
            <w:r>
              <w:rPr>
                <w:rFonts w:hint="eastAsia" w:ascii="宋体" w:hAnsi="宋体" w:eastAsia="宋体" w:cs="宋体"/>
                <w:sz w:val="21"/>
                <w:szCs w:val="21"/>
                <w:highlight w:val="none"/>
              </w:rPr>
              <w:t>收信息化项目管理工作要</w:t>
            </w:r>
            <w:r>
              <w:rPr>
                <w:rFonts w:hint="eastAsia" w:ascii="宋体" w:hAnsi="宋体" w:eastAsia="宋体" w:cs="宋体"/>
                <w:sz w:val="21"/>
                <w:szCs w:val="21"/>
                <w:highlight w:val="none"/>
                <w:lang w:eastAsia="zh-CN"/>
              </w:rPr>
              <w:t>求</w:t>
            </w:r>
          </w:p>
        </w:tc>
        <w:tc>
          <w:tcPr>
            <w:tcW w:w="4277" w:type="dxa"/>
            <w:vAlign w:val="center"/>
          </w:tcPr>
          <w:p w14:paraId="70CDBC41">
            <w:pPr>
              <w:widowControl/>
              <w:spacing w:line="400" w:lineRule="exact"/>
              <w:ind w:firstLine="0" w:firstLineChars="0"/>
              <w:contextualSpacing/>
              <w:jc w:val="left"/>
              <w:textAlignment w:val="center"/>
              <w:rPr>
                <w:rFonts w:hint="eastAsia" w:ascii="宋体" w:hAnsi="宋体" w:eastAsia="宋体" w:cs="宋体"/>
                <w:b w:val="0"/>
                <w:kern w:val="2"/>
                <w:sz w:val="21"/>
                <w:szCs w:val="21"/>
                <w:highlight w:val="none"/>
                <w:lang w:val="en-US" w:eastAsia="zh-CN"/>
              </w:rPr>
            </w:pPr>
            <w:r>
              <w:rPr>
                <w:rFonts w:hint="eastAsia" w:ascii="宋体" w:hAnsi="宋体" w:eastAsia="宋体" w:cs="宋体"/>
                <w:sz w:val="21"/>
                <w:szCs w:val="21"/>
                <w:highlight w:val="none"/>
              </w:rPr>
              <w:t>项</w:t>
            </w:r>
            <w:r>
              <w:rPr>
                <w:rFonts w:hint="eastAsia" w:ascii="宋体" w:hAnsi="宋体" w:eastAsia="宋体" w:cs="宋体"/>
                <w:bCs/>
                <w:kern w:val="0"/>
                <w:sz w:val="21"/>
                <w:szCs w:val="21"/>
                <w:highlight w:val="none"/>
                <w:lang w:val="en-US" w:eastAsia="zh-CN" w:bidi="ar-SA"/>
              </w:rPr>
              <w:t>目管理过程应遵循国家税务总局、国家税务总局湖南省税务局税收信息化项目开发和应用管理工作有关要求，按照采购人要求配合完成过程监理、中期报告审议、验收资料审议、成效评估等相关工作。</w:t>
            </w:r>
            <w:r>
              <w:rPr>
                <w:rFonts w:hint="eastAsia" w:ascii="宋体" w:hAnsi="宋体" w:cs="宋体"/>
                <w:bCs/>
                <w:kern w:val="0"/>
                <w:sz w:val="21"/>
                <w:szCs w:val="21"/>
                <w:highlight w:val="none"/>
                <w:lang w:val="en-US" w:eastAsia="zh-CN" w:bidi="ar-SA"/>
              </w:rPr>
              <w:t>投标人</w:t>
            </w:r>
            <w:r>
              <w:rPr>
                <w:rFonts w:hint="eastAsia" w:ascii="宋体" w:hAnsi="宋体" w:eastAsia="宋体" w:cs="宋体"/>
                <w:bCs/>
                <w:kern w:val="0"/>
                <w:sz w:val="21"/>
                <w:szCs w:val="21"/>
                <w:highlight w:val="none"/>
                <w:lang w:val="en-US" w:eastAsia="zh-CN" w:bidi="ar-SA"/>
              </w:rPr>
              <w:t>在投标或响应时承诺已知悉并遵守《税务系统信息化服务商失信行为记录名单制度（试行）》相关规定，并承担相应后果，对于违约失信行为，并纳入信</w:t>
            </w:r>
            <w:r>
              <w:rPr>
                <w:rFonts w:hint="eastAsia" w:ascii="宋体" w:hAnsi="宋体" w:eastAsia="宋体" w:cs="宋体"/>
                <w:sz w:val="21"/>
                <w:szCs w:val="21"/>
                <w:highlight w:val="none"/>
              </w:rPr>
              <w:t>息化服务商失信行为记录名单。</w:t>
            </w:r>
          </w:p>
        </w:tc>
        <w:tc>
          <w:tcPr>
            <w:tcW w:w="1091" w:type="dxa"/>
            <w:vAlign w:val="center"/>
          </w:tcPr>
          <w:p w14:paraId="060EEBC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p>
        </w:tc>
        <w:tc>
          <w:tcPr>
            <w:tcW w:w="1370" w:type="dxa"/>
            <w:vAlign w:val="center"/>
          </w:tcPr>
          <w:p w14:paraId="1A3C0D1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否</w:t>
            </w:r>
          </w:p>
        </w:tc>
      </w:tr>
    </w:tbl>
    <w:p w14:paraId="39BCD756">
      <w:pPr>
        <w:keepNext/>
        <w:keepLines/>
        <w:pageBreakBefore w:val="0"/>
        <w:widowControl w:val="0"/>
        <w:kinsoku/>
        <w:wordWrap/>
        <w:overflowPunct/>
        <w:topLinePunct w:val="0"/>
        <w:autoSpaceDE/>
        <w:autoSpaceDN/>
        <w:bidi w:val="0"/>
        <w:adjustRightInd/>
        <w:snapToGrid/>
        <w:spacing w:before="20" w:beforeLines="0" w:beforeAutospacing="0" w:after="20" w:afterLines="0" w:afterAutospacing="0" w:line="240" w:lineRule="auto"/>
        <w:jc w:val="both"/>
        <w:textAlignment w:val="auto"/>
        <w:outlineLvl w:val="2"/>
        <w:rPr>
          <w:rFonts w:hint="eastAsia" w:ascii="宋体" w:hAnsi="宋体" w:eastAsia="宋体" w:cs="宋体"/>
          <w:b/>
          <w:kern w:val="2"/>
          <w:sz w:val="21"/>
          <w:szCs w:val="21"/>
          <w:highlight w:val="none"/>
          <w:lang w:val="en-US" w:eastAsia="zh-CN" w:bidi="ar-SA"/>
        </w:rPr>
      </w:pPr>
    </w:p>
    <w:p w14:paraId="16382CF7">
      <w:pPr>
        <w:keepNext/>
        <w:keepLines/>
        <w:pageBreakBefore w:val="0"/>
        <w:widowControl w:val="0"/>
        <w:kinsoku/>
        <w:wordWrap/>
        <w:overflowPunct/>
        <w:topLinePunct w:val="0"/>
        <w:autoSpaceDE/>
        <w:autoSpaceDN/>
        <w:bidi w:val="0"/>
        <w:adjustRightInd/>
        <w:snapToGrid/>
        <w:spacing w:before="20" w:beforeLines="0" w:beforeAutospacing="0" w:after="20" w:afterLines="0" w:afterAutospacing="0" w:line="360" w:lineRule="auto"/>
        <w:jc w:val="both"/>
        <w:textAlignment w:val="auto"/>
        <w:outlineLvl w:val="2"/>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 xml:space="preserve">  3.2分项服务内容要求</w:t>
      </w:r>
    </w:p>
    <w:p w14:paraId="38E4A43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kern w:val="2"/>
          <w:sz w:val="21"/>
          <w:szCs w:val="21"/>
          <w:highlight w:val="none"/>
          <w:lang w:val="en-US" w:eastAsia="zh-CN" w:bidi="ar-SA"/>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针对不同的系统和设备，服务内容会有不同具体要求。在项目服务期内，采购人可根据数据中心运维工作需要对服务细节进行调整，部分重要设备的主要技术服务内容如下：</w:t>
      </w:r>
    </w:p>
    <w:p w14:paraId="1FB4DB76">
      <w:pPr>
        <w:keepNext/>
        <w:keepLines/>
        <w:pageBreakBefore w:val="0"/>
        <w:widowControl w:val="0"/>
        <w:kinsoku/>
        <w:wordWrap/>
        <w:overflowPunct/>
        <w:topLinePunct w:val="0"/>
        <w:autoSpaceDE/>
        <w:autoSpaceDN/>
        <w:bidi w:val="0"/>
        <w:adjustRightInd/>
        <w:snapToGrid/>
        <w:spacing w:before="20" w:beforeLines="0" w:beforeAutospacing="0" w:after="20" w:afterLines="0" w:afterAutospacing="0" w:line="360" w:lineRule="auto"/>
        <w:jc w:val="both"/>
        <w:textAlignment w:val="auto"/>
        <w:outlineLvl w:val="2"/>
        <w:rPr>
          <w:rFonts w:hint="eastAsia" w:ascii="宋体" w:hAnsi="宋体" w:eastAsia="宋体" w:cs="宋体"/>
          <w:b/>
          <w:color w:val="FF0000"/>
          <w:kern w:val="0"/>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 xml:space="preserve"> 3</w:t>
      </w:r>
      <w:r>
        <w:rPr>
          <w:rFonts w:hint="eastAsia" w:ascii="宋体" w:hAnsi="宋体" w:eastAsia="宋体" w:cs="宋体"/>
          <w:b/>
          <w:bCs/>
          <w:w w:val="100"/>
          <w:kern w:val="2"/>
          <w:sz w:val="21"/>
          <w:szCs w:val="21"/>
          <w:highlight w:val="none"/>
          <w:shd w:val="clear" w:color="auto" w:fill="auto"/>
          <w:lang w:val="en-US" w:eastAsia="zh-CN" w:bidi="ar-SA"/>
        </w:rPr>
        <w:t>.2.1精密</w:t>
      </w:r>
      <w:r>
        <w:rPr>
          <w:rFonts w:hint="eastAsia" w:ascii="宋体" w:hAnsi="宋体" w:eastAsia="宋体" w:cs="宋体"/>
          <w:b/>
          <w:bCs/>
          <w:sz w:val="21"/>
          <w:szCs w:val="21"/>
          <w:highlight w:val="none"/>
          <w:lang w:val="en-US" w:eastAsia="zh-CN"/>
        </w:rPr>
        <w:t>空调</w:t>
      </w:r>
      <w:r>
        <w:rPr>
          <w:rFonts w:hint="eastAsia" w:ascii="宋体" w:hAnsi="宋体" w:eastAsia="宋体" w:cs="宋体"/>
          <w:b/>
          <w:bCs/>
          <w:w w:val="100"/>
          <w:kern w:val="2"/>
          <w:sz w:val="21"/>
          <w:szCs w:val="21"/>
          <w:highlight w:val="none"/>
          <w:shd w:val="clear" w:color="auto" w:fill="auto"/>
          <w:lang w:val="en-US" w:eastAsia="zh-CN" w:bidi="ar-SA"/>
        </w:rPr>
        <w:t>技术服务</w:t>
      </w:r>
    </w:p>
    <w:tbl>
      <w:tblPr>
        <w:tblStyle w:val="24"/>
        <w:tblW w:w="9462" w:type="dxa"/>
        <w:jc w:val="center"/>
        <w:tblLayout w:type="fixed"/>
        <w:tblCellMar>
          <w:top w:w="15" w:type="dxa"/>
          <w:left w:w="15" w:type="dxa"/>
          <w:bottom w:w="15" w:type="dxa"/>
          <w:right w:w="15" w:type="dxa"/>
        </w:tblCellMar>
      </w:tblPr>
      <w:tblGrid>
        <w:gridCol w:w="822"/>
        <w:gridCol w:w="1113"/>
        <w:gridCol w:w="5028"/>
        <w:gridCol w:w="1238"/>
        <w:gridCol w:w="1261"/>
      </w:tblGrid>
      <w:tr w14:paraId="53EA1EB5">
        <w:tblPrEx>
          <w:tblCellMar>
            <w:top w:w="15" w:type="dxa"/>
            <w:left w:w="15" w:type="dxa"/>
            <w:bottom w:w="15" w:type="dxa"/>
            <w:right w:w="15" w:type="dxa"/>
          </w:tblCellMar>
        </w:tblPrEx>
        <w:trPr>
          <w:trHeight w:val="436"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53618F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13" w:type="dxa"/>
            <w:tcBorders>
              <w:top w:val="single" w:color="000000" w:sz="4" w:space="0"/>
              <w:left w:val="single" w:color="000000" w:sz="4" w:space="0"/>
              <w:bottom w:val="single" w:color="000000" w:sz="4" w:space="0"/>
              <w:right w:val="single" w:color="000000" w:sz="4" w:space="0"/>
            </w:tcBorders>
            <w:vAlign w:val="center"/>
          </w:tcPr>
          <w:p w14:paraId="15E4B3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5028" w:type="dxa"/>
            <w:tcBorders>
              <w:top w:val="single" w:color="000000" w:sz="4" w:space="0"/>
              <w:left w:val="single" w:color="000000" w:sz="4" w:space="0"/>
              <w:bottom w:val="single" w:color="000000" w:sz="4" w:space="0"/>
              <w:right w:val="single" w:color="000000" w:sz="4" w:space="0"/>
            </w:tcBorders>
            <w:vAlign w:val="center"/>
          </w:tcPr>
          <w:p w14:paraId="6FDC4D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238" w:type="dxa"/>
            <w:tcBorders>
              <w:top w:val="single" w:color="000000" w:sz="4" w:space="0"/>
              <w:left w:val="single" w:color="000000" w:sz="4" w:space="0"/>
              <w:bottom w:val="single" w:color="000000" w:sz="4" w:space="0"/>
              <w:right w:val="single" w:color="000000" w:sz="4" w:space="0"/>
            </w:tcBorders>
            <w:vAlign w:val="center"/>
          </w:tcPr>
          <w:p w14:paraId="194D1A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261" w:type="dxa"/>
            <w:tcBorders>
              <w:top w:val="single" w:color="000000" w:sz="4" w:space="0"/>
              <w:left w:val="single" w:color="000000" w:sz="4" w:space="0"/>
              <w:bottom w:val="single" w:color="000000" w:sz="4" w:space="0"/>
              <w:right w:val="single" w:color="000000" w:sz="4" w:space="0"/>
            </w:tcBorders>
            <w:vAlign w:val="center"/>
          </w:tcPr>
          <w:p w14:paraId="0D1CB3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33AC53BC">
        <w:tblPrEx>
          <w:tblCellMar>
            <w:top w:w="15" w:type="dxa"/>
            <w:left w:w="15" w:type="dxa"/>
            <w:bottom w:w="15" w:type="dxa"/>
            <w:right w:w="15" w:type="dxa"/>
          </w:tblCellMar>
        </w:tblPrEx>
        <w:trPr>
          <w:trHeight w:val="760"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21DAF6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13" w:type="dxa"/>
            <w:tcBorders>
              <w:top w:val="single" w:color="000000" w:sz="4" w:space="0"/>
              <w:left w:val="single" w:color="000000" w:sz="4" w:space="0"/>
              <w:bottom w:val="single" w:color="000000" w:sz="4" w:space="0"/>
              <w:right w:val="single" w:color="000000" w:sz="4" w:space="0"/>
            </w:tcBorders>
            <w:vAlign w:val="center"/>
          </w:tcPr>
          <w:p w14:paraId="70B83B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配置管理</w:t>
            </w:r>
          </w:p>
        </w:tc>
        <w:tc>
          <w:tcPr>
            <w:tcW w:w="5028" w:type="dxa"/>
            <w:tcBorders>
              <w:top w:val="single" w:color="000000" w:sz="4" w:space="0"/>
              <w:left w:val="single" w:color="000000" w:sz="4" w:space="0"/>
              <w:bottom w:val="single" w:color="000000" w:sz="4" w:space="0"/>
              <w:right w:val="single" w:color="000000" w:sz="4" w:space="0"/>
            </w:tcBorders>
            <w:vAlign w:val="center"/>
          </w:tcPr>
          <w:p w14:paraId="322E669C">
            <w:pPr>
              <w:widowControl/>
              <w:spacing w:line="400" w:lineRule="exact"/>
              <w:ind w:firstLine="0" w:firstLineChars="0"/>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Cs/>
                <w:kern w:val="0"/>
                <w:sz w:val="21"/>
                <w:szCs w:val="21"/>
                <w:highlight w:val="none"/>
                <w:lang w:val="en-US" w:eastAsia="zh-CN" w:bidi="ar-SA"/>
              </w:rPr>
              <w:t>对空调系统情况进行记录并更新《机房精密空调配置表》，掌握机房基础设施资源配置和使用情况，及时发现资源配置瓶颈，把握机房的变化情况，提供趋势预测及基础数据支持，实现机房资源合理部署。配置变更时，同步更新“一账式”系统。</w:t>
            </w:r>
          </w:p>
        </w:tc>
        <w:tc>
          <w:tcPr>
            <w:tcW w:w="1238" w:type="dxa"/>
            <w:tcBorders>
              <w:top w:val="single" w:color="000000" w:sz="4" w:space="0"/>
              <w:left w:val="single" w:color="000000" w:sz="4" w:space="0"/>
              <w:bottom w:val="single" w:color="000000" w:sz="4" w:space="0"/>
              <w:right w:val="single" w:color="000000" w:sz="4" w:space="0"/>
            </w:tcBorders>
            <w:vAlign w:val="center"/>
          </w:tcPr>
          <w:p w14:paraId="1F347813">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261" w:type="dxa"/>
            <w:tcBorders>
              <w:top w:val="single" w:color="000000" w:sz="4" w:space="0"/>
              <w:left w:val="single" w:color="000000" w:sz="4" w:space="0"/>
              <w:bottom w:val="single" w:color="000000" w:sz="4" w:space="0"/>
              <w:right w:val="single" w:color="000000" w:sz="4" w:space="0"/>
            </w:tcBorders>
            <w:vAlign w:val="center"/>
          </w:tcPr>
          <w:p w14:paraId="07A7FD76">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提供《机房精密空调配置表》及更新“一账式”系统相关信息的实现方法</w:t>
            </w:r>
          </w:p>
        </w:tc>
      </w:tr>
      <w:tr w14:paraId="11B03E17">
        <w:tblPrEx>
          <w:tblCellMar>
            <w:top w:w="15" w:type="dxa"/>
            <w:left w:w="15" w:type="dxa"/>
            <w:bottom w:w="15" w:type="dxa"/>
            <w:right w:w="15" w:type="dxa"/>
          </w:tblCellMar>
        </w:tblPrEx>
        <w:trPr>
          <w:trHeight w:val="760"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5DA3F7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13" w:type="dxa"/>
            <w:tcBorders>
              <w:top w:val="single" w:color="000000" w:sz="4" w:space="0"/>
              <w:left w:val="single" w:color="000000" w:sz="4" w:space="0"/>
              <w:bottom w:val="single" w:color="000000" w:sz="4" w:space="0"/>
              <w:right w:val="single" w:color="000000" w:sz="4" w:space="0"/>
            </w:tcBorders>
            <w:vAlign w:val="center"/>
          </w:tcPr>
          <w:p w14:paraId="382B13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故障管理</w:t>
            </w:r>
          </w:p>
        </w:tc>
        <w:tc>
          <w:tcPr>
            <w:tcW w:w="5028" w:type="dxa"/>
            <w:tcBorders>
              <w:top w:val="single" w:color="000000" w:sz="4" w:space="0"/>
              <w:left w:val="single" w:color="000000" w:sz="4" w:space="0"/>
              <w:bottom w:val="single" w:color="000000" w:sz="4" w:space="0"/>
              <w:right w:val="single" w:color="000000" w:sz="4" w:space="0"/>
            </w:tcBorders>
            <w:vAlign w:val="center"/>
          </w:tcPr>
          <w:p w14:paraId="601FD274">
            <w:pPr>
              <w:widowControl/>
              <w:spacing w:line="400" w:lineRule="exact"/>
              <w:ind w:firstLine="0" w:firstLineChars="0"/>
              <w:contextualSpacing/>
              <w:jc w:val="left"/>
              <w:textAlignment w:val="center"/>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lang w:val="en-US" w:eastAsia="zh-CN" w:bidi="ar-SA"/>
              </w:rPr>
              <w:t>1、当空调发生故障，在规定的时间内进行修复，恢复设备正常运行。</w:t>
            </w:r>
          </w:p>
          <w:p w14:paraId="6168206C">
            <w:pPr>
              <w:widowControl/>
              <w:spacing w:line="400" w:lineRule="exact"/>
              <w:ind w:firstLine="0" w:firstLineChars="0"/>
              <w:contextualSpacing/>
              <w:jc w:val="left"/>
              <w:textAlignment w:val="center"/>
              <w:rPr>
                <w:rFonts w:hint="eastAsia" w:ascii="宋体" w:hAnsi="宋体" w:eastAsia="宋体" w:cs="宋体"/>
                <w:bCs/>
                <w:kern w:val="0"/>
                <w:sz w:val="21"/>
                <w:szCs w:val="21"/>
                <w:highlight w:val="none"/>
                <w:lang w:val="zh-CN" w:eastAsia="zh-CN" w:bidi="ar-SA"/>
              </w:rPr>
            </w:pPr>
            <w:r>
              <w:rPr>
                <w:rFonts w:hint="eastAsia" w:ascii="宋体" w:hAnsi="宋体" w:eastAsia="宋体" w:cs="宋体"/>
                <w:bCs/>
                <w:kern w:val="0"/>
                <w:sz w:val="21"/>
                <w:szCs w:val="21"/>
                <w:highlight w:val="none"/>
                <w:lang w:val="en-US" w:eastAsia="zh-CN" w:bidi="ar-SA"/>
              </w:rPr>
              <w:t>2、如无法在规定时间修复故障，必须免费提供应急处理服务（包括提供备机），避免影响机房设备的正常运行。</w:t>
            </w:r>
          </w:p>
          <w:p w14:paraId="35F81B02">
            <w:pPr>
              <w:widowControl/>
              <w:spacing w:line="400" w:lineRule="exact"/>
              <w:ind w:firstLine="0" w:firstLineChars="0"/>
              <w:contextualSpacing/>
              <w:jc w:val="left"/>
              <w:textAlignment w:val="center"/>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lang w:val="en-US" w:eastAsia="zh-CN" w:bidi="ar-SA"/>
              </w:rPr>
              <w:t>3、</w:t>
            </w:r>
            <w:r>
              <w:rPr>
                <w:rFonts w:hint="eastAsia" w:ascii="宋体" w:hAnsi="宋体" w:eastAsia="宋体" w:cs="宋体"/>
                <w:bCs/>
                <w:kern w:val="0"/>
                <w:sz w:val="21"/>
                <w:szCs w:val="21"/>
                <w:highlight w:val="none"/>
                <w:lang w:val="zh-CN" w:eastAsia="zh-CN" w:bidi="ar-SA"/>
              </w:rPr>
              <w:t>免</w:t>
            </w:r>
            <w:r>
              <w:rPr>
                <w:rFonts w:hint="eastAsia" w:ascii="宋体" w:hAnsi="宋体" w:eastAsia="宋体" w:cs="宋体"/>
                <w:bCs/>
                <w:kern w:val="0"/>
                <w:sz w:val="21"/>
                <w:szCs w:val="21"/>
                <w:highlight w:val="none"/>
                <w:lang w:val="en-US" w:eastAsia="zh-CN" w:bidi="ar-SA"/>
              </w:rPr>
              <w:t>费更换损坏的所有空调部件(含易损件)。</w:t>
            </w:r>
          </w:p>
          <w:p w14:paraId="0B4BF087">
            <w:pPr>
              <w:widowControl/>
              <w:spacing w:line="400" w:lineRule="exact"/>
              <w:ind w:firstLine="0" w:firstLineChars="0"/>
              <w:contextualSpacing/>
              <w:jc w:val="left"/>
              <w:textAlignment w:val="center"/>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lang w:val="en-US" w:eastAsia="zh-CN" w:bidi="ar-SA"/>
              </w:rPr>
              <w:t>4、更换的零配件必须符合招标文件对备品备件的质量要求。</w:t>
            </w:r>
          </w:p>
          <w:p w14:paraId="6615BDCF">
            <w:pPr>
              <w:widowControl/>
              <w:spacing w:line="400" w:lineRule="exact"/>
              <w:ind w:firstLine="0" w:firstLineChars="0"/>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Cs/>
                <w:kern w:val="0"/>
                <w:sz w:val="21"/>
                <w:szCs w:val="21"/>
                <w:highlight w:val="none"/>
                <w:lang w:val="en-US" w:eastAsia="zh-CN" w:bidi="ar-SA"/>
              </w:rPr>
              <w:t>5、每次维修服务后，必须提供故障处理报告（盖中标人公章）。</w:t>
            </w:r>
          </w:p>
        </w:tc>
        <w:tc>
          <w:tcPr>
            <w:tcW w:w="1238" w:type="dxa"/>
            <w:tcBorders>
              <w:top w:val="single" w:color="000000" w:sz="4" w:space="0"/>
              <w:left w:val="single" w:color="000000" w:sz="4" w:space="0"/>
              <w:bottom w:val="single" w:color="000000" w:sz="4" w:space="0"/>
              <w:right w:val="single" w:color="000000" w:sz="4" w:space="0"/>
            </w:tcBorders>
            <w:vAlign w:val="center"/>
          </w:tcPr>
          <w:p w14:paraId="438127CE">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261" w:type="dxa"/>
            <w:tcBorders>
              <w:top w:val="single" w:color="000000" w:sz="4" w:space="0"/>
              <w:left w:val="single" w:color="000000" w:sz="4" w:space="0"/>
              <w:bottom w:val="single" w:color="000000" w:sz="4" w:space="0"/>
              <w:right w:val="single" w:color="000000" w:sz="4" w:space="0"/>
            </w:tcBorders>
            <w:vAlign w:val="center"/>
          </w:tcPr>
          <w:p w14:paraId="64E3479B">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740C1F82">
        <w:tblPrEx>
          <w:tblCellMar>
            <w:top w:w="15" w:type="dxa"/>
            <w:left w:w="15" w:type="dxa"/>
            <w:bottom w:w="15" w:type="dxa"/>
            <w:right w:w="15" w:type="dxa"/>
          </w:tblCellMar>
        </w:tblPrEx>
        <w:trPr>
          <w:trHeight w:val="90"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4FDCE6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13" w:type="dxa"/>
            <w:tcBorders>
              <w:top w:val="single" w:color="000000" w:sz="4" w:space="0"/>
              <w:left w:val="single" w:color="000000" w:sz="4" w:space="0"/>
              <w:bottom w:val="single" w:color="000000" w:sz="4" w:space="0"/>
              <w:right w:val="single" w:color="000000" w:sz="4" w:space="0"/>
            </w:tcBorders>
            <w:vAlign w:val="center"/>
          </w:tcPr>
          <w:p w14:paraId="706D52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健康检查和维护保养</w:t>
            </w:r>
          </w:p>
        </w:tc>
        <w:tc>
          <w:tcPr>
            <w:tcW w:w="5028" w:type="dxa"/>
            <w:tcBorders>
              <w:top w:val="single" w:color="000000" w:sz="4" w:space="0"/>
              <w:left w:val="single" w:color="000000" w:sz="4" w:space="0"/>
              <w:bottom w:val="single" w:color="000000" w:sz="4" w:space="0"/>
              <w:right w:val="single" w:color="000000" w:sz="4" w:space="0"/>
            </w:tcBorders>
            <w:vAlign w:val="center"/>
          </w:tcPr>
          <w:p w14:paraId="577F72C3">
            <w:pPr>
              <w:widowControl/>
              <w:spacing w:line="400" w:lineRule="exact"/>
              <w:contextualSpacing/>
              <w:jc w:val="left"/>
              <w:textAlignment w:val="center"/>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1、</w:t>
            </w:r>
            <w:r>
              <w:rPr>
                <w:rFonts w:hint="eastAsia" w:ascii="宋体" w:hAnsi="宋体" w:eastAsia="宋体" w:cs="宋体"/>
                <w:kern w:val="0"/>
                <w:sz w:val="21"/>
                <w:szCs w:val="21"/>
                <w:highlight w:val="none"/>
              </w:rPr>
              <w:t>定期对空调易损件进行更换，</w:t>
            </w:r>
            <w:r>
              <w:rPr>
                <w:rFonts w:hint="eastAsia" w:ascii="宋体" w:hAnsi="宋体" w:eastAsia="宋体" w:cs="宋体"/>
                <w:kern w:val="0"/>
                <w:sz w:val="21"/>
                <w:szCs w:val="21"/>
                <w:highlight w:val="none"/>
                <w:lang w:val="zh-CN"/>
              </w:rPr>
              <w:t>精密空调的过滤网在服务期内至少更换一次。</w:t>
            </w:r>
          </w:p>
          <w:p w14:paraId="22F83C47">
            <w:pPr>
              <w:widowControl/>
              <w:spacing w:line="400" w:lineRule="exact"/>
              <w:contextualSpacing/>
              <w:jc w:val="left"/>
              <w:textAlignment w:val="center"/>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2、每季度使用专用设备对空调室外机进行一次清洗。</w:t>
            </w:r>
          </w:p>
          <w:p w14:paraId="4B919547">
            <w:pPr>
              <w:widowControl/>
              <w:spacing w:line="400" w:lineRule="exact"/>
              <w:ind w:firstLine="0" w:firstLineChars="0"/>
              <w:contextualSpacing/>
              <w:jc w:val="left"/>
              <w:textAlignment w:val="center"/>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3、每季度</w:t>
            </w:r>
            <w:r>
              <w:rPr>
                <w:rFonts w:hint="eastAsia" w:ascii="宋体" w:hAnsi="宋体" w:eastAsia="宋体" w:cs="宋体"/>
                <w:sz w:val="21"/>
                <w:szCs w:val="21"/>
                <w:highlight w:val="none"/>
              </w:rPr>
              <w:t>必</w:t>
            </w:r>
            <w:r>
              <w:rPr>
                <w:rFonts w:hint="eastAsia" w:ascii="宋体" w:hAnsi="宋体" w:eastAsia="宋体" w:cs="宋体"/>
                <w:kern w:val="0"/>
                <w:sz w:val="21"/>
                <w:szCs w:val="21"/>
                <w:highlight w:val="none"/>
                <w:lang w:val="zh-CN"/>
              </w:rPr>
              <w:t>须派工程师到现场对空调设备进行全面检查保养。</w:t>
            </w:r>
            <w:r>
              <w:rPr>
                <w:rFonts w:hint="eastAsia" w:ascii="宋体" w:hAnsi="宋体" w:eastAsia="宋体" w:cs="宋体"/>
                <w:bCs/>
                <w:kern w:val="0"/>
                <w:sz w:val="21"/>
                <w:szCs w:val="21"/>
                <w:highlight w:val="none"/>
                <w:lang w:val="zh-CN" w:eastAsia="zh-CN" w:bidi="ar-SA"/>
              </w:rPr>
              <w:t>其中</w:t>
            </w:r>
            <w:r>
              <w:rPr>
                <w:rFonts w:hint="eastAsia" w:ascii="宋体" w:hAnsi="宋体" w:eastAsia="宋体" w:cs="宋体"/>
                <w:kern w:val="0"/>
                <w:sz w:val="21"/>
                <w:szCs w:val="21"/>
                <w:highlight w:val="none"/>
                <w:lang w:val="zh-CN"/>
              </w:rPr>
              <w:t>环保路和友谊路机房的精密空调在炎热季节（每年7、8、9月）每半月需要进行一次全面检查保养。检查保养项目包括：</w:t>
            </w:r>
          </w:p>
          <w:p w14:paraId="6D763BF0">
            <w:pPr>
              <w:widowControl/>
              <w:spacing w:line="400" w:lineRule="exact"/>
              <w:contextualSpacing/>
              <w:jc w:val="left"/>
              <w:textAlignment w:val="center"/>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过滤器</w:t>
            </w:r>
          </w:p>
          <w:p w14:paraId="701AAA95">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检测空气滤网气流是否通畅；蒸发器、翅片明亮无阻塞、无污痕、清洁</w:t>
            </w:r>
          </w:p>
          <w:p w14:paraId="197A9677">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检查过滤器开关</w:t>
            </w:r>
          </w:p>
          <w:p w14:paraId="1C47817D">
            <w:pPr>
              <w:spacing w:line="400" w:lineRule="exact"/>
              <w:contextualSpacing/>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主风机</w:t>
            </w:r>
          </w:p>
          <w:p w14:paraId="1701E03A">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检查并调整皮带轮和电机的装配，检查是否牢固和正确</w:t>
            </w:r>
          </w:p>
          <w:p w14:paraId="73C0A1BB">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检查并调整皮带松紧程度和状况</w:t>
            </w:r>
          </w:p>
          <w:p w14:paraId="21AA77B2">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检查风机轴承</w:t>
            </w:r>
          </w:p>
          <w:p w14:paraId="6BE39AEB">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检查风机电机和风机电流</w:t>
            </w:r>
          </w:p>
          <w:p w14:paraId="5CA8CA90">
            <w:pPr>
              <w:spacing w:line="400" w:lineRule="exact"/>
              <w:contextualSpacing/>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压缩机</w:t>
            </w:r>
          </w:p>
          <w:p w14:paraId="7D0DAEED">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检查是否有漏油，油位、油质是否正常，如不符合标准则需更换冷冻油</w:t>
            </w:r>
          </w:p>
          <w:p w14:paraId="157C2F83">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检查压缩机电流</w:t>
            </w:r>
          </w:p>
          <w:p w14:paraId="12049900">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检查压缩机运转声音和机身温度(运转中)是否正常，不正常则需进行维修</w:t>
            </w:r>
          </w:p>
          <w:p w14:paraId="78DC0297">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检测压缩机高低压传感器的工作参数</w:t>
            </w:r>
          </w:p>
          <w:p w14:paraId="3EBD4AD6">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检查吸气压力，有无过冷、过热现象</w:t>
            </w:r>
          </w:p>
          <w:p w14:paraId="268D3AF5">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检查并修补冷煤管保温</w:t>
            </w:r>
          </w:p>
          <w:p w14:paraId="39A5DA01">
            <w:pPr>
              <w:spacing w:line="400" w:lineRule="exact"/>
              <w:contextualSpacing/>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风冷凝器</w:t>
            </w:r>
          </w:p>
          <w:p w14:paraId="6A1F2C52">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检查风扇绕组，测量风扇电流</w:t>
            </w:r>
          </w:p>
          <w:p w14:paraId="6C59139B">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检查风扇是否紧固，轴承工作状态是否正常，风扇调速是否正常</w:t>
            </w:r>
          </w:p>
          <w:p w14:paraId="385C1932">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检查清洁状况</w:t>
            </w:r>
          </w:p>
          <w:p w14:paraId="117DF1B8">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检查调速控制板及温度开头工作状态</w:t>
            </w:r>
          </w:p>
          <w:p w14:paraId="3DAB33AC">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清除冷凝沉淀物</w:t>
            </w:r>
          </w:p>
          <w:p w14:paraId="6BC59E17">
            <w:pPr>
              <w:spacing w:line="400" w:lineRule="exact"/>
              <w:contextualSpacing/>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加湿器</w:t>
            </w:r>
          </w:p>
          <w:p w14:paraId="1B09A03A">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检查水盘排水管是否被堵塞</w:t>
            </w:r>
          </w:p>
          <w:p w14:paraId="569A7060">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检查加湿器电极工作状态是否正常</w:t>
            </w:r>
          </w:p>
          <w:p w14:paraId="34BF5DF8">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检查加湿器是否有水垢</w:t>
            </w:r>
          </w:p>
          <w:p w14:paraId="4724AEEF">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检查进水流量是否适当</w:t>
            </w:r>
          </w:p>
          <w:p w14:paraId="4CA5C58F">
            <w:pPr>
              <w:spacing w:line="400" w:lineRule="exact"/>
              <w:contextualSpacing/>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rPr>
              <w:t>制冷循环部分</w:t>
            </w:r>
          </w:p>
          <w:p w14:paraId="3E238CB9">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检查制冷管路是否有泄漏</w:t>
            </w:r>
          </w:p>
          <w:p w14:paraId="0FF5441D">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通过视镜检查系统是否有水汽</w:t>
            </w:r>
          </w:p>
          <w:p w14:paraId="75F41BDC">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检查吸气压力</w:t>
            </w:r>
          </w:p>
          <w:p w14:paraId="58C1730F">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检查排气压力</w:t>
            </w:r>
          </w:p>
          <w:p w14:paraId="491429E0">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检查压头</w:t>
            </w:r>
          </w:p>
          <w:p w14:paraId="184B0651">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检查热气旁通</w:t>
            </w:r>
          </w:p>
          <w:p w14:paraId="75B827CB">
            <w:pPr>
              <w:spacing w:line="400" w:lineRule="exact"/>
              <w:contextualSpacing/>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rPr>
              <w:t>电气装置</w:t>
            </w:r>
          </w:p>
          <w:p w14:paraId="4EC83CCE">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检查空气开关和接触器外观及动作情况</w:t>
            </w:r>
          </w:p>
          <w:p w14:paraId="1770FE64">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检查和紧固所有导线连接</w:t>
            </w:r>
          </w:p>
          <w:p w14:paraId="39F50E56">
            <w:pPr>
              <w:widowControl w:val="0"/>
              <w:spacing w:line="400" w:lineRule="exact"/>
              <w:ind w:firstLine="420" w:firstLineChars="200"/>
              <w:contextualSpacing/>
              <w:jc w:val="both"/>
              <w:textAlignment w:val="center"/>
              <w:rPr>
                <w:rFonts w:hint="eastAsia" w:ascii="宋体" w:hAnsi="宋体" w:eastAsia="宋体" w:cs="宋体"/>
                <w:kern w:val="2"/>
                <w:sz w:val="21"/>
                <w:szCs w:val="21"/>
                <w:highlight w:val="none"/>
                <w:lang w:val="zh-CN" w:eastAsia="zh-CN" w:bidi="ar-SA"/>
              </w:rPr>
            </w:pPr>
            <w:r>
              <w:rPr>
                <w:rFonts w:hint="eastAsia" w:ascii="宋体" w:hAnsi="宋体" w:eastAsia="宋体" w:cs="宋体"/>
                <w:bCs/>
                <w:kern w:val="2"/>
                <w:sz w:val="21"/>
                <w:szCs w:val="21"/>
                <w:highlight w:val="none"/>
                <w:lang w:val="zh-CN" w:eastAsia="zh-CN" w:bidi="ar-SA"/>
              </w:rPr>
              <w:t>检查校验运行状态显示</w:t>
            </w:r>
          </w:p>
          <w:p w14:paraId="360B41DA">
            <w:pPr>
              <w:widowControl/>
              <w:spacing w:line="400" w:lineRule="exact"/>
              <w:contextualSpacing/>
              <w:jc w:val="left"/>
              <w:textAlignment w:val="center"/>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4、每次检查保养后，</w:t>
            </w:r>
            <w:r>
              <w:rPr>
                <w:rFonts w:hint="eastAsia" w:ascii="宋体" w:hAnsi="宋体" w:eastAsia="宋体" w:cs="宋体"/>
                <w:sz w:val="21"/>
                <w:szCs w:val="21"/>
                <w:highlight w:val="none"/>
              </w:rPr>
              <w:t>必</w:t>
            </w:r>
            <w:r>
              <w:rPr>
                <w:rFonts w:hint="eastAsia" w:ascii="宋体" w:hAnsi="宋体" w:eastAsia="宋体" w:cs="宋体"/>
                <w:kern w:val="0"/>
                <w:sz w:val="21"/>
                <w:szCs w:val="21"/>
                <w:highlight w:val="none"/>
                <w:lang w:val="zh-CN"/>
              </w:rPr>
              <w:t>须提供检查报告（盖中标人公章）。</w:t>
            </w:r>
          </w:p>
        </w:tc>
        <w:tc>
          <w:tcPr>
            <w:tcW w:w="1238" w:type="dxa"/>
            <w:tcBorders>
              <w:top w:val="single" w:color="000000" w:sz="4" w:space="0"/>
              <w:left w:val="single" w:color="000000" w:sz="4" w:space="0"/>
              <w:bottom w:val="single" w:color="000000" w:sz="4" w:space="0"/>
              <w:right w:val="single" w:color="000000" w:sz="4" w:space="0"/>
            </w:tcBorders>
            <w:vAlign w:val="center"/>
          </w:tcPr>
          <w:p w14:paraId="26D01FD0">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261" w:type="dxa"/>
            <w:tcBorders>
              <w:top w:val="single" w:color="000000" w:sz="4" w:space="0"/>
              <w:left w:val="single" w:color="000000" w:sz="4" w:space="0"/>
              <w:bottom w:val="single" w:color="000000" w:sz="4" w:space="0"/>
              <w:right w:val="single" w:color="000000" w:sz="4" w:space="0"/>
            </w:tcBorders>
            <w:vAlign w:val="center"/>
          </w:tcPr>
          <w:p w14:paraId="377B3445">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3882EF14">
        <w:tblPrEx>
          <w:tblCellMar>
            <w:top w:w="15" w:type="dxa"/>
            <w:left w:w="15" w:type="dxa"/>
            <w:bottom w:w="15" w:type="dxa"/>
            <w:right w:w="15" w:type="dxa"/>
          </w:tblCellMar>
        </w:tblPrEx>
        <w:trPr>
          <w:trHeight w:val="1150" w:hRule="atLeast"/>
          <w:jc w:val="center"/>
        </w:trPr>
        <w:tc>
          <w:tcPr>
            <w:tcW w:w="822" w:type="dxa"/>
            <w:tcBorders>
              <w:top w:val="single" w:color="000000" w:sz="4" w:space="0"/>
              <w:left w:val="single" w:color="000000" w:sz="4" w:space="0"/>
              <w:bottom w:val="single" w:color="000000" w:sz="4" w:space="0"/>
              <w:right w:val="single" w:color="000000" w:sz="4" w:space="0"/>
            </w:tcBorders>
            <w:vAlign w:val="center"/>
          </w:tcPr>
          <w:p w14:paraId="705C06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13" w:type="dxa"/>
            <w:tcBorders>
              <w:top w:val="single" w:color="000000" w:sz="4" w:space="0"/>
              <w:left w:val="single" w:color="000000" w:sz="4" w:space="0"/>
              <w:bottom w:val="single" w:color="000000" w:sz="4" w:space="0"/>
              <w:right w:val="single" w:color="000000" w:sz="4" w:space="0"/>
            </w:tcBorders>
            <w:vAlign w:val="center"/>
          </w:tcPr>
          <w:p w14:paraId="581895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应急管理</w:t>
            </w:r>
          </w:p>
        </w:tc>
        <w:tc>
          <w:tcPr>
            <w:tcW w:w="5028" w:type="dxa"/>
            <w:tcBorders>
              <w:top w:val="single" w:color="000000" w:sz="4" w:space="0"/>
              <w:left w:val="single" w:color="000000" w:sz="4" w:space="0"/>
              <w:bottom w:val="single" w:color="000000" w:sz="4" w:space="0"/>
              <w:right w:val="single" w:color="000000" w:sz="4" w:space="0"/>
            </w:tcBorders>
            <w:vAlign w:val="center"/>
          </w:tcPr>
          <w:p w14:paraId="63FB0FCD">
            <w:pPr>
              <w:widowControl/>
              <w:spacing w:line="400" w:lineRule="exact"/>
              <w:contextualSpacing/>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制定空调系统应急处理技术方案，提供应急服务，提供应急演练协助。</w:t>
            </w:r>
          </w:p>
        </w:tc>
        <w:tc>
          <w:tcPr>
            <w:tcW w:w="1238" w:type="dxa"/>
            <w:tcBorders>
              <w:top w:val="single" w:color="000000" w:sz="4" w:space="0"/>
              <w:left w:val="single" w:color="000000" w:sz="4" w:space="0"/>
              <w:bottom w:val="single" w:color="000000" w:sz="4" w:space="0"/>
              <w:right w:val="single" w:color="000000" w:sz="4" w:space="0"/>
            </w:tcBorders>
            <w:vAlign w:val="center"/>
          </w:tcPr>
          <w:p w14:paraId="634742B5">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261" w:type="dxa"/>
            <w:tcBorders>
              <w:top w:val="single" w:color="000000" w:sz="4" w:space="0"/>
              <w:left w:val="single" w:color="000000" w:sz="4" w:space="0"/>
              <w:bottom w:val="single" w:color="000000" w:sz="4" w:space="0"/>
              <w:right w:val="single" w:color="000000" w:sz="4" w:space="0"/>
            </w:tcBorders>
            <w:vAlign w:val="center"/>
          </w:tcPr>
          <w:p w14:paraId="2EB5C474">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bl>
    <w:p w14:paraId="1056A0EA">
      <w:pPr>
        <w:widowControl w:val="0"/>
        <w:bidi w:val="0"/>
        <w:ind w:left="0" w:leftChars="0" w:firstLine="0" w:firstLineChars="0"/>
        <w:jc w:val="both"/>
        <w:outlineLvl w:val="3"/>
        <w:rPr>
          <w:rFonts w:hint="eastAsia" w:ascii="宋体" w:hAnsi="宋体" w:eastAsia="宋体" w:cs="宋体"/>
          <w:b w:val="0"/>
          <w:bCs/>
          <w:kern w:val="2"/>
          <w:sz w:val="21"/>
          <w:szCs w:val="21"/>
          <w:highlight w:val="none"/>
          <w:lang w:val="en-US" w:eastAsia="zh-CN" w:bidi="ar-SA"/>
        </w:rPr>
      </w:pPr>
    </w:p>
    <w:p w14:paraId="1F27D0DE">
      <w:pPr>
        <w:widowControl w:val="0"/>
        <w:bidi w:val="0"/>
        <w:ind w:left="0" w:leftChars="0" w:firstLine="0" w:firstLineChars="0"/>
        <w:jc w:val="both"/>
        <w:outlineLvl w:val="3"/>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 xml:space="preserve"> </w:t>
      </w:r>
      <w:r>
        <w:rPr>
          <w:rFonts w:hint="eastAsia" w:ascii="宋体" w:hAnsi="宋体" w:eastAsia="宋体" w:cs="宋体"/>
          <w:b/>
          <w:bCs w:val="0"/>
          <w:kern w:val="2"/>
          <w:sz w:val="21"/>
          <w:szCs w:val="21"/>
          <w:highlight w:val="none"/>
          <w:lang w:val="en-US" w:eastAsia="zh-CN" w:bidi="ar-SA"/>
        </w:rPr>
        <w:t>3.2.2 新风系统技术服务</w:t>
      </w:r>
    </w:p>
    <w:tbl>
      <w:tblPr>
        <w:tblStyle w:val="24"/>
        <w:tblW w:w="8808" w:type="dxa"/>
        <w:jc w:val="center"/>
        <w:tblLayout w:type="fixed"/>
        <w:tblCellMar>
          <w:top w:w="15" w:type="dxa"/>
          <w:left w:w="15" w:type="dxa"/>
          <w:bottom w:w="15" w:type="dxa"/>
          <w:right w:w="15" w:type="dxa"/>
        </w:tblCellMar>
      </w:tblPr>
      <w:tblGrid>
        <w:gridCol w:w="946"/>
        <w:gridCol w:w="949"/>
        <w:gridCol w:w="4579"/>
        <w:gridCol w:w="1167"/>
        <w:gridCol w:w="1167"/>
      </w:tblGrid>
      <w:tr w14:paraId="417D1115">
        <w:tblPrEx>
          <w:tblCellMar>
            <w:top w:w="15" w:type="dxa"/>
            <w:left w:w="15" w:type="dxa"/>
            <w:bottom w:w="15" w:type="dxa"/>
            <w:right w:w="15" w:type="dxa"/>
          </w:tblCellMar>
        </w:tblPrEx>
        <w:trPr>
          <w:trHeight w:val="436"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0A63DA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949" w:type="dxa"/>
            <w:tcBorders>
              <w:top w:val="single" w:color="000000" w:sz="4" w:space="0"/>
              <w:left w:val="single" w:color="000000" w:sz="4" w:space="0"/>
              <w:bottom w:val="single" w:color="000000" w:sz="4" w:space="0"/>
              <w:right w:val="single" w:color="000000" w:sz="4" w:space="0"/>
            </w:tcBorders>
            <w:vAlign w:val="center"/>
          </w:tcPr>
          <w:p w14:paraId="42A7E5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579" w:type="dxa"/>
            <w:tcBorders>
              <w:top w:val="single" w:color="000000" w:sz="4" w:space="0"/>
              <w:left w:val="single" w:color="000000" w:sz="4" w:space="0"/>
              <w:bottom w:val="single" w:color="000000" w:sz="4" w:space="0"/>
              <w:right w:val="single" w:color="000000" w:sz="4" w:space="0"/>
            </w:tcBorders>
            <w:vAlign w:val="center"/>
          </w:tcPr>
          <w:p w14:paraId="493DD2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167" w:type="dxa"/>
            <w:tcBorders>
              <w:top w:val="single" w:color="000000" w:sz="4" w:space="0"/>
              <w:left w:val="single" w:color="000000" w:sz="4" w:space="0"/>
              <w:bottom w:val="single" w:color="000000" w:sz="4" w:space="0"/>
              <w:right w:val="single" w:color="000000" w:sz="4" w:space="0"/>
            </w:tcBorders>
            <w:vAlign w:val="center"/>
          </w:tcPr>
          <w:p w14:paraId="5406DC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67" w:type="dxa"/>
            <w:tcBorders>
              <w:top w:val="single" w:color="000000" w:sz="4" w:space="0"/>
              <w:left w:val="single" w:color="000000" w:sz="4" w:space="0"/>
              <w:bottom w:val="single" w:color="000000" w:sz="4" w:space="0"/>
              <w:right w:val="single" w:color="000000" w:sz="4" w:space="0"/>
            </w:tcBorders>
            <w:vAlign w:val="center"/>
          </w:tcPr>
          <w:p w14:paraId="666971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1B5DDA09">
        <w:tblPrEx>
          <w:tblCellMar>
            <w:top w:w="15" w:type="dxa"/>
            <w:left w:w="15" w:type="dxa"/>
            <w:bottom w:w="15" w:type="dxa"/>
            <w:right w:w="15" w:type="dxa"/>
          </w:tblCellMar>
        </w:tblPrEx>
        <w:trPr>
          <w:trHeight w:val="760"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5ACDB2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949" w:type="dxa"/>
            <w:tcBorders>
              <w:top w:val="single" w:color="000000" w:sz="4" w:space="0"/>
              <w:left w:val="single" w:color="000000" w:sz="4" w:space="0"/>
              <w:bottom w:val="single" w:color="000000" w:sz="4" w:space="0"/>
              <w:right w:val="single" w:color="000000" w:sz="4" w:space="0"/>
            </w:tcBorders>
            <w:vAlign w:val="center"/>
          </w:tcPr>
          <w:p w14:paraId="18340F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配置管理</w:t>
            </w:r>
          </w:p>
        </w:tc>
        <w:tc>
          <w:tcPr>
            <w:tcW w:w="4579" w:type="dxa"/>
            <w:tcBorders>
              <w:top w:val="single" w:color="000000" w:sz="4" w:space="0"/>
              <w:left w:val="single" w:color="000000" w:sz="4" w:space="0"/>
              <w:bottom w:val="single" w:color="000000" w:sz="4" w:space="0"/>
              <w:right w:val="single" w:color="000000" w:sz="4" w:space="0"/>
            </w:tcBorders>
            <w:vAlign w:val="center"/>
          </w:tcPr>
          <w:p w14:paraId="285C3C5E">
            <w:pPr>
              <w:widowControl/>
              <w:spacing w:line="400" w:lineRule="exact"/>
              <w:contextualSpacing/>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对新风系统情况进行记录并更新《新风系统配置表》。掌握资源配置和使用情况，及时发现资源配置瓶颈，把握变化情况，提供趋势预测及基础数据支持，实现合理部署。</w:t>
            </w:r>
          </w:p>
        </w:tc>
        <w:tc>
          <w:tcPr>
            <w:tcW w:w="1167" w:type="dxa"/>
            <w:tcBorders>
              <w:top w:val="single" w:color="000000" w:sz="4" w:space="0"/>
              <w:left w:val="single" w:color="000000" w:sz="4" w:space="0"/>
              <w:bottom w:val="single" w:color="000000" w:sz="4" w:space="0"/>
              <w:right w:val="single" w:color="000000" w:sz="4" w:space="0"/>
            </w:tcBorders>
            <w:vAlign w:val="center"/>
          </w:tcPr>
          <w:p w14:paraId="23B5C164">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67" w:type="dxa"/>
            <w:tcBorders>
              <w:top w:val="single" w:color="000000" w:sz="4" w:space="0"/>
              <w:left w:val="single" w:color="000000" w:sz="4" w:space="0"/>
              <w:bottom w:val="single" w:color="000000" w:sz="4" w:space="0"/>
              <w:right w:val="single" w:color="000000" w:sz="4" w:space="0"/>
            </w:tcBorders>
            <w:vAlign w:val="center"/>
          </w:tcPr>
          <w:p w14:paraId="6B975AE9">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0BE99826">
        <w:tblPrEx>
          <w:tblCellMar>
            <w:top w:w="15" w:type="dxa"/>
            <w:left w:w="15" w:type="dxa"/>
            <w:bottom w:w="15" w:type="dxa"/>
            <w:right w:w="15" w:type="dxa"/>
          </w:tblCellMar>
        </w:tblPrEx>
        <w:trPr>
          <w:trHeight w:val="398"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0F66A0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3A925D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故障处理和维修服务</w:t>
            </w:r>
          </w:p>
        </w:tc>
        <w:tc>
          <w:tcPr>
            <w:tcW w:w="4579" w:type="dxa"/>
            <w:tcBorders>
              <w:top w:val="single" w:color="000000" w:sz="4" w:space="0"/>
              <w:left w:val="single" w:color="000000" w:sz="4" w:space="0"/>
              <w:bottom w:val="single" w:color="000000" w:sz="4" w:space="0"/>
              <w:right w:val="single" w:color="000000" w:sz="4" w:space="0"/>
            </w:tcBorders>
            <w:vAlign w:val="center"/>
          </w:tcPr>
          <w:p w14:paraId="6C5E79B0">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1、当新风设备发生故障，在规定的时效内进行维修，恢复故障设备运行。</w:t>
            </w:r>
          </w:p>
          <w:p w14:paraId="5B276638">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2、免费更换损坏的所有设备部件(含易损件)。</w:t>
            </w:r>
          </w:p>
          <w:p w14:paraId="3198274D">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3、更换的零配件必须符合招标文件对备品备件的质量要求。</w:t>
            </w:r>
          </w:p>
          <w:p w14:paraId="0D64B63F">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4、每次维修服务后，必须提供故障处理报告（盖中标人公章）。</w:t>
            </w:r>
          </w:p>
        </w:tc>
        <w:tc>
          <w:tcPr>
            <w:tcW w:w="1167" w:type="dxa"/>
            <w:tcBorders>
              <w:top w:val="single" w:color="000000" w:sz="4" w:space="0"/>
              <w:left w:val="single" w:color="000000" w:sz="4" w:space="0"/>
              <w:bottom w:val="single" w:color="000000" w:sz="4" w:space="0"/>
              <w:right w:val="single" w:color="000000" w:sz="4" w:space="0"/>
            </w:tcBorders>
            <w:vAlign w:val="center"/>
          </w:tcPr>
          <w:p w14:paraId="2070F548">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67" w:type="dxa"/>
            <w:tcBorders>
              <w:top w:val="single" w:color="000000" w:sz="4" w:space="0"/>
              <w:left w:val="single" w:color="000000" w:sz="4" w:space="0"/>
              <w:bottom w:val="single" w:color="000000" w:sz="4" w:space="0"/>
              <w:right w:val="single" w:color="000000" w:sz="4" w:space="0"/>
            </w:tcBorders>
            <w:vAlign w:val="center"/>
          </w:tcPr>
          <w:p w14:paraId="41A4EB34">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0D23E2FF">
        <w:tblPrEx>
          <w:tblCellMar>
            <w:top w:w="15" w:type="dxa"/>
            <w:left w:w="15" w:type="dxa"/>
            <w:bottom w:w="15" w:type="dxa"/>
            <w:right w:w="15" w:type="dxa"/>
          </w:tblCellMar>
        </w:tblPrEx>
        <w:trPr>
          <w:trHeight w:val="402"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1C6B58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949" w:type="dxa"/>
            <w:tcBorders>
              <w:top w:val="single" w:color="000000" w:sz="4" w:space="0"/>
              <w:left w:val="single" w:color="000000" w:sz="4" w:space="0"/>
              <w:bottom w:val="single" w:color="000000" w:sz="4" w:space="0"/>
              <w:right w:val="single" w:color="000000" w:sz="4" w:space="0"/>
            </w:tcBorders>
            <w:vAlign w:val="center"/>
          </w:tcPr>
          <w:p w14:paraId="2E6DC8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检查保养服务</w:t>
            </w:r>
          </w:p>
        </w:tc>
        <w:tc>
          <w:tcPr>
            <w:tcW w:w="4579" w:type="dxa"/>
            <w:tcBorders>
              <w:top w:val="single" w:color="000000" w:sz="4" w:space="0"/>
              <w:left w:val="single" w:color="000000" w:sz="4" w:space="0"/>
              <w:bottom w:val="single" w:color="000000" w:sz="4" w:space="0"/>
              <w:right w:val="single" w:color="000000" w:sz="4" w:space="0"/>
            </w:tcBorders>
            <w:vAlign w:val="center"/>
          </w:tcPr>
          <w:p w14:paraId="750EC014">
            <w:pPr>
              <w:spacing w:line="400" w:lineRule="exact"/>
              <w:contextualSpacing/>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每2个月</w:t>
            </w:r>
            <w:r>
              <w:rPr>
                <w:rFonts w:hint="eastAsia" w:ascii="宋体" w:hAnsi="宋体" w:eastAsia="宋体" w:cs="宋体"/>
                <w:sz w:val="21"/>
                <w:szCs w:val="21"/>
                <w:highlight w:val="none"/>
              </w:rPr>
              <w:t>使用专用设备对新风设备进行清洗。</w:t>
            </w:r>
          </w:p>
          <w:p w14:paraId="0F6FD8FD">
            <w:pPr>
              <w:spacing w:line="400" w:lineRule="exact"/>
              <w:contextualSpacing/>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2、每季度必须派工程师到现场对新风设备进行全面检查保养，出具报告。</w:t>
            </w:r>
          </w:p>
          <w:p w14:paraId="7B98180D">
            <w:pPr>
              <w:spacing w:line="400" w:lineRule="exact"/>
              <w:contextualSpacing/>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3、定期</w:t>
            </w:r>
            <w:r>
              <w:rPr>
                <w:rFonts w:hint="eastAsia" w:ascii="宋体" w:hAnsi="宋体" w:cs="宋体"/>
                <w:sz w:val="21"/>
                <w:szCs w:val="21"/>
                <w:highlight w:val="none"/>
                <w:lang w:eastAsia="zh-CN"/>
              </w:rPr>
              <w:t>（每季）</w:t>
            </w:r>
            <w:r>
              <w:rPr>
                <w:rFonts w:hint="eastAsia" w:ascii="宋体" w:hAnsi="宋体" w:eastAsia="宋体" w:cs="宋体"/>
                <w:sz w:val="21"/>
                <w:szCs w:val="21"/>
                <w:highlight w:val="none"/>
              </w:rPr>
              <w:t>对新风设备易损件进行更换，过滤网在服务期内每季度至少更换一次。</w:t>
            </w:r>
          </w:p>
        </w:tc>
        <w:tc>
          <w:tcPr>
            <w:tcW w:w="1167" w:type="dxa"/>
            <w:tcBorders>
              <w:top w:val="single" w:color="000000" w:sz="4" w:space="0"/>
              <w:left w:val="single" w:color="000000" w:sz="4" w:space="0"/>
              <w:bottom w:val="single" w:color="000000" w:sz="4" w:space="0"/>
              <w:right w:val="single" w:color="000000" w:sz="4" w:space="0"/>
            </w:tcBorders>
            <w:vAlign w:val="center"/>
          </w:tcPr>
          <w:p w14:paraId="3ED60393">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67" w:type="dxa"/>
            <w:tcBorders>
              <w:top w:val="single" w:color="000000" w:sz="4" w:space="0"/>
              <w:left w:val="single" w:color="000000" w:sz="4" w:space="0"/>
              <w:bottom w:val="single" w:color="000000" w:sz="4" w:space="0"/>
              <w:right w:val="single" w:color="000000" w:sz="4" w:space="0"/>
            </w:tcBorders>
            <w:vAlign w:val="center"/>
          </w:tcPr>
          <w:p w14:paraId="4F5B58F8">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054481DC">
        <w:tblPrEx>
          <w:tblCellMar>
            <w:top w:w="15" w:type="dxa"/>
            <w:left w:w="15" w:type="dxa"/>
            <w:bottom w:w="15" w:type="dxa"/>
            <w:right w:w="15" w:type="dxa"/>
          </w:tblCellMar>
        </w:tblPrEx>
        <w:trPr>
          <w:trHeight w:val="518"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14:paraId="794160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949" w:type="dxa"/>
            <w:tcBorders>
              <w:top w:val="single" w:color="000000" w:sz="4" w:space="0"/>
              <w:left w:val="single" w:color="000000" w:sz="4" w:space="0"/>
              <w:bottom w:val="single" w:color="000000" w:sz="4" w:space="0"/>
              <w:right w:val="single" w:color="000000" w:sz="4" w:space="0"/>
            </w:tcBorders>
            <w:vAlign w:val="center"/>
          </w:tcPr>
          <w:p w14:paraId="2EE5F6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电气性能检测</w:t>
            </w:r>
          </w:p>
        </w:tc>
        <w:tc>
          <w:tcPr>
            <w:tcW w:w="4579" w:type="dxa"/>
            <w:tcBorders>
              <w:top w:val="single" w:color="000000" w:sz="4" w:space="0"/>
              <w:left w:val="single" w:color="000000" w:sz="4" w:space="0"/>
              <w:bottom w:val="single" w:color="000000" w:sz="4" w:space="0"/>
              <w:right w:val="single" w:color="000000" w:sz="4" w:space="0"/>
            </w:tcBorders>
            <w:vAlign w:val="center"/>
          </w:tcPr>
          <w:p w14:paraId="0D6CB682">
            <w:pPr>
              <w:widowControl/>
              <w:spacing w:line="400" w:lineRule="exact"/>
              <w:contextualSpacing/>
              <w:jc w:val="left"/>
              <w:textAlignment w:val="center"/>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每季</w:t>
            </w:r>
            <w:r>
              <w:rPr>
                <w:rFonts w:hint="eastAsia" w:ascii="宋体" w:hAnsi="宋体" w:eastAsia="宋体" w:cs="宋体"/>
                <w:kern w:val="0"/>
                <w:sz w:val="21"/>
                <w:szCs w:val="21"/>
                <w:highlight w:val="none"/>
              </w:rPr>
              <w:t>对新风主机、室外机及配套的供配电系统进行接地、绝缘等电气性能进行检测，根据检测结果进行评估、整改。</w:t>
            </w:r>
          </w:p>
        </w:tc>
        <w:tc>
          <w:tcPr>
            <w:tcW w:w="1167" w:type="dxa"/>
            <w:tcBorders>
              <w:top w:val="single" w:color="000000" w:sz="4" w:space="0"/>
              <w:left w:val="single" w:color="000000" w:sz="4" w:space="0"/>
              <w:bottom w:val="single" w:color="000000" w:sz="4" w:space="0"/>
              <w:right w:val="single" w:color="000000" w:sz="4" w:space="0"/>
            </w:tcBorders>
            <w:vAlign w:val="center"/>
          </w:tcPr>
          <w:p w14:paraId="5CAD3A08">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67" w:type="dxa"/>
            <w:tcBorders>
              <w:top w:val="single" w:color="000000" w:sz="4" w:space="0"/>
              <w:left w:val="single" w:color="000000" w:sz="4" w:space="0"/>
              <w:bottom w:val="single" w:color="000000" w:sz="4" w:space="0"/>
              <w:right w:val="single" w:color="000000" w:sz="4" w:space="0"/>
            </w:tcBorders>
            <w:vAlign w:val="center"/>
          </w:tcPr>
          <w:p w14:paraId="3A836327">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bl>
    <w:p w14:paraId="3A4AB2C2">
      <w:pPr>
        <w:widowControl w:val="0"/>
        <w:bidi w:val="0"/>
        <w:ind w:left="0" w:leftChars="0" w:firstLine="0" w:firstLineChars="0"/>
        <w:jc w:val="both"/>
        <w:outlineLvl w:val="3"/>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 xml:space="preserve"> </w:t>
      </w:r>
    </w:p>
    <w:p w14:paraId="17D7616F">
      <w:pPr>
        <w:widowControl w:val="0"/>
        <w:bidi w:val="0"/>
        <w:ind w:left="0" w:leftChars="0" w:firstLine="0" w:firstLineChars="0"/>
        <w:jc w:val="both"/>
        <w:outlineLvl w:val="3"/>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3.2.3 UPS及蓄电池技术服务</w:t>
      </w:r>
    </w:p>
    <w:tbl>
      <w:tblPr>
        <w:tblStyle w:val="24"/>
        <w:tblW w:w="8867" w:type="dxa"/>
        <w:jc w:val="center"/>
        <w:tblLayout w:type="fixed"/>
        <w:tblCellMar>
          <w:top w:w="15" w:type="dxa"/>
          <w:left w:w="15" w:type="dxa"/>
          <w:bottom w:w="15" w:type="dxa"/>
          <w:right w:w="15" w:type="dxa"/>
        </w:tblCellMar>
      </w:tblPr>
      <w:tblGrid>
        <w:gridCol w:w="943"/>
        <w:gridCol w:w="927"/>
        <w:gridCol w:w="4637"/>
        <w:gridCol w:w="1178"/>
        <w:gridCol w:w="1182"/>
      </w:tblGrid>
      <w:tr w14:paraId="7AA0B62F">
        <w:tblPrEx>
          <w:tblCellMar>
            <w:top w:w="15" w:type="dxa"/>
            <w:left w:w="15" w:type="dxa"/>
            <w:bottom w:w="15" w:type="dxa"/>
            <w:right w:w="15" w:type="dxa"/>
          </w:tblCellMar>
        </w:tblPrEx>
        <w:trPr>
          <w:trHeight w:val="573" w:hRule="atLeast"/>
          <w:jc w:val="center"/>
        </w:trPr>
        <w:tc>
          <w:tcPr>
            <w:tcW w:w="943" w:type="dxa"/>
            <w:tcBorders>
              <w:top w:val="single" w:color="000000" w:sz="4" w:space="0"/>
              <w:left w:val="single" w:color="000000" w:sz="4" w:space="0"/>
              <w:bottom w:val="single" w:color="000000" w:sz="4" w:space="0"/>
              <w:right w:val="single" w:color="000000" w:sz="4" w:space="0"/>
            </w:tcBorders>
            <w:vAlign w:val="center"/>
          </w:tcPr>
          <w:p w14:paraId="709F15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927" w:type="dxa"/>
            <w:tcBorders>
              <w:top w:val="single" w:color="000000" w:sz="4" w:space="0"/>
              <w:left w:val="single" w:color="000000" w:sz="4" w:space="0"/>
              <w:bottom w:val="single" w:color="000000" w:sz="4" w:space="0"/>
              <w:right w:val="single" w:color="000000" w:sz="4" w:space="0"/>
            </w:tcBorders>
            <w:vAlign w:val="center"/>
          </w:tcPr>
          <w:p w14:paraId="38EEF9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637" w:type="dxa"/>
            <w:tcBorders>
              <w:top w:val="single" w:color="000000" w:sz="4" w:space="0"/>
              <w:left w:val="single" w:color="000000" w:sz="4" w:space="0"/>
              <w:bottom w:val="single" w:color="000000" w:sz="4" w:space="0"/>
              <w:right w:val="single" w:color="000000" w:sz="4" w:space="0"/>
            </w:tcBorders>
            <w:vAlign w:val="center"/>
          </w:tcPr>
          <w:p w14:paraId="0CFF4A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178" w:type="dxa"/>
            <w:tcBorders>
              <w:top w:val="single" w:color="000000" w:sz="4" w:space="0"/>
              <w:left w:val="single" w:color="000000" w:sz="4" w:space="0"/>
              <w:bottom w:val="single" w:color="000000" w:sz="4" w:space="0"/>
              <w:right w:val="single" w:color="000000" w:sz="4" w:space="0"/>
            </w:tcBorders>
            <w:vAlign w:val="center"/>
          </w:tcPr>
          <w:p w14:paraId="0F0253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2" w:type="dxa"/>
            <w:tcBorders>
              <w:top w:val="single" w:color="000000" w:sz="4" w:space="0"/>
              <w:left w:val="single" w:color="000000" w:sz="4" w:space="0"/>
              <w:bottom w:val="single" w:color="000000" w:sz="4" w:space="0"/>
              <w:right w:val="single" w:color="000000" w:sz="4" w:space="0"/>
            </w:tcBorders>
            <w:vAlign w:val="center"/>
          </w:tcPr>
          <w:p w14:paraId="590E9B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758524E5">
        <w:tblPrEx>
          <w:tblCellMar>
            <w:top w:w="15" w:type="dxa"/>
            <w:left w:w="15" w:type="dxa"/>
            <w:bottom w:w="15" w:type="dxa"/>
            <w:right w:w="15" w:type="dxa"/>
          </w:tblCellMar>
        </w:tblPrEx>
        <w:trPr>
          <w:trHeight w:val="511" w:hRule="atLeast"/>
          <w:jc w:val="center"/>
        </w:trPr>
        <w:tc>
          <w:tcPr>
            <w:tcW w:w="943" w:type="dxa"/>
            <w:tcBorders>
              <w:top w:val="single" w:color="000000" w:sz="4" w:space="0"/>
              <w:left w:val="single" w:color="000000" w:sz="4" w:space="0"/>
              <w:bottom w:val="single" w:color="000000" w:sz="4" w:space="0"/>
              <w:right w:val="single" w:color="000000" w:sz="4" w:space="0"/>
            </w:tcBorders>
            <w:vAlign w:val="center"/>
          </w:tcPr>
          <w:p w14:paraId="0E693F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927" w:type="dxa"/>
            <w:tcBorders>
              <w:top w:val="single" w:color="000000" w:sz="4" w:space="0"/>
              <w:left w:val="single" w:color="000000" w:sz="4" w:space="0"/>
              <w:bottom w:val="single" w:color="000000" w:sz="4" w:space="0"/>
              <w:right w:val="single" w:color="000000" w:sz="4" w:space="0"/>
            </w:tcBorders>
            <w:vAlign w:val="center"/>
          </w:tcPr>
          <w:p w14:paraId="0112A8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配置管理</w:t>
            </w:r>
          </w:p>
        </w:tc>
        <w:tc>
          <w:tcPr>
            <w:tcW w:w="4637" w:type="dxa"/>
            <w:tcBorders>
              <w:top w:val="single" w:color="000000" w:sz="4" w:space="0"/>
              <w:left w:val="single" w:color="000000" w:sz="4" w:space="0"/>
              <w:bottom w:val="single" w:color="000000" w:sz="4" w:space="0"/>
              <w:right w:val="single" w:color="000000" w:sz="4" w:space="0"/>
            </w:tcBorders>
            <w:vAlign w:val="center"/>
          </w:tcPr>
          <w:p w14:paraId="72B274D6">
            <w:pPr>
              <w:widowControl/>
              <w:spacing w:line="400" w:lineRule="exact"/>
              <w:contextualSpacing/>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对UPS系统和电池情况进行记录并更新《UPS主机配置表》和《UPS电池配置表》。掌握资源配置和使用情况，及时发现资源配置瓶颈，把握变化情况，提供趋势预测及基础数据支持，实现合理部署。</w:t>
            </w:r>
            <w:r>
              <w:rPr>
                <w:rFonts w:hint="eastAsia" w:ascii="宋体" w:hAnsi="宋体" w:eastAsia="宋体" w:cs="宋体"/>
                <w:bCs/>
                <w:kern w:val="0"/>
                <w:sz w:val="21"/>
                <w:szCs w:val="21"/>
                <w:highlight w:val="none"/>
                <w:lang w:eastAsia="zh-CN"/>
              </w:rPr>
              <w:t>配置变更时，同步更新“一账式”系统。</w:t>
            </w:r>
          </w:p>
        </w:tc>
        <w:tc>
          <w:tcPr>
            <w:tcW w:w="1178" w:type="dxa"/>
            <w:tcBorders>
              <w:top w:val="single" w:color="000000" w:sz="4" w:space="0"/>
              <w:left w:val="single" w:color="000000" w:sz="4" w:space="0"/>
              <w:bottom w:val="single" w:color="000000" w:sz="4" w:space="0"/>
              <w:right w:val="single" w:color="000000" w:sz="4" w:space="0"/>
            </w:tcBorders>
            <w:vAlign w:val="center"/>
          </w:tcPr>
          <w:p w14:paraId="6CB8885D">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2" w:type="dxa"/>
            <w:tcBorders>
              <w:top w:val="single" w:color="000000" w:sz="4" w:space="0"/>
              <w:left w:val="single" w:color="000000" w:sz="4" w:space="0"/>
              <w:bottom w:val="single" w:color="000000" w:sz="4" w:space="0"/>
              <w:right w:val="single" w:color="000000" w:sz="4" w:space="0"/>
            </w:tcBorders>
            <w:vAlign w:val="center"/>
          </w:tcPr>
          <w:p w14:paraId="67583503">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提供《UPS主机配置表》和《UPS电池配置表》以及更新“一账式”系统相关信息的实现方法</w:t>
            </w:r>
          </w:p>
        </w:tc>
      </w:tr>
      <w:tr w14:paraId="313A4796">
        <w:tblPrEx>
          <w:tblCellMar>
            <w:top w:w="15" w:type="dxa"/>
            <w:left w:w="15" w:type="dxa"/>
            <w:bottom w:w="15" w:type="dxa"/>
            <w:right w:w="15" w:type="dxa"/>
          </w:tblCellMar>
        </w:tblPrEx>
        <w:trPr>
          <w:trHeight w:val="511" w:hRule="atLeast"/>
          <w:jc w:val="center"/>
        </w:trPr>
        <w:tc>
          <w:tcPr>
            <w:tcW w:w="943" w:type="dxa"/>
            <w:tcBorders>
              <w:top w:val="single" w:color="000000" w:sz="4" w:space="0"/>
              <w:left w:val="single" w:color="000000" w:sz="4" w:space="0"/>
              <w:bottom w:val="single" w:color="000000" w:sz="4" w:space="0"/>
              <w:right w:val="single" w:color="000000" w:sz="4" w:space="0"/>
            </w:tcBorders>
            <w:vAlign w:val="center"/>
          </w:tcPr>
          <w:p w14:paraId="646AAD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927" w:type="dxa"/>
            <w:tcBorders>
              <w:top w:val="single" w:color="000000" w:sz="4" w:space="0"/>
              <w:left w:val="single" w:color="000000" w:sz="4" w:space="0"/>
              <w:bottom w:val="single" w:color="000000" w:sz="4" w:space="0"/>
              <w:right w:val="single" w:color="000000" w:sz="4" w:space="0"/>
            </w:tcBorders>
            <w:vAlign w:val="center"/>
          </w:tcPr>
          <w:p w14:paraId="5946F8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故障处理和维修服务</w:t>
            </w:r>
          </w:p>
        </w:tc>
        <w:tc>
          <w:tcPr>
            <w:tcW w:w="4637" w:type="dxa"/>
            <w:tcBorders>
              <w:top w:val="single" w:color="000000" w:sz="4" w:space="0"/>
              <w:left w:val="single" w:color="000000" w:sz="4" w:space="0"/>
              <w:bottom w:val="single" w:color="000000" w:sz="4" w:space="0"/>
              <w:right w:val="single" w:color="000000" w:sz="4" w:space="0"/>
            </w:tcBorders>
            <w:vAlign w:val="center"/>
          </w:tcPr>
          <w:p w14:paraId="156C9637">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1、当UPS及蓄电池发生故障，在规定的时间内进行修复，恢复设备正常运行。</w:t>
            </w:r>
          </w:p>
          <w:p w14:paraId="77668CF0">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2、如无法在规定时间修复故障，必须免费提供应急处理服务（包括提供备机），避免影响机房设备的正常运行。</w:t>
            </w:r>
          </w:p>
          <w:p w14:paraId="5C7D49A5">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3、免费更换损坏的所有设备部件(含蓄电池、易损件)。</w:t>
            </w:r>
          </w:p>
          <w:p w14:paraId="6A012B33">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4、更换的零配件必须符合招标文件对备品备件的质量要求。</w:t>
            </w:r>
          </w:p>
          <w:p w14:paraId="31B0BE55">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5、每次维修服务后，必须提供故障处理报告（盖中标人公章）。</w:t>
            </w:r>
          </w:p>
        </w:tc>
        <w:tc>
          <w:tcPr>
            <w:tcW w:w="1178" w:type="dxa"/>
            <w:tcBorders>
              <w:top w:val="single" w:color="000000" w:sz="4" w:space="0"/>
              <w:left w:val="single" w:color="000000" w:sz="4" w:space="0"/>
              <w:bottom w:val="single" w:color="000000" w:sz="4" w:space="0"/>
              <w:right w:val="single" w:color="000000" w:sz="4" w:space="0"/>
            </w:tcBorders>
            <w:vAlign w:val="center"/>
          </w:tcPr>
          <w:p w14:paraId="3D60582F">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2" w:type="dxa"/>
            <w:tcBorders>
              <w:top w:val="single" w:color="000000" w:sz="4" w:space="0"/>
              <w:left w:val="single" w:color="000000" w:sz="4" w:space="0"/>
              <w:bottom w:val="single" w:color="000000" w:sz="4" w:space="0"/>
              <w:right w:val="single" w:color="000000" w:sz="4" w:space="0"/>
            </w:tcBorders>
            <w:vAlign w:val="center"/>
          </w:tcPr>
          <w:p w14:paraId="551F871F">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44EB2335">
        <w:tblPrEx>
          <w:tblCellMar>
            <w:top w:w="15" w:type="dxa"/>
            <w:left w:w="15" w:type="dxa"/>
            <w:bottom w:w="15" w:type="dxa"/>
            <w:right w:w="15" w:type="dxa"/>
          </w:tblCellMar>
        </w:tblPrEx>
        <w:trPr>
          <w:trHeight w:val="592" w:hRule="atLeast"/>
          <w:jc w:val="center"/>
        </w:trPr>
        <w:tc>
          <w:tcPr>
            <w:tcW w:w="943" w:type="dxa"/>
            <w:tcBorders>
              <w:top w:val="single" w:color="000000" w:sz="4" w:space="0"/>
              <w:left w:val="single" w:color="000000" w:sz="4" w:space="0"/>
              <w:bottom w:val="single" w:color="000000" w:sz="4" w:space="0"/>
              <w:right w:val="single" w:color="000000" w:sz="4" w:space="0"/>
            </w:tcBorders>
            <w:vAlign w:val="center"/>
          </w:tcPr>
          <w:p w14:paraId="2C961B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927" w:type="dxa"/>
            <w:tcBorders>
              <w:top w:val="single" w:color="000000" w:sz="4" w:space="0"/>
              <w:left w:val="single" w:color="000000" w:sz="4" w:space="0"/>
              <w:bottom w:val="single" w:color="000000" w:sz="4" w:space="0"/>
              <w:right w:val="single" w:color="000000" w:sz="4" w:space="0"/>
            </w:tcBorders>
            <w:vAlign w:val="center"/>
          </w:tcPr>
          <w:p w14:paraId="5D219E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检查保养服务</w:t>
            </w:r>
          </w:p>
        </w:tc>
        <w:tc>
          <w:tcPr>
            <w:tcW w:w="4637" w:type="dxa"/>
            <w:tcBorders>
              <w:top w:val="single" w:color="000000" w:sz="4" w:space="0"/>
              <w:left w:val="single" w:color="000000" w:sz="4" w:space="0"/>
              <w:bottom w:val="single" w:color="000000" w:sz="4" w:space="0"/>
              <w:right w:val="single" w:color="000000" w:sz="4" w:space="0"/>
            </w:tcBorders>
            <w:vAlign w:val="center"/>
          </w:tcPr>
          <w:p w14:paraId="70AB4768">
            <w:pPr>
              <w:spacing w:line="400" w:lineRule="exact"/>
              <w:contextualSpacing/>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rPr>
              <w:t>1、</w:t>
            </w:r>
            <w:r>
              <w:rPr>
                <w:rFonts w:hint="eastAsia" w:ascii="宋体" w:hAnsi="宋体" w:eastAsia="宋体" w:cs="宋体"/>
                <w:sz w:val="21"/>
                <w:szCs w:val="21"/>
                <w:highlight w:val="none"/>
              </w:rPr>
              <w:t>每月需进行一次UPS及蓄电池的深度检查保养，提供检查报告。</w:t>
            </w:r>
          </w:p>
          <w:p w14:paraId="5230BE95">
            <w:pPr>
              <w:widowControl w:val="0"/>
              <w:spacing w:line="400" w:lineRule="exact"/>
              <w:ind w:firstLine="424" w:firstLineChars="202"/>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UPS检查保养内容：UPS运行状态检测；操作控制器，判断控制器及显示部分；报警及故障信息记录分析；UPS参数校准；检查是否有明显的过热痕迹；UPS充放电测试；检查电解电容器是否有漏液、冒顶和膨胀等情况发生；检查变压器线圈及连接器件和扼流圈是否有过热色变和分层脱落等现象；检查所有位于印刷电路板上的接插件是否接触牢固可靠；检查电源保险丝的完好程度及是否安装牢固；检查电路板的洁净度及电路完整性。</w:t>
            </w:r>
          </w:p>
          <w:p w14:paraId="531EB997">
            <w:pPr>
              <w:widowControl w:val="0"/>
              <w:spacing w:line="400" w:lineRule="exact"/>
              <w:ind w:firstLine="424" w:firstLineChars="202"/>
              <w:contextualSpacing/>
              <w:jc w:val="left"/>
              <w:rPr>
                <w:rFonts w:hint="eastAsia" w:ascii="宋体" w:hAnsi="宋体" w:eastAsia="宋体" w:cs="宋体"/>
                <w:kern w:val="0"/>
                <w:sz w:val="21"/>
                <w:szCs w:val="21"/>
                <w:highlight w:val="none"/>
                <w:lang w:val="zh-CN" w:eastAsia="zh-CN" w:bidi="ar-SA"/>
              </w:rPr>
            </w:pPr>
            <w:r>
              <w:rPr>
                <w:rFonts w:hint="eastAsia" w:ascii="宋体" w:hAnsi="宋体" w:eastAsia="宋体" w:cs="宋体"/>
                <w:kern w:val="2"/>
                <w:sz w:val="21"/>
                <w:szCs w:val="21"/>
                <w:highlight w:val="none"/>
                <w:lang w:val="en-US" w:eastAsia="zh-CN" w:bidi="ar-SA"/>
              </w:rPr>
              <w:t>蓄电池检查保养内容：蓄电池充放电；蓄电池浮充电压、内阻测量；检查电池是否损坏，壳、盖间有无泄漏；电池架、连接线、端子是否有松动或锈蚀；蓄电池连接点牢固性、结点温度；测量蓄电池组端总的浮充电压；充电器的输出电流和电压；环境温度、通风条件和监测设备；单体/单元完整性：极柱、连接器、电池架或电池柜是否有锈蚀的痕迹；检查整体外貌，查看电池组、电池架或柜、放电池区的清洁状况；盖的完整性，并检查单体/单元是否有裂纹或电解液泄露；是否有槽/盖过度变形。</w:t>
            </w:r>
          </w:p>
          <w:p w14:paraId="706F39BF">
            <w:pPr>
              <w:spacing w:line="400" w:lineRule="exact"/>
              <w:contextualSpacing/>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2、清洁：对电池柜内外做整体性清洁；对滤网进行清洁；取出风机，并对风机和风道清洁；对主机内的控制板的清洁。注意：只能用防静电刷、吹风球工具小心清洁，严禁使用吸尘器等。每季度一次。</w:t>
            </w:r>
          </w:p>
          <w:p w14:paraId="38D1C46D">
            <w:pPr>
              <w:spacing w:line="400" w:lineRule="exact"/>
              <w:contextualSpacing/>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3、对电池组进行测试检查：检查电池是否有漏液、端子腐蚀等现象；检查电池是否有异常发热现象。每半年一次。</w:t>
            </w:r>
          </w:p>
          <w:p w14:paraId="0E7E75B0">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根据电池使用记录对电池组进行合理化放电。</w:t>
            </w:r>
          </w:p>
          <w:p w14:paraId="55CEC521">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在带载的情况下对</w:t>
            </w:r>
            <w:r>
              <w:rPr>
                <w:rFonts w:hint="eastAsia" w:ascii="宋体" w:hAnsi="宋体" w:eastAsia="宋体" w:cs="宋体"/>
                <w:kern w:val="2"/>
                <w:sz w:val="21"/>
                <w:szCs w:val="21"/>
                <w:highlight w:val="none"/>
                <w:lang w:val="en-US" w:eastAsia="zh-CN" w:bidi="ar-SA"/>
              </w:rPr>
              <w:t>电池</w:t>
            </w:r>
            <w:r>
              <w:rPr>
                <w:rFonts w:hint="eastAsia" w:ascii="宋体" w:hAnsi="宋体" w:eastAsia="宋体" w:cs="宋体"/>
                <w:kern w:val="2"/>
                <w:sz w:val="21"/>
                <w:szCs w:val="21"/>
                <w:highlight w:val="none"/>
                <w:lang w:val="zh-CN" w:eastAsia="zh-CN" w:bidi="ar-SA"/>
              </w:rPr>
              <w:t>进行放电，通常放电半小时到一小时，以激活电池的活性物质。记录电池或电池组的放电电压和充电电压，对整体电池的一致性进行评测。</w:t>
            </w:r>
          </w:p>
          <w:p w14:paraId="0DE511F0">
            <w:pPr>
              <w:widowControl w:val="0"/>
              <w:spacing w:line="400" w:lineRule="exact"/>
              <w:ind w:firstLine="420" w:firstLineChars="200"/>
              <w:contextualSpacing/>
              <w:jc w:val="both"/>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对更换过的电池进跟踪比较，对其与整体电池的一致性进行评测。</w:t>
            </w:r>
          </w:p>
          <w:p w14:paraId="0803F4D2">
            <w:pPr>
              <w:spacing w:line="400" w:lineRule="exact"/>
              <w:contextualSpacing/>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4、UPS系统的测试。鉴定UPS的实际技术指标能否满足使用要求，测试方法包括稳态测试和动态测试两类。每半年一次。</w:t>
            </w:r>
          </w:p>
          <w:p w14:paraId="377DD6E9">
            <w:pPr>
              <w:spacing w:line="400" w:lineRule="exact"/>
              <w:contextualSpacing/>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5、对UPS安装运行环境进行测评：测量环境的温湿度，并检查和记录空调的运行情况。测评设备运行的热损耗与空调是否匹配。每半年一次。</w:t>
            </w:r>
          </w:p>
          <w:p w14:paraId="2A419CBC">
            <w:pPr>
              <w:spacing w:line="400" w:lineRule="exact"/>
              <w:contextualSpacing/>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6、下载核对主机内部参数：历史报警信息；记录UPS的统计数字：UPS使用时间、电池放电时间、旁路时间等；测试UPS的参数。每半年一次。</w:t>
            </w:r>
          </w:p>
          <w:p w14:paraId="17D71340">
            <w:pPr>
              <w:spacing w:line="400" w:lineRule="exact"/>
              <w:contextualSpacing/>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rPr>
              <w:t>7、</w:t>
            </w:r>
            <w:r>
              <w:rPr>
                <w:rFonts w:hint="eastAsia" w:ascii="宋体" w:hAnsi="宋体" w:eastAsia="宋体" w:cs="宋体"/>
                <w:kern w:val="0"/>
                <w:sz w:val="21"/>
                <w:szCs w:val="21"/>
                <w:highlight w:val="none"/>
                <w:lang w:val="zh-CN"/>
              </w:rPr>
              <w:t>编制报告。根据上述检查结果和下载的UPS参数和历史记录，编制出UPS维护报告，及UPS合理化使用报告。每半年一次。</w:t>
            </w:r>
          </w:p>
        </w:tc>
        <w:tc>
          <w:tcPr>
            <w:tcW w:w="1178" w:type="dxa"/>
            <w:tcBorders>
              <w:top w:val="single" w:color="000000" w:sz="4" w:space="0"/>
              <w:left w:val="single" w:color="000000" w:sz="4" w:space="0"/>
              <w:bottom w:val="single" w:color="000000" w:sz="4" w:space="0"/>
              <w:right w:val="single" w:color="000000" w:sz="4" w:space="0"/>
            </w:tcBorders>
            <w:vAlign w:val="center"/>
          </w:tcPr>
          <w:p w14:paraId="2AE8D17E">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2" w:type="dxa"/>
            <w:tcBorders>
              <w:top w:val="single" w:color="000000" w:sz="4" w:space="0"/>
              <w:left w:val="single" w:color="000000" w:sz="4" w:space="0"/>
              <w:bottom w:val="single" w:color="000000" w:sz="4" w:space="0"/>
              <w:right w:val="single" w:color="000000" w:sz="4" w:space="0"/>
            </w:tcBorders>
            <w:vAlign w:val="center"/>
          </w:tcPr>
          <w:p w14:paraId="54090191">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4F846BCF">
        <w:tblPrEx>
          <w:tblCellMar>
            <w:top w:w="15" w:type="dxa"/>
            <w:left w:w="15" w:type="dxa"/>
            <w:bottom w:w="15" w:type="dxa"/>
            <w:right w:w="15" w:type="dxa"/>
          </w:tblCellMar>
        </w:tblPrEx>
        <w:trPr>
          <w:trHeight w:val="635" w:hRule="atLeast"/>
          <w:jc w:val="center"/>
        </w:trPr>
        <w:tc>
          <w:tcPr>
            <w:tcW w:w="943" w:type="dxa"/>
            <w:tcBorders>
              <w:top w:val="single" w:color="000000" w:sz="4" w:space="0"/>
              <w:left w:val="single" w:color="000000" w:sz="4" w:space="0"/>
              <w:bottom w:val="single" w:color="auto" w:sz="4" w:space="0"/>
              <w:right w:val="single" w:color="000000" w:sz="4" w:space="0"/>
            </w:tcBorders>
            <w:vAlign w:val="center"/>
          </w:tcPr>
          <w:p w14:paraId="5BAD23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927" w:type="dxa"/>
            <w:tcBorders>
              <w:top w:val="single" w:color="000000" w:sz="4" w:space="0"/>
              <w:left w:val="single" w:color="000000" w:sz="4" w:space="0"/>
              <w:bottom w:val="single" w:color="auto" w:sz="4" w:space="0"/>
              <w:right w:val="single" w:color="000000" w:sz="4" w:space="0"/>
            </w:tcBorders>
            <w:vAlign w:val="center"/>
          </w:tcPr>
          <w:p w14:paraId="6F9022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应急处理及演练协助</w:t>
            </w:r>
          </w:p>
        </w:tc>
        <w:tc>
          <w:tcPr>
            <w:tcW w:w="4637" w:type="dxa"/>
            <w:tcBorders>
              <w:top w:val="single" w:color="000000" w:sz="4" w:space="0"/>
              <w:left w:val="single" w:color="000000" w:sz="4" w:space="0"/>
              <w:bottom w:val="single" w:color="auto" w:sz="4" w:space="0"/>
              <w:right w:val="single" w:color="000000" w:sz="4" w:space="0"/>
            </w:tcBorders>
            <w:vAlign w:val="center"/>
          </w:tcPr>
          <w:p w14:paraId="22232331">
            <w:pPr>
              <w:widowControl/>
              <w:spacing w:line="400" w:lineRule="exact"/>
              <w:contextualSpacing/>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制定UPS及蓄电池应急处理技术方案，提供应急服务，提供应急演练协助。</w:t>
            </w:r>
          </w:p>
        </w:tc>
        <w:tc>
          <w:tcPr>
            <w:tcW w:w="1178" w:type="dxa"/>
            <w:tcBorders>
              <w:top w:val="single" w:color="000000" w:sz="4" w:space="0"/>
              <w:left w:val="single" w:color="000000" w:sz="4" w:space="0"/>
              <w:bottom w:val="single" w:color="auto" w:sz="4" w:space="0"/>
              <w:right w:val="single" w:color="000000" w:sz="4" w:space="0"/>
            </w:tcBorders>
            <w:vAlign w:val="center"/>
          </w:tcPr>
          <w:p w14:paraId="0791D18E">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2" w:type="dxa"/>
            <w:tcBorders>
              <w:top w:val="single" w:color="000000" w:sz="4" w:space="0"/>
              <w:left w:val="single" w:color="000000" w:sz="4" w:space="0"/>
              <w:bottom w:val="single" w:color="auto" w:sz="4" w:space="0"/>
              <w:right w:val="single" w:color="000000" w:sz="4" w:space="0"/>
            </w:tcBorders>
            <w:vAlign w:val="center"/>
          </w:tcPr>
          <w:p w14:paraId="68E64EA3">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79DB46B3">
        <w:tblPrEx>
          <w:tblCellMar>
            <w:top w:w="15" w:type="dxa"/>
            <w:left w:w="15" w:type="dxa"/>
            <w:bottom w:w="15" w:type="dxa"/>
            <w:right w:w="15" w:type="dxa"/>
          </w:tblCellMar>
        </w:tblPrEx>
        <w:trPr>
          <w:trHeight w:val="482" w:hRule="atLeast"/>
          <w:jc w:val="center"/>
        </w:trPr>
        <w:tc>
          <w:tcPr>
            <w:tcW w:w="943" w:type="dxa"/>
            <w:tcBorders>
              <w:top w:val="single" w:color="auto" w:sz="4" w:space="0"/>
              <w:left w:val="single" w:color="auto" w:sz="4" w:space="0"/>
              <w:bottom w:val="single" w:color="auto" w:sz="4" w:space="0"/>
              <w:right w:val="single" w:color="auto" w:sz="4" w:space="0"/>
            </w:tcBorders>
            <w:vAlign w:val="center"/>
          </w:tcPr>
          <w:p w14:paraId="55DC59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927" w:type="dxa"/>
            <w:tcBorders>
              <w:top w:val="single" w:color="auto" w:sz="4" w:space="0"/>
              <w:left w:val="single" w:color="auto" w:sz="4" w:space="0"/>
              <w:bottom w:val="single" w:color="auto" w:sz="4" w:space="0"/>
              <w:right w:val="single" w:color="auto" w:sz="4" w:space="0"/>
            </w:tcBorders>
            <w:vAlign w:val="center"/>
          </w:tcPr>
          <w:p w14:paraId="764F09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备品备件服务</w:t>
            </w:r>
          </w:p>
        </w:tc>
        <w:tc>
          <w:tcPr>
            <w:tcW w:w="4637" w:type="dxa"/>
            <w:tcBorders>
              <w:top w:val="single" w:color="auto" w:sz="4" w:space="0"/>
              <w:left w:val="single" w:color="auto" w:sz="4" w:space="0"/>
              <w:bottom w:val="single" w:color="auto" w:sz="4" w:space="0"/>
              <w:right w:val="single" w:color="auto" w:sz="4" w:space="0"/>
            </w:tcBorders>
            <w:vAlign w:val="center"/>
          </w:tcPr>
          <w:p w14:paraId="0B09FA00">
            <w:pPr>
              <w:widowControl/>
              <w:spacing w:line="400" w:lineRule="exact"/>
              <w:contextualSpacing/>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提供控制、功能模块、电池等备件。</w:t>
            </w:r>
            <w:r>
              <w:rPr>
                <w:rFonts w:hint="eastAsia" w:ascii="宋体" w:hAnsi="宋体" w:eastAsia="宋体" w:cs="宋体"/>
                <w:kern w:val="0"/>
                <w:sz w:val="21"/>
                <w:szCs w:val="21"/>
                <w:highlight w:val="none"/>
                <w:lang w:val="zh-CN"/>
              </w:rPr>
              <w:t>维保标的（包括精密空调、UPS电源和电池等）在项目所在地须有备机或核心备件，保障2小时内更换配件能送达数据中心。</w:t>
            </w:r>
          </w:p>
        </w:tc>
        <w:tc>
          <w:tcPr>
            <w:tcW w:w="1178" w:type="dxa"/>
            <w:tcBorders>
              <w:top w:val="single" w:color="auto" w:sz="4" w:space="0"/>
              <w:left w:val="single" w:color="auto" w:sz="4" w:space="0"/>
              <w:bottom w:val="single" w:color="auto" w:sz="4" w:space="0"/>
              <w:right w:val="single" w:color="auto" w:sz="4" w:space="0"/>
            </w:tcBorders>
            <w:vAlign w:val="center"/>
          </w:tcPr>
          <w:p w14:paraId="21AC2C16">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2" w:type="dxa"/>
            <w:tcBorders>
              <w:top w:val="single" w:color="auto" w:sz="4" w:space="0"/>
              <w:left w:val="single" w:color="auto" w:sz="4" w:space="0"/>
              <w:bottom w:val="single" w:color="auto" w:sz="4" w:space="0"/>
              <w:right w:val="single" w:color="auto" w:sz="4" w:space="0"/>
            </w:tcBorders>
            <w:vAlign w:val="center"/>
          </w:tcPr>
          <w:p w14:paraId="1FFC0472">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bl>
    <w:p w14:paraId="2A334A28">
      <w:pPr>
        <w:widowControl w:val="0"/>
        <w:bidi w:val="0"/>
        <w:ind w:left="0" w:leftChars="0" w:firstLine="0" w:firstLineChars="0"/>
        <w:jc w:val="both"/>
        <w:outlineLvl w:val="3"/>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 xml:space="preserve"> </w:t>
      </w:r>
    </w:p>
    <w:p w14:paraId="1E01E1C7">
      <w:pPr>
        <w:widowControl w:val="0"/>
        <w:bidi w:val="0"/>
        <w:ind w:left="0" w:leftChars="0" w:firstLine="0" w:firstLineChars="0"/>
        <w:jc w:val="both"/>
        <w:outlineLvl w:val="3"/>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3.2.4 供配电系统技术服务</w:t>
      </w:r>
    </w:p>
    <w:tbl>
      <w:tblPr>
        <w:tblStyle w:val="24"/>
        <w:tblW w:w="8907" w:type="dxa"/>
        <w:jc w:val="center"/>
        <w:tblLayout w:type="fixed"/>
        <w:tblCellMar>
          <w:top w:w="15" w:type="dxa"/>
          <w:left w:w="15" w:type="dxa"/>
          <w:bottom w:w="15" w:type="dxa"/>
          <w:right w:w="15" w:type="dxa"/>
        </w:tblCellMar>
      </w:tblPr>
      <w:tblGrid>
        <w:gridCol w:w="906"/>
        <w:gridCol w:w="916"/>
        <w:gridCol w:w="4691"/>
        <w:gridCol w:w="1146"/>
        <w:gridCol w:w="1248"/>
      </w:tblGrid>
      <w:tr w14:paraId="7CE2112E">
        <w:tblPrEx>
          <w:tblCellMar>
            <w:top w:w="15" w:type="dxa"/>
            <w:left w:w="15" w:type="dxa"/>
            <w:bottom w:w="15" w:type="dxa"/>
            <w:right w:w="15" w:type="dxa"/>
          </w:tblCellMar>
        </w:tblPrEx>
        <w:trPr>
          <w:trHeight w:val="573"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391350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916" w:type="dxa"/>
            <w:tcBorders>
              <w:top w:val="single" w:color="000000" w:sz="4" w:space="0"/>
              <w:left w:val="single" w:color="000000" w:sz="4" w:space="0"/>
              <w:bottom w:val="single" w:color="000000" w:sz="4" w:space="0"/>
              <w:right w:val="single" w:color="000000" w:sz="4" w:space="0"/>
            </w:tcBorders>
            <w:vAlign w:val="center"/>
          </w:tcPr>
          <w:p w14:paraId="63A220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691" w:type="dxa"/>
            <w:tcBorders>
              <w:top w:val="single" w:color="000000" w:sz="4" w:space="0"/>
              <w:left w:val="single" w:color="000000" w:sz="4" w:space="0"/>
              <w:bottom w:val="single" w:color="000000" w:sz="4" w:space="0"/>
              <w:right w:val="single" w:color="000000" w:sz="4" w:space="0"/>
            </w:tcBorders>
            <w:vAlign w:val="center"/>
          </w:tcPr>
          <w:p w14:paraId="64548F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146" w:type="dxa"/>
            <w:tcBorders>
              <w:top w:val="single" w:color="000000" w:sz="4" w:space="0"/>
              <w:left w:val="single" w:color="000000" w:sz="4" w:space="0"/>
              <w:bottom w:val="single" w:color="000000" w:sz="4" w:space="0"/>
              <w:right w:val="single" w:color="000000" w:sz="4" w:space="0"/>
            </w:tcBorders>
            <w:vAlign w:val="center"/>
          </w:tcPr>
          <w:p w14:paraId="333E38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248" w:type="dxa"/>
            <w:tcBorders>
              <w:top w:val="single" w:color="000000" w:sz="4" w:space="0"/>
              <w:left w:val="single" w:color="000000" w:sz="4" w:space="0"/>
              <w:bottom w:val="single" w:color="000000" w:sz="4" w:space="0"/>
              <w:right w:val="single" w:color="000000" w:sz="4" w:space="0"/>
            </w:tcBorders>
            <w:vAlign w:val="center"/>
          </w:tcPr>
          <w:p w14:paraId="078E60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533A133C">
        <w:tblPrEx>
          <w:tblCellMar>
            <w:top w:w="15" w:type="dxa"/>
            <w:left w:w="15" w:type="dxa"/>
            <w:bottom w:w="15" w:type="dxa"/>
            <w:right w:w="15" w:type="dxa"/>
          </w:tblCellMar>
        </w:tblPrEx>
        <w:trPr>
          <w:trHeight w:val="511"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67BA56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916" w:type="dxa"/>
            <w:tcBorders>
              <w:top w:val="single" w:color="000000" w:sz="4" w:space="0"/>
              <w:left w:val="single" w:color="000000" w:sz="4" w:space="0"/>
              <w:bottom w:val="single" w:color="000000" w:sz="4" w:space="0"/>
              <w:right w:val="single" w:color="000000" w:sz="4" w:space="0"/>
            </w:tcBorders>
            <w:vAlign w:val="center"/>
          </w:tcPr>
          <w:p w14:paraId="121696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配置管理</w:t>
            </w:r>
          </w:p>
        </w:tc>
        <w:tc>
          <w:tcPr>
            <w:tcW w:w="4691" w:type="dxa"/>
            <w:tcBorders>
              <w:top w:val="single" w:color="000000" w:sz="4" w:space="0"/>
              <w:left w:val="single" w:color="000000" w:sz="4" w:space="0"/>
              <w:bottom w:val="single" w:color="000000" w:sz="4" w:space="0"/>
              <w:right w:val="single" w:color="000000" w:sz="4" w:space="0"/>
            </w:tcBorders>
            <w:vAlign w:val="center"/>
          </w:tcPr>
          <w:p w14:paraId="43EEDDCC">
            <w:pPr>
              <w:widowControl/>
              <w:spacing w:line="400" w:lineRule="exact"/>
              <w:contextualSpacing/>
              <w:jc w:val="both"/>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对供配电系统情况进行记录并更新《配电系统配置表》和《发电机系统配置表》。掌握资源配置和使用情况，及时发现资源配置瓶颈，把握变化情况，提供趋势预测及基础数据支持，实现合理部署。</w:t>
            </w:r>
            <w:r>
              <w:rPr>
                <w:rFonts w:hint="eastAsia" w:ascii="宋体" w:hAnsi="宋体" w:eastAsia="宋体" w:cs="宋体"/>
                <w:bCs/>
                <w:kern w:val="0"/>
                <w:sz w:val="21"/>
                <w:szCs w:val="21"/>
                <w:highlight w:val="none"/>
                <w:lang w:eastAsia="zh-CN"/>
              </w:rPr>
              <w:t>配置变更时，同步更新“一账式”系统。</w:t>
            </w:r>
          </w:p>
        </w:tc>
        <w:tc>
          <w:tcPr>
            <w:tcW w:w="1146" w:type="dxa"/>
            <w:tcBorders>
              <w:top w:val="single" w:color="000000" w:sz="4" w:space="0"/>
              <w:left w:val="single" w:color="000000" w:sz="4" w:space="0"/>
              <w:bottom w:val="single" w:color="000000" w:sz="4" w:space="0"/>
              <w:right w:val="single" w:color="000000" w:sz="4" w:space="0"/>
            </w:tcBorders>
            <w:vAlign w:val="center"/>
          </w:tcPr>
          <w:p w14:paraId="4E210E3C">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248" w:type="dxa"/>
            <w:tcBorders>
              <w:top w:val="single" w:color="000000" w:sz="4" w:space="0"/>
              <w:left w:val="single" w:color="000000" w:sz="4" w:space="0"/>
              <w:bottom w:val="single" w:color="000000" w:sz="4" w:space="0"/>
              <w:right w:val="single" w:color="000000" w:sz="4" w:space="0"/>
            </w:tcBorders>
            <w:vAlign w:val="center"/>
          </w:tcPr>
          <w:p w14:paraId="510C412D">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提供《配电系统配置表》和《发电机系统配置表》以及更新“一账式”系统相关信息的实现方法</w:t>
            </w:r>
          </w:p>
        </w:tc>
      </w:tr>
      <w:tr w14:paraId="08284B2C">
        <w:tblPrEx>
          <w:tblCellMar>
            <w:top w:w="15" w:type="dxa"/>
            <w:left w:w="15" w:type="dxa"/>
            <w:bottom w:w="15" w:type="dxa"/>
            <w:right w:w="15" w:type="dxa"/>
          </w:tblCellMar>
        </w:tblPrEx>
        <w:trPr>
          <w:trHeight w:val="511"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14:paraId="232602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916" w:type="dxa"/>
            <w:tcBorders>
              <w:top w:val="single" w:color="000000" w:sz="4" w:space="0"/>
              <w:left w:val="single" w:color="000000" w:sz="4" w:space="0"/>
              <w:bottom w:val="single" w:color="000000" w:sz="4" w:space="0"/>
              <w:right w:val="single" w:color="000000" w:sz="4" w:space="0"/>
            </w:tcBorders>
            <w:vAlign w:val="center"/>
          </w:tcPr>
          <w:p w14:paraId="2EF248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故障处理和维修服务</w:t>
            </w:r>
          </w:p>
        </w:tc>
        <w:tc>
          <w:tcPr>
            <w:tcW w:w="4691" w:type="dxa"/>
            <w:tcBorders>
              <w:top w:val="single" w:color="000000" w:sz="4" w:space="0"/>
              <w:left w:val="single" w:color="000000" w:sz="4" w:space="0"/>
              <w:bottom w:val="single" w:color="000000" w:sz="4" w:space="0"/>
              <w:right w:val="single" w:color="000000" w:sz="4" w:space="0"/>
            </w:tcBorders>
            <w:vAlign w:val="center"/>
          </w:tcPr>
          <w:p w14:paraId="00144D3F">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1、当机房供配电设备发生故障，在规定的时间内进行修复，恢复设备正常运行。</w:t>
            </w:r>
          </w:p>
          <w:p w14:paraId="207A6E11">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2、如无法在规定时间修复故障，必须免费提供应急处理服务（包括提供备机），避免影响机房设备的正常运行。</w:t>
            </w:r>
          </w:p>
          <w:p w14:paraId="37F8E85D">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3、免费更换损坏的所有设备部件(含易损件)。</w:t>
            </w:r>
          </w:p>
          <w:p w14:paraId="52CB9703">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4、更换的零配件必须符合招标文件对备品备件的质量要求。</w:t>
            </w:r>
          </w:p>
          <w:p w14:paraId="63CCDCE1">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5、每次维修服务后，必须提供故障处理报告（盖中标人公章）。 </w:t>
            </w:r>
          </w:p>
        </w:tc>
        <w:tc>
          <w:tcPr>
            <w:tcW w:w="1146" w:type="dxa"/>
            <w:tcBorders>
              <w:top w:val="single" w:color="000000" w:sz="4" w:space="0"/>
              <w:left w:val="single" w:color="000000" w:sz="4" w:space="0"/>
              <w:bottom w:val="single" w:color="000000" w:sz="4" w:space="0"/>
              <w:right w:val="single" w:color="000000" w:sz="4" w:space="0"/>
            </w:tcBorders>
            <w:vAlign w:val="center"/>
          </w:tcPr>
          <w:p w14:paraId="037C51AA">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248" w:type="dxa"/>
            <w:tcBorders>
              <w:top w:val="single" w:color="000000" w:sz="4" w:space="0"/>
              <w:left w:val="single" w:color="000000" w:sz="4" w:space="0"/>
              <w:bottom w:val="single" w:color="000000" w:sz="4" w:space="0"/>
              <w:right w:val="single" w:color="000000" w:sz="4" w:space="0"/>
            </w:tcBorders>
            <w:vAlign w:val="center"/>
          </w:tcPr>
          <w:p w14:paraId="70DADD1C">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68FEF777">
        <w:tblPrEx>
          <w:tblCellMar>
            <w:top w:w="15" w:type="dxa"/>
            <w:left w:w="15" w:type="dxa"/>
            <w:bottom w:w="15" w:type="dxa"/>
            <w:right w:w="15" w:type="dxa"/>
          </w:tblCellMar>
        </w:tblPrEx>
        <w:trPr>
          <w:trHeight w:val="511" w:hRule="atLeast"/>
          <w:jc w:val="center"/>
        </w:trPr>
        <w:tc>
          <w:tcPr>
            <w:tcW w:w="906" w:type="dxa"/>
            <w:tcBorders>
              <w:top w:val="single" w:color="000000" w:sz="4" w:space="0"/>
              <w:left w:val="single" w:color="000000" w:sz="4" w:space="0"/>
              <w:bottom w:val="single" w:color="auto" w:sz="4" w:space="0"/>
              <w:right w:val="single" w:color="000000" w:sz="4" w:space="0"/>
            </w:tcBorders>
            <w:vAlign w:val="center"/>
          </w:tcPr>
          <w:p w14:paraId="45D740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916" w:type="dxa"/>
            <w:tcBorders>
              <w:top w:val="single" w:color="000000" w:sz="4" w:space="0"/>
              <w:left w:val="single" w:color="000000" w:sz="4" w:space="0"/>
              <w:bottom w:val="single" w:color="auto" w:sz="4" w:space="0"/>
              <w:right w:val="single" w:color="000000" w:sz="4" w:space="0"/>
            </w:tcBorders>
            <w:vAlign w:val="center"/>
          </w:tcPr>
          <w:p w14:paraId="04A8AF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检查保养服务</w:t>
            </w:r>
          </w:p>
        </w:tc>
        <w:tc>
          <w:tcPr>
            <w:tcW w:w="4691" w:type="dxa"/>
            <w:tcBorders>
              <w:top w:val="single" w:color="000000" w:sz="4" w:space="0"/>
              <w:left w:val="single" w:color="000000" w:sz="4" w:space="0"/>
              <w:bottom w:val="single" w:color="auto" w:sz="4" w:space="0"/>
              <w:right w:val="single" w:color="000000" w:sz="4" w:space="0"/>
            </w:tcBorders>
            <w:vAlign w:val="center"/>
          </w:tcPr>
          <w:p w14:paraId="4EB204CD">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每月需进行一次供配电系统的深度检查保养，提供检查报告。检查保养内容包括：</w:t>
            </w:r>
          </w:p>
          <w:p w14:paraId="153A2BEB">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1、配电箱/柜：</w:t>
            </w:r>
          </w:p>
          <w:p w14:paraId="212C10D8">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检查配电屏/柜的外观是否完好</w:t>
            </w:r>
          </w:p>
          <w:p w14:paraId="009D3259">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检查配电屏/柜是否清洁</w:t>
            </w:r>
          </w:p>
          <w:p w14:paraId="42114A57">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检查配电屏/柜的标示是否正确、清晰</w:t>
            </w:r>
          </w:p>
          <w:p w14:paraId="17EE278C">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检查各种显示仪表是否正常</w:t>
            </w:r>
          </w:p>
          <w:p w14:paraId="23AAB173">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检查各相电压是否符合要求</w:t>
            </w:r>
          </w:p>
          <w:p w14:paraId="2720FDCF">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检查各相电流是否平衡</w:t>
            </w:r>
          </w:p>
          <w:p w14:paraId="4CB0E13C">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检查各框架开关/塑壳开关参数是否与设计相匹配</w:t>
            </w:r>
          </w:p>
          <w:p w14:paraId="17C18D90">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检测开关、电缆、母线与接点的温升</w:t>
            </w:r>
          </w:p>
          <w:p w14:paraId="592B9E77">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测量零线电流和地线电流是否正常</w:t>
            </w:r>
          </w:p>
          <w:p w14:paraId="1AC544A9">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测量零地电压差</w:t>
            </w:r>
          </w:p>
          <w:p w14:paraId="401C38F3">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2、配电线路</w:t>
            </w:r>
          </w:p>
          <w:p w14:paraId="5C4F6FE4">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检查电气电缆的标识是否正确、清晰</w:t>
            </w:r>
          </w:p>
          <w:p w14:paraId="2FD1F3EE">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检查电缆线槽、线架是否完好</w:t>
            </w:r>
          </w:p>
          <w:p w14:paraId="6AD5699B">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检查电缆沟等是否清洁</w:t>
            </w:r>
          </w:p>
          <w:p w14:paraId="6F6DA291">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检查电缆的防水</w:t>
            </w:r>
          </w:p>
          <w:p w14:paraId="2BC46FE6">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检查电缆的防鼠</w:t>
            </w:r>
          </w:p>
          <w:p w14:paraId="23F81872">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检查电缆是否有损伤</w:t>
            </w:r>
          </w:p>
          <w:p w14:paraId="5617A9F9">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检查电缆线槽、线架的接地情况</w:t>
            </w:r>
          </w:p>
          <w:p w14:paraId="4F0B7F33">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检测电缆的绝缘</w:t>
            </w:r>
          </w:p>
          <w:p w14:paraId="4F1FDB17">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3、配电系统的防雷</w:t>
            </w:r>
          </w:p>
          <w:p w14:paraId="3132D29B">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检查各级防雷器是否完好</w:t>
            </w:r>
          </w:p>
          <w:p w14:paraId="5A24A6E9">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检查各级防雷器是否洁净</w:t>
            </w:r>
          </w:p>
          <w:p w14:paraId="2AFA41A3">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检查各级防雷器指示灯是否正常</w:t>
            </w:r>
          </w:p>
          <w:p w14:paraId="23145DA6">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检查各级防雷器接点是否紧固</w:t>
            </w:r>
          </w:p>
          <w:p w14:paraId="5DCCAE59">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检查各级防雷器接地是否良好</w:t>
            </w:r>
          </w:p>
          <w:p w14:paraId="027B4338">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4、配电系统的接电</w:t>
            </w:r>
          </w:p>
          <w:p w14:paraId="2987E961">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检查接地系统各点接触是否良好</w:t>
            </w:r>
          </w:p>
          <w:p w14:paraId="0D30F613">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检测接地电阻是否符合设计要求</w:t>
            </w:r>
          </w:p>
          <w:p w14:paraId="0670B7AE">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接地铜排是否有松动不贴合情况</w:t>
            </w:r>
          </w:p>
          <w:p w14:paraId="457B96C5">
            <w:pPr>
              <w:widowControl w:val="0"/>
              <w:spacing w:line="400" w:lineRule="exact"/>
              <w:ind w:firstLine="0" w:firstLineChars="0"/>
              <w:contextualSpacing/>
              <w:jc w:val="both"/>
              <w:textAlignment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与大楼主体连接端是否松动</w:t>
            </w:r>
          </w:p>
        </w:tc>
        <w:tc>
          <w:tcPr>
            <w:tcW w:w="1146" w:type="dxa"/>
            <w:tcBorders>
              <w:top w:val="single" w:color="000000" w:sz="4" w:space="0"/>
              <w:left w:val="single" w:color="000000" w:sz="4" w:space="0"/>
              <w:bottom w:val="single" w:color="auto" w:sz="4" w:space="0"/>
              <w:right w:val="single" w:color="000000" w:sz="4" w:space="0"/>
            </w:tcBorders>
            <w:vAlign w:val="center"/>
          </w:tcPr>
          <w:p w14:paraId="764E7A6A">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248" w:type="dxa"/>
            <w:tcBorders>
              <w:top w:val="single" w:color="000000" w:sz="4" w:space="0"/>
              <w:left w:val="single" w:color="000000" w:sz="4" w:space="0"/>
              <w:bottom w:val="single" w:color="auto" w:sz="4" w:space="0"/>
              <w:right w:val="single" w:color="000000" w:sz="4" w:space="0"/>
            </w:tcBorders>
            <w:vAlign w:val="center"/>
          </w:tcPr>
          <w:p w14:paraId="1EA13039">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691C766A">
        <w:tblPrEx>
          <w:tblCellMar>
            <w:top w:w="15" w:type="dxa"/>
            <w:left w:w="15" w:type="dxa"/>
            <w:bottom w:w="15" w:type="dxa"/>
            <w:right w:w="15" w:type="dxa"/>
          </w:tblCellMar>
        </w:tblPrEx>
        <w:trPr>
          <w:trHeight w:val="610" w:hRule="atLeast"/>
          <w:jc w:val="center"/>
        </w:trPr>
        <w:tc>
          <w:tcPr>
            <w:tcW w:w="906" w:type="dxa"/>
            <w:tcBorders>
              <w:top w:val="single" w:color="auto" w:sz="4" w:space="0"/>
              <w:left w:val="single" w:color="auto" w:sz="4" w:space="0"/>
              <w:bottom w:val="single" w:color="000000" w:sz="4" w:space="0"/>
              <w:right w:val="single" w:color="000000" w:sz="4" w:space="0"/>
            </w:tcBorders>
            <w:vAlign w:val="center"/>
          </w:tcPr>
          <w:p w14:paraId="40F484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916" w:type="dxa"/>
            <w:tcBorders>
              <w:top w:val="single" w:color="auto" w:sz="4" w:space="0"/>
              <w:left w:val="single" w:color="000000" w:sz="4" w:space="0"/>
              <w:bottom w:val="single" w:color="000000" w:sz="4" w:space="0"/>
              <w:right w:val="single" w:color="000000" w:sz="4" w:space="0"/>
            </w:tcBorders>
            <w:vAlign w:val="center"/>
          </w:tcPr>
          <w:p w14:paraId="41997C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应急处理及演练协助</w:t>
            </w:r>
          </w:p>
        </w:tc>
        <w:tc>
          <w:tcPr>
            <w:tcW w:w="4691" w:type="dxa"/>
            <w:tcBorders>
              <w:top w:val="single" w:color="auto" w:sz="4" w:space="0"/>
              <w:left w:val="single" w:color="000000" w:sz="4" w:space="0"/>
              <w:bottom w:val="single" w:color="000000" w:sz="4" w:space="0"/>
              <w:right w:val="single" w:color="auto" w:sz="4" w:space="0"/>
            </w:tcBorders>
            <w:vAlign w:val="center"/>
          </w:tcPr>
          <w:p w14:paraId="463D1872">
            <w:pPr>
              <w:widowControl/>
              <w:spacing w:line="400" w:lineRule="exact"/>
              <w:contextualSpacing/>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制定供配电系统应急处理技术方案，提供应急服务，提供应急演练协助。</w:t>
            </w:r>
          </w:p>
        </w:tc>
        <w:tc>
          <w:tcPr>
            <w:tcW w:w="1146" w:type="dxa"/>
            <w:tcBorders>
              <w:top w:val="single" w:color="auto" w:sz="4" w:space="0"/>
              <w:left w:val="single" w:color="000000" w:sz="4" w:space="0"/>
              <w:bottom w:val="single" w:color="000000" w:sz="4" w:space="0"/>
              <w:right w:val="single" w:color="auto" w:sz="4" w:space="0"/>
            </w:tcBorders>
            <w:vAlign w:val="center"/>
          </w:tcPr>
          <w:p w14:paraId="2A820742">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248" w:type="dxa"/>
            <w:tcBorders>
              <w:top w:val="single" w:color="auto" w:sz="4" w:space="0"/>
              <w:left w:val="single" w:color="000000" w:sz="4" w:space="0"/>
              <w:bottom w:val="single" w:color="000000" w:sz="4" w:space="0"/>
              <w:right w:val="single" w:color="auto" w:sz="4" w:space="0"/>
            </w:tcBorders>
            <w:vAlign w:val="center"/>
          </w:tcPr>
          <w:p w14:paraId="12BA00FF">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7A47F748">
        <w:tblPrEx>
          <w:tblCellMar>
            <w:top w:w="15" w:type="dxa"/>
            <w:left w:w="15" w:type="dxa"/>
            <w:bottom w:w="15" w:type="dxa"/>
            <w:right w:w="15" w:type="dxa"/>
          </w:tblCellMar>
        </w:tblPrEx>
        <w:trPr>
          <w:trHeight w:val="482" w:hRule="atLeast"/>
          <w:jc w:val="center"/>
        </w:trPr>
        <w:tc>
          <w:tcPr>
            <w:tcW w:w="906" w:type="dxa"/>
            <w:tcBorders>
              <w:top w:val="single" w:color="000000" w:sz="4" w:space="0"/>
              <w:left w:val="single" w:color="auto" w:sz="4" w:space="0"/>
              <w:bottom w:val="single" w:color="000000" w:sz="4" w:space="0"/>
              <w:right w:val="single" w:color="000000" w:sz="4" w:space="0"/>
            </w:tcBorders>
            <w:vAlign w:val="center"/>
          </w:tcPr>
          <w:p w14:paraId="598934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916" w:type="dxa"/>
            <w:tcBorders>
              <w:top w:val="single" w:color="000000" w:sz="4" w:space="0"/>
              <w:left w:val="single" w:color="000000" w:sz="4" w:space="0"/>
              <w:bottom w:val="single" w:color="000000" w:sz="4" w:space="0"/>
              <w:right w:val="single" w:color="000000" w:sz="4" w:space="0"/>
            </w:tcBorders>
            <w:vAlign w:val="center"/>
          </w:tcPr>
          <w:p w14:paraId="3A5AF8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服务质量保证</w:t>
            </w:r>
          </w:p>
        </w:tc>
        <w:tc>
          <w:tcPr>
            <w:tcW w:w="4691" w:type="dxa"/>
            <w:tcBorders>
              <w:top w:val="single" w:color="000000" w:sz="4" w:space="0"/>
              <w:left w:val="single" w:color="000000" w:sz="4" w:space="0"/>
              <w:bottom w:val="single" w:color="000000" w:sz="4" w:space="0"/>
              <w:right w:val="single" w:color="auto" w:sz="4" w:space="0"/>
            </w:tcBorders>
            <w:vAlign w:val="center"/>
          </w:tcPr>
          <w:p w14:paraId="33280B79">
            <w:pPr>
              <w:widowControl/>
              <w:spacing w:line="400" w:lineRule="exact"/>
              <w:contextualSpacing/>
              <w:jc w:val="left"/>
              <w:textAlignment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供配电系统维护人员必须持证上岗。</w:t>
            </w:r>
          </w:p>
        </w:tc>
        <w:tc>
          <w:tcPr>
            <w:tcW w:w="1146" w:type="dxa"/>
            <w:tcBorders>
              <w:top w:val="single" w:color="000000" w:sz="4" w:space="0"/>
              <w:left w:val="single" w:color="000000" w:sz="4" w:space="0"/>
              <w:bottom w:val="single" w:color="000000" w:sz="4" w:space="0"/>
              <w:right w:val="single" w:color="auto" w:sz="4" w:space="0"/>
            </w:tcBorders>
            <w:vAlign w:val="center"/>
          </w:tcPr>
          <w:p w14:paraId="0B916912">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248" w:type="dxa"/>
            <w:tcBorders>
              <w:top w:val="single" w:color="000000" w:sz="4" w:space="0"/>
              <w:left w:val="single" w:color="000000" w:sz="4" w:space="0"/>
              <w:bottom w:val="single" w:color="000000" w:sz="4" w:space="0"/>
              <w:right w:val="single" w:color="auto" w:sz="4" w:space="0"/>
            </w:tcBorders>
            <w:vAlign w:val="center"/>
          </w:tcPr>
          <w:p w14:paraId="4DB1EB6A">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bl>
    <w:p w14:paraId="6B464025">
      <w:pPr>
        <w:widowControl w:val="0"/>
        <w:bidi w:val="0"/>
        <w:ind w:left="0" w:leftChars="0" w:firstLine="0" w:firstLineChars="0"/>
        <w:jc w:val="right"/>
        <w:outlineLvl w:val="3"/>
        <w:rPr>
          <w:rFonts w:hint="eastAsia" w:ascii="宋体" w:hAnsi="宋体" w:eastAsia="宋体" w:cs="宋体"/>
          <w:b w:val="0"/>
          <w:bCs/>
          <w:kern w:val="2"/>
          <w:sz w:val="21"/>
          <w:szCs w:val="21"/>
          <w:highlight w:val="none"/>
          <w:lang w:val="en-US" w:eastAsia="zh-CN" w:bidi="ar-SA"/>
        </w:rPr>
      </w:pPr>
    </w:p>
    <w:p w14:paraId="2B6F1859">
      <w:pPr>
        <w:widowControl w:val="0"/>
        <w:bidi w:val="0"/>
        <w:ind w:left="0" w:leftChars="0" w:firstLine="0" w:firstLineChars="0"/>
        <w:jc w:val="both"/>
        <w:outlineLvl w:val="3"/>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3.2.5 其他机房环境设备技术服务</w:t>
      </w:r>
    </w:p>
    <w:tbl>
      <w:tblPr>
        <w:tblStyle w:val="24"/>
        <w:tblW w:w="9027" w:type="dxa"/>
        <w:jc w:val="center"/>
        <w:tblLayout w:type="fixed"/>
        <w:tblCellMar>
          <w:top w:w="15" w:type="dxa"/>
          <w:left w:w="15" w:type="dxa"/>
          <w:bottom w:w="15" w:type="dxa"/>
          <w:right w:w="15" w:type="dxa"/>
        </w:tblCellMar>
      </w:tblPr>
      <w:tblGrid>
        <w:gridCol w:w="1008"/>
        <w:gridCol w:w="949"/>
        <w:gridCol w:w="4691"/>
        <w:gridCol w:w="1157"/>
        <w:gridCol w:w="1222"/>
      </w:tblGrid>
      <w:tr w14:paraId="3F730B58">
        <w:tblPrEx>
          <w:tblCellMar>
            <w:top w:w="15" w:type="dxa"/>
            <w:left w:w="15" w:type="dxa"/>
            <w:bottom w:w="15" w:type="dxa"/>
            <w:right w:w="15" w:type="dxa"/>
          </w:tblCellMar>
        </w:tblPrEx>
        <w:trPr>
          <w:trHeight w:val="573"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37D3EE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949" w:type="dxa"/>
            <w:tcBorders>
              <w:top w:val="single" w:color="000000" w:sz="4" w:space="0"/>
              <w:left w:val="single" w:color="000000" w:sz="4" w:space="0"/>
              <w:bottom w:val="single" w:color="000000" w:sz="4" w:space="0"/>
              <w:right w:val="single" w:color="000000" w:sz="4" w:space="0"/>
            </w:tcBorders>
            <w:vAlign w:val="center"/>
          </w:tcPr>
          <w:p w14:paraId="1EFFFA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691" w:type="dxa"/>
            <w:tcBorders>
              <w:top w:val="single" w:color="000000" w:sz="4" w:space="0"/>
              <w:left w:val="single" w:color="000000" w:sz="4" w:space="0"/>
              <w:bottom w:val="single" w:color="000000" w:sz="4" w:space="0"/>
              <w:right w:val="single" w:color="000000" w:sz="4" w:space="0"/>
            </w:tcBorders>
            <w:vAlign w:val="center"/>
          </w:tcPr>
          <w:p w14:paraId="551FD3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157" w:type="dxa"/>
            <w:tcBorders>
              <w:top w:val="single" w:color="000000" w:sz="4" w:space="0"/>
              <w:left w:val="single" w:color="000000" w:sz="4" w:space="0"/>
              <w:bottom w:val="single" w:color="000000" w:sz="4" w:space="0"/>
              <w:right w:val="single" w:color="000000" w:sz="4" w:space="0"/>
            </w:tcBorders>
            <w:vAlign w:val="center"/>
          </w:tcPr>
          <w:p w14:paraId="5B7C08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222" w:type="dxa"/>
            <w:tcBorders>
              <w:top w:val="single" w:color="000000" w:sz="4" w:space="0"/>
              <w:left w:val="single" w:color="000000" w:sz="4" w:space="0"/>
              <w:bottom w:val="single" w:color="000000" w:sz="4" w:space="0"/>
              <w:right w:val="single" w:color="000000" w:sz="4" w:space="0"/>
            </w:tcBorders>
            <w:vAlign w:val="center"/>
          </w:tcPr>
          <w:p w14:paraId="090E1C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25DC0058">
        <w:tblPrEx>
          <w:tblCellMar>
            <w:top w:w="15" w:type="dxa"/>
            <w:left w:w="15" w:type="dxa"/>
            <w:bottom w:w="15" w:type="dxa"/>
            <w:right w:w="15" w:type="dxa"/>
          </w:tblCellMar>
        </w:tblPrEx>
        <w:trPr>
          <w:trHeight w:val="511"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7900E0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949" w:type="dxa"/>
            <w:tcBorders>
              <w:top w:val="single" w:color="000000" w:sz="4" w:space="0"/>
              <w:left w:val="single" w:color="000000" w:sz="4" w:space="0"/>
              <w:bottom w:val="single" w:color="000000" w:sz="4" w:space="0"/>
              <w:right w:val="single" w:color="000000" w:sz="4" w:space="0"/>
            </w:tcBorders>
            <w:vAlign w:val="center"/>
          </w:tcPr>
          <w:p w14:paraId="09BDB0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配置管理</w:t>
            </w:r>
          </w:p>
        </w:tc>
        <w:tc>
          <w:tcPr>
            <w:tcW w:w="4691" w:type="dxa"/>
            <w:tcBorders>
              <w:top w:val="single" w:color="000000" w:sz="4" w:space="0"/>
              <w:left w:val="single" w:color="000000" w:sz="4" w:space="0"/>
              <w:bottom w:val="single" w:color="000000" w:sz="4" w:space="0"/>
              <w:right w:val="single" w:color="000000" w:sz="4" w:space="0"/>
            </w:tcBorders>
            <w:vAlign w:val="center"/>
          </w:tcPr>
          <w:p w14:paraId="050FCE1E">
            <w:pPr>
              <w:widowControl/>
              <w:spacing w:line="400" w:lineRule="exact"/>
              <w:contextualSpacing/>
              <w:jc w:val="left"/>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对视频监控系统情况进行记录并更新《机房监控与安全防范系统配置表》。掌握资源配置和使用情况，及时发现资源配置瓶颈，把握变化情况，提供趋势预测及基础数据支持，实现合理部署。</w:t>
            </w:r>
            <w:r>
              <w:rPr>
                <w:rFonts w:hint="eastAsia" w:ascii="宋体" w:hAnsi="宋体" w:eastAsia="宋体" w:cs="宋体"/>
                <w:bCs/>
                <w:kern w:val="0"/>
                <w:sz w:val="21"/>
                <w:szCs w:val="21"/>
                <w:highlight w:val="none"/>
                <w:lang w:eastAsia="zh-CN"/>
              </w:rPr>
              <w:t>配置变更时，同步更新“一账式”系统。</w:t>
            </w:r>
          </w:p>
        </w:tc>
        <w:tc>
          <w:tcPr>
            <w:tcW w:w="1157" w:type="dxa"/>
            <w:tcBorders>
              <w:top w:val="single" w:color="000000" w:sz="4" w:space="0"/>
              <w:left w:val="single" w:color="000000" w:sz="4" w:space="0"/>
              <w:bottom w:val="single" w:color="000000" w:sz="4" w:space="0"/>
              <w:right w:val="single" w:color="000000" w:sz="4" w:space="0"/>
            </w:tcBorders>
            <w:vAlign w:val="center"/>
          </w:tcPr>
          <w:p w14:paraId="1DC9526D">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222" w:type="dxa"/>
            <w:tcBorders>
              <w:top w:val="single" w:color="000000" w:sz="4" w:space="0"/>
              <w:left w:val="single" w:color="000000" w:sz="4" w:space="0"/>
              <w:bottom w:val="single" w:color="000000" w:sz="4" w:space="0"/>
              <w:right w:val="single" w:color="000000" w:sz="4" w:space="0"/>
            </w:tcBorders>
            <w:vAlign w:val="center"/>
          </w:tcPr>
          <w:p w14:paraId="08E866C5">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提供《机房监控与安全防范系统配置表》以及更新“一账式”系统相关信息的实现方法</w:t>
            </w:r>
          </w:p>
        </w:tc>
      </w:tr>
      <w:tr w14:paraId="5097F9A9">
        <w:tblPrEx>
          <w:tblCellMar>
            <w:top w:w="15" w:type="dxa"/>
            <w:left w:w="15" w:type="dxa"/>
            <w:bottom w:w="15" w:type="dxa"/>
            <w:right w:w="15" w:type="dxa"/>
          </w:tblCellMar>
        </w:tblPrEx>
        <w:trPr>
          <w:trHeight w:val="511"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3336BB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949" w:type="dxa"/>
            <w:tcBorders>
              <w:top w:val="single" w:color="000000" w:sz="4" w:space="0"/>
              <w:left w:val="single" w:color="000000" w:sz="4" w:space="0"/>
              <w:bottom w:val="single" w:color="000000" w:sz="4" w:space="0"/>
              <w:right w:val="single" w:color="000000" w:sz="4" w:space="0"/>
            </w:tcBorders>
            <w:vAlign w:val="center"/>
          </w:tcPr>
          <w:p w14:paraId="676F14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故障处理和维修服务</w:t>
            </w:r>
          </w:p>
        </w:tc>
        <w:tc>
          <w:tcPr>
            <w:tcW w:w="4691" w:type="dxa"/>
            <w:tcBorders>
              <w:top w:val="single" w:color="000000" w:sz="4" w:space="0"/>
              <w:left w:val="single" w:color="000000" w:sz="4" w:space="0"/>
              <w:bottom w:val="single" w:color="000000" w:sz="4" w:space="0"/>
              <w:right w:val="single" w:color="000000" w:sz="4" w:space="0"/>
            </w:tcBorders>
            <w:vAlign w:val="center"/>
          </w:tcPr>
          <w:p w14:paraId="0C8A2D2C">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1、当机房环境设备发生故障，在规定的时间内进行修复，恢复设备正常运行。如无法在规定时间修复故障，必须免费提供应急处理服务（包括提供备机），避免影响机房设备的正常运行。</w:t>
            </w:r>
          </w:p>
          <w:p w14:paraId="4C87490D">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2、免费更换损坏的所有设备部件(含易损件)。</w:t>
            </w:r>
          </w:p>
          <w:p w14:paraId="73F9A3F8">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3、更换的零配件必须为符合招标文件对备品备件的质量要求。</w:t>
            </w:r>
          </w:p>
          <w:p w14:paraId="4A93DFAF">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4、每次维修服务后，必须提供故障处理报告（盖中标人公章）。</w:t>
            </w:r>
          </w:p>
        </w:tc>
        <w:tc>
          <w:tcPr>
            <w:tcW w:w="1157" w:type="dxa"/>
            <w:tcBorders>
              <w:top w:val="single" w:color="000000" w:sz="4" w:space="0"/>
              <w:left w:val="single" w:color="000000" w:sz="4" w:space="0"/>
              <w:bottom w:val="single" w:color="000000" w:sz="4" w:space="0"/>
              <w:right w:val="single" w:color="000000" w:sz="4" w:space="0"/>
            </w:tcBorders>
            <w:vAlign w:val="center"/>
          </w:tcPr>
          <w:p w14:paraId="2E9BE4FB">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222" w:type="dxa"/>
            <w:tcBorders>
              <w:top w:val="single" w:color="000000" w:sz="4" w:space="0"/>
              <w:left w:val="single" w:color="000000" w:sz="4" w:space="0"/>
              <w:bottom w:val="single" w:color="000000" w:sz="4" w:space="0"/>
              <w:right w:val="single" w:color="000000" w:sz="4" w:space="0"/>
            </w:tcBorders>
            <w:vAlign w:val="center"/>
          </w:tcPr>
          <w:p w14:paraId="326084A7">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2DB98FE3">
        <w:tblPrEx>
          <w:tblCellMar>
            <w:top w:w="15" w:type="dxa"/>
            <w:left w:w="15" w:type="dxa"/>
            <w:bottom w:w="15" w:type="dxa"/>
            <w:right w:w="15" w:type="dxa"/>
          </w:tblCellMar>
        </w:tblPrEx>
        <w:trPr>
          <w:trHeight w:val="511"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647790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949" w:type="dxa"/>
            <w:tcBorders>
              <w:top w:val="single" w:color="000000" w:sz="4" w:space="0"/>
              <w:left w:val="single" w:color="000000" w:sz="4" w:space="0"/>
              <w:bottom w:val="single" w:color="000000" w:sz="4" w:space="0"/>
              <w:right w:val="single" w:color="000000" w:sz="4" w:space="0"/>
            </w:tcBorders>
            <w:vAlign w:val="center"/>
          </w:tcPr>
          <w:p w14:paraId="56D38C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检查保养服务</w:t>
            </w:r>
          </w:p>
        </w:tc>
        <w:tc>
          <w:tcPr>
            <w:tcW w:w="4691" w:type="dxa"/>
            <w:tcBorders>
              <w:top w:val="single" w:color="000000" w:sz="4" w:space="0"/>
              <w:left w:val="single" w:color="000000" w:sz="4" w:space="0"/>
              <w:bottom w:val="single" w:color="000000" w:sz="4" w:space="0"/>
              <w:right w:val="single" w:color="000000" w:sz="4" w:space="0"/>
            </w:tcBorders>
            <w:vAlign w:val="center"/>
          </w:tcPr>
          <w:p w14:paraId="1B0C1296">
            <w:pPr>
              <w:widowControl w:val="0"/>
              <w:spacing w:line="400" w:lineRule="exact"/>
              <w:ind w:firstLine="420" w:firstLineChars="200"/>
              <w:contextualSpacing/>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每月对机房环境设备进行一次深度检查保养，提供检查报告。检查保养内容包括：</w:t>
            </w:r>
          </w:p>
          <w:p w14:paraId="33E99774">
            <w:pPr>
              <w:widowControl w:val="0"/>
              <w:spacing w:line="400" w:lineRule="exact"/>
              <w:ind w:firstLine="0"/>
              <w:contextualSpacing/>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视频监控系统。检查摄像头位置是否合适；检查摄像头图像是否清晰；检查摄像头供电是否正常，电源是否过热；检查录像机录像是否正常；检查录像机回放是否正常，数据存储是否符合规范；检查录像机硬盘数据维护情况；检查是否能正常切换图像；负责故障部件及元器件的更换；清理录像机内部灰尘；检查视频监控是否存在盲区，按照招标人的机房监控需求及时补充安装摄像头消除盲区，费用由中标人承担。</w:t>
            </w:r>
          </w:p>
          <w:p w14:paraId="1F230F28">
            <w:pPr>
              <w:widowControl w:val="0"/>
              <w:spacing w:line="400" w:lineRule="exact"/>
              <w:ind w:firstLine="0"/>
              <w:contextualSpacing/>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2、监控大屏。检查所有监控大屏及相关控制设备的运行情况，及时维修和更换损坏设备，确保大屏的正常使用。</w:t>
            </w:r>
          </w:p>
          <w:p w14:paraId="6A3841BE">
            <w:pPr>
              <w:widowControl w:val="0"/>
              <w:spacing w:line="400" w:lineRule="exact"/>
              <w:ind w:firstLine="0"/>
              <w:contextualSpacing/>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3、防静电地板。检查地板铺设是否稳固、平整；检查地板贴面是否开裂、开胶；检查地板拼缝是否平直、严密；负责地板平整度的调整，更换损坏、变形的地板、支架等。</w:t>
            </w:r>
          </w:p>
          <w:p w14:paraId="2D14E9A6">
            <w:pPr>
              <w:widowControl w:val="0"/>
              <w:spacing w:line="400" w:lineRule="exact"/>
              <w:ind w:firstLine="0"/>
              <w:contextualSpacing/>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4、吊顶。检查表面平整度；检查接口、拼缝是否严密，是否无翘角、碰伤；检查金属板与龙骨连接是否牢固可靠，如有松动变形应调整；负责吊顶平整度的调整，更换损坏或变形的吊顶及其龙骨吊架等。</w:t>
            </w:r>
          </w:p>
          <w:p w14:paraId="6643E3F1">
            <w:pPr>
              <w:widowControl w:val="0"/>
              <w:spacing w:line="400" w:lineRule="exact"/>
              <w:ind w:firstLine="0"/>
              <w:contextualSpacing/>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5、门禁。提供3套金属设备检测门（友谊路机房1套，环保路机房2套），中标人须在合同签订一个月内提供并安装到位。</w:t>
            </w:r>
          </w:p>
          <w:p w14:paraId="5C83AE06">
            <w:pPr>
              <w:widowControl w:val="0"/>
              <w:spacing w:line="400" w:lineRule="exact"/>
              <w:ind w:firstLine="0"/>
              <w:contextualSpacing/>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6、其他。检查安防设施是否正常；检查防火门能否正常开启、关闭，门扇是否下沉；检查门锁等五金件是否使用正常；检查门、窗的气密性；检查机房照明是否正常。</w:t>
            </w:r>
          </w:p>
        </w:tc>
        <w:tc>
          <w:tcPr>
            <w:tcW w:w="1157" w:type="dxa"/>
            <w:tcBorders>
              <w:top w:val="single" w:color="000000" w:sz="4" w:space="0"/>
              <w:left w:val="single" w:color="000000" w:sz="4" w:space="0"/>
              <w:bottom w:val="single" w:color="000000" w:sz="4" w:space="0"/>
              <w:right w:val="single" w:color="000000" w:sz="4" w:space="0"/>
            </w:tcBorders>
            <w:vAlign w:val="center"/>
          </w:tcPr>
          <w:p w14:paraId="559E6EF9">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222" w:type="dxa"/>
            <w:tcBorders>
              <w:top w:val="single" w:color="000000" w:sz="4" w:space="0"/>
              <w:left w:val="single" w:color="000000" w:sz="4" w:space="0"/>
              <w:bottom w:val="single" w:color="000000" w:sz="4" w:space="0"/>
              <w:right w:val="single" w:color="000000" w:sz="4" w:space="0"/>
            </w:tcBorders>
            <w:vAlign w:val="center"/>
          </w:tcPr>
          <w:p w14:paraId="4F46A89B">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186B0FD4">
        <w:tblPrEx>
          <w:tblCellMar>
            <w:top w:w="15" w:type="dxa"/>
            <w:left w:w="15" w:type="dxa"/>
            <w:bottom w:w="15" w:type="dxa"/>
            <w:right w:w="15" w:type="dxa"/>
          </w:tblCellMar>
        </w:tblPrEx>
        <w:trPr>
          <w:trHeight w:val="724"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4EC29A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949" w:type="dxa"/>
            <w:tcBorders>
              <w:top w:val="single" w:color="000000" w:sz="4" w:space="0"/>
              <w:left w:val="single" w:color="000000" w:sz="4" w:space="0"/>
              <w:bottom w:val="single" w:color="000000" w:sz="4" w:space="0"/>
              <w:right w:val="single" w:color="000000" w:sz="4" w:space="0"/>
            </w:tcBorders>
            <w:vAlign w:val="center"/>
          </w:tcPr>
          <w:p w14:paraId="423CF4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电气性能检测</w:t>
            </w:r>
          </w:p>
        </w:tc>
        <w:tc>
          <w:tcPr>
            <w:tcW w:w="4691" w:type="dxa"/>
            <w:tcBorders>
              <w:top w:val="single" w:color="000000" w:sz="4" w:space="0"/>
              <w:left w:val="single" w:color="000000" w:sz="4" w:space="0"/>
              <w:bottom w:val="single" w:color="000000" w:sz="4" w:space="0"/>
              <w:right w:val="single" w:color="000000" w:sz="4" w:space="0"/>
            </w:tcBorders>
            <w:vAlign w:val="center"/>
          </w:tcPr>
          <w:p w14:paraId="485E7440">
            <w:pPr>
              <w:widowControl/>
              <w:spacing w:line="400" w:lineRule="exact"/>
              <w:contextualSpacing/>
              <w:jc w:val="left"/>
              <w:textAlignment w:val="center"/>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每季</w:t>
            </w:r>
            <w:r>
              <w:rPr>
                <w:rFonts w:hint="eastAsia" w:ascii="宋体" w:hAnsi="宋体" w:eastAsia="宋体" w:cs="宋体"/>
                <w:kern w:val="0"/>
                <w:sz w:val="21"/>
                <w:szCs w:val="21"/>
                <w:highlight w:val="none"/>
              </w:rPr>
              <w:t>对机房环境设备所有电气连接点进行非接触式检测，根据检测结果及时分析电气连接隐患；</w:t>
            </w:r>
            <w:r>
              <w:rPr>
                <w:rFonts w:hint="eastAsia" w:ascii="宋体" w:hAnsi="宋体" w:cs="宋体"/>
                <w:kern w:val="0"/>
                <w:sz w:val="21"/>
                <w:szCs w:val="21"/>
                <w:highlight w:val="none"/>
                <w:lang w:val="en-US" w:eastAsia="zh-CN"/>
              </w:rPr>
              <w:t>每季</w:t>
            </w:r>
            <w:r>
              <w:rPr>
                <w:rFonts w:hint="eastAsia" w:ascii="宋体" w:hAnsi="宋体" w:eastAsia="宋体" w:cs="宋体"/>
                <w:kern w:val="0"/>
                <w:sz w:val="21"/>
                <w:szCs w:val="21"/>
                <w:highlight w:val="none"/>
              </w:rPr>
              <w:t>对设备进行接地、绝缘、防雷等电气性能进行检测，根据检测结果进行分析、评估、整改。</w:t>
            </w:r>
            <w:r>
              <w:rPr>
                <w:rFonts w:hint="eastAsia" w:ascii="宋体" w:hAnsi="宋体" w:eastAsia="宋体" w:cs="宋体"/>
                <w:b/>
                <w:kern w:val="0"/>
                <w:sz w:val="21"/>
                <w:szCs w:val="21"/>
                <w:highlight w:val="none"/>
              </w:rPr>
              <w:t>合同签订一个月内，</w:t>
            </w:r>
            <w:r>
              <w:rPr>
                <w:rFonts w:hint="eastAsia" w:ascii="宋体" w:hAnsi="宋体" w:eastAsia="宋体" w:cs="宋体"/>
                <w:b/>
                <w:sz w:val="21"/>
                <w:szCs w:val="21"/>
                <w:highlight w:val="none"/>
              </w:rPr>
              <w:t>必</w:t>
            </w:r>
            <w:r>
              <w:rPr>
                <w:rFonts w:hint="eastAsia" w:ascii="宋体" w:hAnsi="宋体" w:eastAsia="宋体" w:cs="宋体"/>
                <w:b/>
                <w:kern w:val="0"/>
                <w:sz w:val="21"/>
                <w:szCs w:val="21"/>
                <w:highlight w:val="none"/>
              </w:rPr>
              <w:t>须提供环保路机房和友谊路机房的防雷检测报告（由气象部门检查认定）。</w:t>
            </w:r>
          </w:p>
        </w:tc>
        <w:tc>
          <w:tcPr>
            <w:tcW w:w="1157" w:type="dxa"/>
            <w:tcBorders>
              <w:top w:val="single" w:color="000000" w:sz="4" w:space="0"/>
              <w:left w:val="single" w:color="000000" w:sz="4" w:space="0"/>
              <w:bottom w:val="single" w:color="000000" w:sz="4" w:space="0"/>
              <w:right w:val="single" w:color="000000" w:sz="4" w:space="0"/>
            </w:tcBorders>
            <w:vAlign w:val="center"/>
          </w:tcPr>
          <w:p w14:paraId="66E33D38">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222" w:type="dxa"/>
            <w:tcBorders>
              <w:top w:val="single" w:color="000000" w:sz="4" w:space="0"/>
              <w:left w:val="single" w:color="000000" w:sz="4" w:space="0"/>
              <w:bottom w:val="single" w:color="000000" w:sz="4" w:space="0"/>
              <w:right w:val="single" w:color="000000" w:sz="4" w:space="0"/>
            </w:tcBorders>
            <w:vAlign w:val="center"/>
          </w:tcPr>
          <w:p w14:paraId="2997C3D5">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提供</w:t>
            </w:r>
            <w:r>
              <w:rPr>
                <w:rFonts w:hint="eastAsia" w:ascii="宋体" w:hAnsi="宋体" w:eastAsia="宋体" w:cs="宋体"/>
                <w:b w:val="0"/>
                <w:bCs/>
                <w:color w:val="auto"/>
                <w:kern w:val="2"/>
                <w:sz w:val="21"/>
                <w:szCs w:val="21"/>
                <w:highlight w:val="none"/>
                <w:lang w:val="zh-CN" w:eastAsia="zh-CN" w:bidi="ar-SA"/>
              </w:rPr>
              <w:t>承诺</w:t>
            </w:r>
            <w:r>
              <w:rPr>
                <w:rFonts w:hint="eastAsia" w:ascii="宋体" w:hAnsi="宋体" w:eastAsia="宋体" w:cs="宋体"/>
                <w:b w:val="0"/>
                <w:bCs/>
                <w:color w:val="auto"/>
                <w:kern w:val="2"/>
                <w:sz w:val="21"/>
                <w:szCs w:val="21"/>
                <w:highlight w:val="none"/>
                <w:lang w:val="en-US" w:eastAsia="zh-CN" w:bidi="ar-SA"/>
              </w:rPr>
              <w:t>函</w:t>
            </w:r>
            <w:r>
              <w:rPr>
                <w:rFonts w:hint="eastAsia" w:ascii="宋体" w:hAnsi="宋体" w:eastAsia="宋体" w:cs="宋体"/>
                <w:b w:val="0"/>
                <w:bCs/>
                <w:color w:val="auto"/>
                <w:kern w:val="2"/>
                <w:sz w:val="21"/>
                <w:szCs w:val="21"/>
                <w:highlight w:val="none"/>
                <w:lang w:val="zh-CN" w:eastAsia="zh-CN" w:bidi="ar-SA"/>
              </w:rPr>
              <w:t>并盖投标人公章</w:t>
            </w:r>
          </w:p>
        </w:tc>
      </w:tr>
      <w:tr w14:paraId="271C3092">
        <w:tblPrEx>
          <w:tblCellMar>
            <w:top w:w="15" w:type="dxa"/>
            <w:left w:w="15" w:type="dxa"/>
            <w:bottom w:w="15" w:type="dxa"/>
            <w:right w:w="15" w:type="dxa"/>
          </w:tblCellMar>
        </w:tblPrEx>
        <w:trPr>
          <w:trHeight w:val="724"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7DC89F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949" w:type="dxa"/>
            <w:tcBorders>
              <w:top w:val="single" w:color="000000" w:sz="4" w:space="0"/>
              <w:left w:val="single" w:color="000000" w:sz="4" w:space="0"/>
              <w:bottom w:val="single" w:color="000000" w:sz="4" w:space="0"/>
              <w:right w:val="single" w:color="000000" w:sz="4" w:space="0"/>
            </w:tcBorders>
            <w:vAlign w:val="center"/>
          </w:tcPr>
          <w:p w14:paraId="3BF9B5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消防设备</w:t>
            </w:r>
          </w:p>
        </w:tc>
        <w:tc>
          <w:tcPr>
            <w:tcW w:w="4691" w:type="dxa"/>
            <w:tcBorders>
              <w:top w:val="single" w:color="000000" w:sz="4" w:space="0"/>
              <w:left w:val="single" w:color="000000" w:sz="4" w:space="0"/>
              <w:bottom w:val="single" w:color="000000" w:sz="4" w:space="0"/>
              <w:right w:val="single" w:color="000000" w:sz="4" w:space="0"/>
            </w:tcBorders>
            <w:vAlign w:val="center"/>
          </w:tcPr>
          <w:p w14:paraId="2EE41D20">
            <w:pPr>
              <w:widowControl/>
              <w:spacing w:line="400" w:lineRule="exact"/>
              <w:contextualSpacing/>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在服务期内，更新</w:t>
            </w:r>
            <w:r>
              <w:rPr>
                <w:rFonts w:hint="eastAsia" w:ascii="宋体" w:hAnsi="宋体" w:eastAsia="宋体" w:cs="宋体"/>
                <w:kern w:val="0"/>
                <w:sz w:val="21"/>
                <w:szCs w:val="21"/>
                <w:highlight w:val="none"/>
              </w:rPr>
              <w:t>适用于机房的</w:t>
            </w:r>
            <w:r>
              <w:rPr>
                <w:rFonts w:hint="eastAsia" w:ascii="宋体" w:hAnsi="宋体" w:eastAsia="宋体" w:cs="宋体"/>
                <w:kern w:val="0"/>
                <w:sz w:val="21"/>
                <w:szCs w:val="21"/>
                <w:highlight w:val="none"/>
                <w:lang w:val="en-US" w:eastAsia="zh-CN"/>
              </w:rPr>
              <w:t>过期</w:t>
            </w:r>
            <w:r>
              <w:rPr>
                <w:rFonts w:hint="eastAsia" w:ascii="宋体" w:hAnsi="宋体" w:eastAsia="宋体" w:cs="宋体"/>
                <w:kern w:val="0"/>
                <w:sz w:val="21"/>
                <w:szCs w:val="21"/>
                <w:highlight w:val="none"/>
              </w:rPr>
              <w:t>移动式消防灭火器材。</w:t>
            </w:r>
          </w:p>
        </w:tc>
        <w:tc>
          <w:tcPr>
            <w:tcW w:w="1157" w:type="dxa"/>
            <w:tcBorders>
              <w:top w:val="single" w:color="000000" w:sz="4" w:space="0"/>
              <w:left w:val="single" w:color="000000" w:sz="4" w:space="0"/>
              <w:bottom w:val="single" w:color="000000" w:sz="4" w:space="0"/>
              <w:right w:val="single" w:color="000000" w:sz="4" w:space="0"/>
            </w:tcBorders>
            <w:vAlign w:val="center"/>
          </w:tcPr>
          <w:p w14:paraId="68D190E0">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222" w:type="dxa"/>
            <w:tcBorders>
              <w:top w:val="single" w:color="000000" w:sz="4" w:space="0"/>
              <w:left w:val="single" w:color="000000" w:sz="4" w:space="0"/>
              <w:bottom w:val="single" w:color="000000" w:sz="4" w:space="0"/>
              <w:right w:val="single" w:color="000000" w:sz="4" w:space="0"/>
            </w:tcBorders>
            <w:vAlign w:val="center"/>
          </w:tcPr>
          <w:p w14:paraId="68DA7157">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bl>
    <w:p w14:paraId="71719369">
      <w:pPr>
        <w:widowControl w:val="0"/>
        <w:bidi w:val="0"/>
        <w:ind w:left="0" w:leftChars="0" w:firstLine="0" w:firstLineChars="0"/>
        <w:jc w:val="both"/>
        <w:outlineLvl w:val="3"/>
        <w:rPr>
          <w:rFonts w:hint="eastAsia" w:ascii="宋体" w:hAnsi="宋体" w:eastAsia="宋体" w:cs="宋体"/>
          <w:b w:val="0"/>
          <w:bCs/>
          <w:kern w:val="2"/>
          <w:sz w:val="21"/>
          <w:szCs w:val="21"/>
          <w:highlight w:val="none"/>
          <w:lang w:val="en-US" w:eastAsia="zh-CN" w:bidi="ar-SA"/>
        </w:rPr>
      </w:pPr>
    </w:p>
    <w:p w14:paraId="2629539A">
      <w:pPr>
        <w:widowControl w:val="0"/>
        <w:bidi w:val="0"/>
        <w:ind w:left="0" w:leftChars="0" w:firstLine="0" w:firstLineChars="0"/>
        <w:jc w:val="both"/>
        <w:outlineLvl w:val="3"/>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3.2.6机房动力环境监控技术服务</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142"/>
        <w:gridCol w:w="4713"/>
        <w:gridCol w:w="1156"/>
        <w:gridCol w:w="1189"/>
      </w:tblGrid>
      <w:tr w14:paraId="7997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8" w:type="dxa"/>
            <w:vAlign w:val="center"/>
          </w:tcPr>
          <w:p w14:paraId="67FBC4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42" w:type="dxa"/>
            <w:vAlign w:val="center"/>
          </w:tcPr>
          <w:p w14:paraId="67AC8C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713" w:type="dxa"/>
            <w:vAlign w:val="center"/>
          </w:tcPr>
          <w:p w14:paraId="697447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156" w:type="dxa"/>
            <w:vAlign w:val="center"/>
          </w:tcPr>
          <w:p w14:paraId="2B5AF9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489BB1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522F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8" w:type="dxa"/>
            <w:vAlign w:val="center"/>
          </w:tcPr>
          <w:p w14:paraId="19BE7F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42" w:type="dxa"/>
            <w:vAlign w:val="center"/>
          </w:tcPr>
          <w:p w14:paraId="1BA750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监控及数据推送内容</w:t>
            </w:r>
          </w:p>
        </w:tc>
        <w:tc>
          <w:tcPr>
            <w:tcW w:w="4713" w:type="dxa"/>
            <w:vAlign w:val="center"/>
          </w:tcPr>
          <w:p w14:paraId="1EB26F69">
            <w:pPr>
              <w:widowControl/>
              <w:spacing w:line="400" w:lineRule="exact"/>
              <w:contextualSpacing/>
              <w:jc w:val="left"/>
              <w:textAlignment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shd w:val="clear" w:color="auto" w:fill="FFFFFF"/>
              </w:rPr>
              <w:t>监控内容包括</w:t>
            </w:r>
            <w:r>
              <w:rPr>
                <w:rFonts w:hint="eastAsia" w:ascii="宋体" w:hAnsi="宋体" w:eastAsia="宋体" w:cs="宋体"/>
                <w:kern w:val="0"/>
                <w:sz w:val="21"/>
                <w:szCs w:val="21"/>
                <w:highlight w:val="none"/>
              </w:rPr>
              <w:t>漏水、温湿度、供配电、消防、安防、空调、UPS，极早期火灾感应以及门禁视频等</w:t>
            </w:r>
            <w:r>
              <w:rPr>
                <w:rFonts w:hint="eastAsia" w:ascii="宋体" w:hAnsi="宋体" w:eastAsia="宋体" w:cs="宋体"/>
                <w:sz w:val="21"/>
                <w:szCs w:val="21"/>
                <w:highlight w:val="none"/>
                <w:shd w:val="clear" w:color="auto" w:fill="FFFFFF"/>
              </w:rPr>
              <w:t>。</w:t>
            </w:r>
            <w:r>
              <w:rPr>
                <w:rFonts w:hint="eastAsia" w:ascii="宋体" w:hAnsi="宋体" w:eastAsia="宋体" w:cs="宋体"/>
                <w:bCs/>
                <w:kern w:val="0"/>
                <w:sz w:val="21"/>
                <w:szCs w:val="21"/>
                <w:highlight w:val="none"/>
                <w:lang w:eastAsia="zh-CN"/>
              </w:rPr>
              <w:t>配置变更时，同步更新“一账式”系统并确保数据及时推送至“一图管”平台。</w:t>
            </w:r>
          </w:p>
        </w:tc>
        <w:tc>
          <w:tcPr>
            <w:tcW w:w="1156" w:type="dxa"/>
            <w:vAlign w:val="center"/>
          </w:tcPr>
          <w:p w14:paraId="3CDF4AA5">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407C4881">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提供更新“一账式”系统相关信息的及推送至“一图管”平台实现方法</w:t>
            </w:r>
          </w:p>
        </w:tc>
      </w:tr>
      <w:tr w14:paraId="2EAF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8" w:type="dxa"/>
            <w:vAlign w:val="center"/>
          </w:tcPr>
          <w:p w14:paraId="75134A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42" w:type="dxa"/>
            <w:vAlign w:val="center"/>
          </w:tcPr>
          <w:p w14:paraId="266A69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监控方式</w:t>
            </w:r>
          </w:p>
        </w:tc>
        <w:tc>
          <w:tcPr>
            <w:tcW w:w="4713" w:type="dxa"/>
            <w:vAlign w:val="center"/>
          </w:tcPr>
          <w:p w14:paraId="3FE6DB04">
            <w:pPr>
              <w:widowControl/>
              <w:spacing w:line="400" w:lineRule="exact"/>
              <w:contextualSpacing/>
              <w:textAlignment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人工巡逻、视频监控系统、门禁进出管理系统、动力环境监控系统</w:t>
            </w:r>
          </w:p>
        </w:tc>
        <w:tc>
          <w:tcPr>
            <w:tcW w:w="1156" w:type="dxa"/>
            <w:vAlign w:val="center"/>
          </w:tcPr>
          <w:p w14:paraId="3F655242">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06606C15">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4FF0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Align w:val="center"/>
          </w:tcPr>
          <w:p w14:paraId="256F20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42" w:type="dxa"/>
            <w:vAlign w:val="center"/>
          </w:tcPr>
          <w:p w14:paraId="564F9E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监控时间</w:t>
            </w:r>
          </w:p>
        </w:tc>
        <w:tc>
          <w:tcPr>
            <w:tcW w:w="4713" w:type="dxa"/>
            <w:vAlign w:val="center"/>
          </w:tcPr>
          <w:p w14:paraId="2795FA80">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w:t>
            </w:r>
            <w:r>
              <w:rPr>
                <w:rFonts w:hint="eastAsia" w:ascii="宋体" w:hAnsi="宋体" w:eastAsia="宋体" w:cs="宋体"/>
                <w:sz w:val="21"/>
                <w:szCs w:val="21"/>
                <w:highlight w:val="none"/>
              </w:rPr>
              <w:t>7×24小时不间断的监控服务，人工巡逻每天不少于6次，须保证视频监控系统、动力环境监控系统的24小时正常运行。</w:t>
            </w:r>
          </w:p>
        </w:tc>
        <w:tc>
          <w:tcPr>
            <w:tcW w:w="1156" w:type="dxa"/>
            <w:vAlign w:val="center"/>
          </w:tcPr>
          <w:p w14:paraId="4BD80383">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647AA120">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2C6F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Align w:val="center"/>
          </w:tcPr>
          <w:p w14:paraId="65A6D4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42" w:type="dxa"/>
            <w:vAlign w:val="center"/>
          </w:tcPr>
          <w:p w14:paraId="003619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告警</w:t>
            </w:r>
          </w:p>
        </w:tc>
        <w:tc>
          <w:tcPr>
            <w:tcW w:w="4713" w:type="dxa"/>
            <w:vAlign w:val="center"/>
          </w:tcPr>
          <w:p w14:paraId="4E1FA482">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出现告警后，可通过声光、人工、电话、短信、语音播报、微信推送以及手机APP等方式第一时间通知值班人员和机房管理员。</w:t>
            </w:r>
          </w:p>
        </w:tc>
        <w:tc>
          <w:tcPr>
            <w:tcW w:w="1156" w:type="dxa"/>
            <w:vAlign w:val="center"/>
          </w:tcPr>
          <w:p w14:paraId="1C15597C">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472EB0F9">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7AEF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Align w:val="center"/>
          </w:tcPr>
          <w:p w14:paraId="1C203D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142" w:type="dxa"/>
            <w:vAlign w:val="center"/>
          </w:tcPr>
          <w:p w14:paraId="6A148B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优化和升级服务</w:t>
            </w:r>
          </w:p>
        </w:tc>
        <w:tc>
          <w:tcPr>
            <w:tcW w:w="4713" w:type="dxa"/>
            <w:vAlign w:val="center"/>
          </w:tcPr>
          <w:p w14:paraId="0E7C02B7">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按采购人的要求对</w:t>
            </w:r>
            <w:r>
              <w:rPr>
                <w:rFonts w:hint="eastAsia" w:ascii="宋体" w:hAnsi="宋体" w:eastAsia="宋体" w:cs="宋体"/>
                <w:sz w:val="21"/>
                <w:szCs w:val="21"/>
                <w:highlight w:val="none"/>
              </w:rPr>
              <w:t>视频监控系统、门禁进出管理系统和动力环境监控系统</w:t>
            </w:r>
            <w:r>
              <w:rPr>
                <w:rFonts w:hint="eastAsia" w:ascii="宋体" w:hAnsi="宋体" w:eastAsia="宋体" w:cs="宋体"/>
                <w:kern w:val="0"/>
                <w:sz w:val="21"/>
                <w:szCs w:val="21"/>
                <w:highlight w:val="none"/>
              </w:rPr>
              <w:t>进行升级，升级</w:t>
            </w:r>
            <w:r>
              <w:rPr>
                <w:rFonts w:hint="eastAsia" w:ascii="宋体" w:hAnsi="宋体" w:eastAsia="宋体" w:cs="宋体"/>
                <w:kern w:val="0"/>
                <w:sz w:val="21"/>
                <w:szCs w:val="21"/>
                <w:highlight w:val="none"/>
                <w:lang w:eastAsia="zh-CN"/>
              </w:rPr>
              <w:t>要符合“一图管”数据推送要求，升级</w:t>
            </w:r>
            <w:r>
              <w:rPr>
                <w:rFonts w:hint="eastAsia" w:ascii="宋体" w:hAnsi="宋体" w:eastAsia="宋体" w:cs="宋体"/>
                <w:kern w:val="0"/>
                <w:sz w:val="21"/>
                <w:szCs w:val="21"/>
                <w:highlight w:val="none"/>
              </w:rPr>
              <w:t>前要制定可行的升级实施方案，避免升级导致系统故障和监控中断。</w:t>
            </w:r>
          </w:p>
        </w:tc>
        <w:tc>
          <w:tcPr>
            <w:tcW w:w="1156" w:type="dxa"/>
            <w:vAlign w:val="center"/>
          </w:tcPr>
          <w:p w14:paraId="32320DF9">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05C3357A">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36D6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Align w:val="center"/>
          </w:tcPr>
          <w:p w14:paraId="32423F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142" w:type="dxa"/>
            <w:vAlign w:val="center"/>
          </w:tcPr>
          <w:p w14:paraId="5E668C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故障处理和维修服务</w:t>
            </w:r>
          </w:p>
        </w:tc>
        <w:tc>
          <w:tcPr>
            <w:tcW w:w="4713" w:type="dxa"/>
            <w:vAlign w:val="center"/>
          </w:tcPr>
          <w:p w14:paraId="61C2B7B3">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1、当监控设备发生故障，在规定的时间内进行修复，恢复设备正常运行。</w:t>
            </w:r>
          </w:p>
          <w:p w14:paraId="1614F808">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2、免费更换损坏的所有监控设备部件。</w:t>
            </w:r>
          </w:p>
          <w:p w14:paraId="75BE6163">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3、更换的零配件必须为全新的原厂出品或认可的配件。</w:t>
            </w:r>
          </w:p>
          <w:p w14:paraId="7E5BD511">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每次维修服务后，必须提供故障处理报告（盖中标人公章）。</w:t>
            </w:r>
          </w:p>
        </w:tc>
        <w:tc>
          <w:tcPr>
            <w:tcW w:w="1156" w:type="dxa"/>
            <w:vAlign w:val="center"/>
          </w:tcPr>
          <w:p w14:paraId="509977BD">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3423727A">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bl>
    <w:p w14:paraId="6C2BBDB8">
      <w:pPr>
        <w:widowControl w:val="0"/>
        <w:bidi w:val="0"/>
        <w:ind w:left="0" w:leftChars="0" w:firstLine="0" w:firstLineChars="0"/>
        <w:jc w:val="both"/>
        <w:outlineLvl w:val="3"/>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 xml:space="preserve"> 3.2.7 机房综合服务</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142"/>
        <w:gridCol w:w="4713"/>
        <w:gridCol w:w="1156"/>
        <w:gridCol w:w="1189"/>
      </w:tblGrid>
      <w:tr w14:paraId="4AD3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8" w:type="dxa"/>
            <w:vAlign w:val="center"/>
          </w:tcPr>
          <w:p w14:paraId="7D513E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42" w:type="dxa"/>
            <w:vAlign w:val="center"/>
          </w:tcPr>
          <w:p w14:paraId="3BF127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713" w:type="dxa"/>
            <w:vAlign w:val="center"/>
          </w:tcPr>
          <w:p w14:paraId="13C9F4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156" w:type="dxa"/>
            <w:vAlign w:val="center"/>
          </w:tcPr>
          <w:p w14:paraId="31DB41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529C96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0AB8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8" w:type="dxa"/>
            <w:vAlign w:val="center"/>
          </w:tcPr>
          <w:p w14:paraId="67BC14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42" w:type="dxa"/>
            <w:vAlign w:val="center"/>
          </w:tcPr>
          <w:p w14:paraId="0892EC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移机服务</w:t>
            </w:r>
          </w:p>
        </w:tc>
        <w:tc>
          <w:tcPr>
            <w:tcW w:w="4713" w:type="dxa"/>
            <w:vAlign w:val="center"/>
          </w:tcPr>
          <w:p w14:paraId="704AB540">
            <w:pPr>
              <w:spacing w:line="400" w:lineRule="exact"/>
              <w:contextualSpacing/>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根据采购人需求，提供不限台次的移机服务（不含数据中心间物理搬迁部分，但包含必要的拆解和安装。服务包括但不限于：制定详细的移机计划；移机前的系统和数据备份；移机后的系统和数据恢复；按照采购人要求，配合其它软硬件厂商进行的系统调试和集成。移机服务费用不再另行收取。</w:t>
            </w:r>
          </w:p>
        </w:tc>
        <w:tc>
          <w:tcPr>
            <w:tcW w:w="1156" w:type="dxa"/>
            <w:vAlign w:val="center"/>
          </w:tcPr>
          <w:p w14:paraId="3AC51C0A">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5825014B">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2749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8" w:type="dxa"/>
            <w:vAlign w:val="center"/>
          </w:tcPr>
          <w:p w14:paraId="3F86E1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42" w:type="dxa"/>
            <w:vAlign w:val="center"/>
          </w:tcPr>
          <w:p w14:paraId="47BA7D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线缆、标签保障服务</w:t>
            </w:r>
          </w:p>
        </w:tc>
        <w:tc>
          <w:tcPr>
            <w:tcW w:w="4713" w:type="dxa"/>
            <w:vAlign w:val="center"/>
          </w:tcPr>
          <w:p w14:paraId="59DDD4E4">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按采购人需求提供数据中心网络线缆（含光纤）的布设、技术服务和材料保障；提供数据中心电缆及电源的布设、技术服务和材料保障；提供数据中心设备和线缆的标记、整理等服务。产生的所有费用由中标人承担（含材料费用）。</w:t>
            </w:r>
          </w:p>
        </w:tc>
        <w:tc>
          <w:tcPr>
            <w:tcW w:w="1156" w:type="dxa"/>
            <w:vAlign w:val="center"/>
          </w:tcPr>
          <w:p w14:paraId="738CB548">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31A758AB">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3124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Align w:val="center"/>
          </w:tcPr>
          <w:p w14:paraId="0C346B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42" w:type="dxa"/>
            <w:vAlign w:val="center"/>
          </w:tcPr>
          <w:p w14:paraId="505209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值班室维护和保障</w:t>
            </w:r>
          </w:p>
        </w:tc>
        <w:tc>
          <w:tcPr>
            <w:tcW w:w="4713" w:type="dxa"/>
            <w:vAlign w:val="center"/>
          </w:tcPr>
          <w:p w14:paraId="06FD2129">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提供环保路和友谊路机房值班室的维护和保障服务，包括因开展机房</w:t>
            </w:r>
            <w:r>
              <w:rPr>
                <w:rFonts w:hint="eastAsia" w:ascii="宋体" w:hAnsi="宋体" w:eastAsia="宋体" w:cs="宋体"/>
                <w:kern w:val="2"/>
                <w:sz w:val="21"/>
                <w:szCs w:val="21"/>
                <w:highlight w:val="none"/>
                <w:lang w:val="en-US" w:eastAsia="zh-CN" w:bidi="ar-SA"/>
              </w:rPr>
              <w:t>值班</w:t>
            </w:r>
            <w:r>
              <w:rPr>
                <w:rFonts w:hint="eastAsia" w:ascii="宋体" w:hAnsi="宋体" w:eastAsia="宋体" w:cs="宋体"/>
                <w:sz w:val="21"/>
                <w:szCs w:val="21"/>
                <w:highlight w:val="none"/>
              </w:rPr>
              <w:t>工作而所需的各类物资、维护工具以及该区域内的故障设备修复。</w:t>
            </w:r>
            <w:r>
              <w:rPr>
                <w:rFonts w:hint="eastAsia" w:ascii="宋体" w:hAnsi="宋体" w:eastAsia="宋体" w:cs="宋体"/>
                <w:bCs/>
                <w:sz w:val="21"/>
                <w:szCs w:val="21"/>
                <w:highlight w:val="none"/>
              </w:rPr>
              <w:t>产生的所有费用由中标人承担。</w:t>
            </w:r>
          </w:p>
        </w:tc>
        <w:tc>
          <w:tcPr>
            <w:tcW w:w="1156" w:type="dxa"/>
            <w:vAlign w:val="center"/>
          </w:tcPr>
          <w:p w14:paraId="3E0611A3">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6AAAD4E8">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1632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Align w:val="center"/>
          </w:tcPr>
          <w:p w14:paraId="041426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42" w:type="dxa"/>
            <w:vAlign w:val="center"/>
          </w:tcPr>
          <w:p w14:paraId="1CF32A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系统重装、恢复服务。</w:t>
            </w:r>
          </w:p>
        </w:tc>
        <w:tc>
          <w:tcPr>
            <w:tcW w:w="4713" w:type="dxa"/>
            <w:vAlign w:val="center"/>
          </w:tcPr>
          <w:p w14:paraId="3D44DBBD">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按采购人需求提供机房设备系统重装、恢复服务，并提供设备系统重装、恢复方案，待采购人确认后方可实施。</w:t>
            </w:r>
          </w:p>
        </w:tc>
        <w:tc>
          <w:tcPr>
            <w:tcW w:w="1156" w:type="dxa"/>
            <w:vAlign w:val="center"/>
          </w:tcPr>
          <w:p w14:paraId="617227F6">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29D4250C">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7ED6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Align w:val="center"/>
          </w:tcPr>
          <w:p w14:paraId="41AFA5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142" w:type="dxa"/>
            <w:vAlign w:val="center"/>
          </w:tcPr>
          <w:p w14:paraId="41FC1F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现场支持服务</w:t>
            </w:r>
          </w:p>
        </w:tc>
        <w:tc>
          <w:tcPr>
            <w:tcW w:w="4713" w:type="dxa"/>
            <w:vAlign w:val="center"/>
          </w:tcPr>
          <w:p w14:paraId="0F7886B9">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按采购人需求提供二线（或设备原厂商）专家技术支持、巡检、培训等服务。</w:t>
            </w:r>
          </w:p>
        </w:tc>
        <w:tc>
          <w:tcPr>
            <w:tcW w:w="1156" w:type="dxa"/>
            <w:vAlign w:val="center"/>
          </w:tcPr>
          <w:p w14:paraId="7BED8617">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674FCD77">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39C3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Align w:val="center"/>
          </w:tcPr>
          <w:p w14:paraId="5C6DC9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142" w:type="dxa"/>
            <w:vAlign w:val="center"/>
          </w:tcPr>
          <w:p w14:paraId="1EDE6C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保洁保养服务</w:t>
            </w:r>
          </w:p>
        </w:tc>
        <w:tc>
          <w:tcPr>
            <w:tcW w:w="4713" w:type="dxa"/>
            <w:vAlign w:val="center"/>
          </w:tcPr>
          <w:p w14:paraId="517991D8">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根据采购人的</w:t>
            </w:r>
            <w:r>
              <w:rPr>
                <w:rFonts w:hint="eastAsia" w:ascii="宋体" w:hAnsi="宋体" w:eastAsia="宋体" w:cs="宋体"/>
                <w:kern w:val="2"/>
                <w:sz w:val="21"/>
                <w:szCs w:val="21"/>
                <w:highlight w:val="none"/>
                <w:lang w:val="en-US" w:eastAsia="zh-CN" w:bidi="ar-SA"/>
              </w:rPr>
              <w:t>要求</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每周</w:t>
            </w:r>
            <w:r>
              <w:rPr>
                <w:rFonts w:hint="eastAsia" w:ascii="宋体" w:hAnsi="宋体" w:eastAsia="宋体" w:cs="宋体"/>
                <w:sz w:val="21"/>
                <w:szCs w:val="21"/>
                <w:highlight w:val="none"/>
              </w:rPr>
              <w:t>提供机房设施的保洁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保养等服务。包括</w:t>
            </w:r>
            <w:r>
              <w:rPr>
                <w:rFonts w:hint="eastAsia" w:ascii="宋体" w:hAnsi="宋体" w:eastAsia="宋体" w:cs="宋体"/>
                <w:sz w:val="21"/>
                <w:szCs w:val="21"/>
                <w:highlight w:val="none"/>
                <w:lang w:eastAsia="zh-CN"/>
              </w:rPr>
              <w:t>但不限于</w:t>
            </w:r>
            <w:r>
              <w:rPr>
                <w:rFonts w:hint="eastAsia" w:ascii="宋体" w:hAnsi="宋体" w:eastAsia="宋体" w:cs="宋体"/>
                <w:sz w:val="21"/>
                <w:szCs w:val="21"/>
                <w:highlight w:val="none"/>
              </w:rPr>
              <w:t>地面</w:t>
            </w:r>
            <w:r>
              <w:rPr>
                <w:rFonts w:hint="eastAsia" w:ascii="宋体" w:hAnsi="宋体" w:eastAsia="宋体" w:cs="宋体"/>
                <w:sz w:val="21"/>
                <w:szCs w:val="21"/>
                <w:highlight w:val="none"/>
                <w:lang w:eastAsia="zh-CN"/>
              </w:rPr>
              <w:t>、吊顶</w:t>
            </w:r>
            <w:r>
              <w:rPr>
                <w:rFonts w:hint="eastAsia" w:ascii="宋体" w:hAnsi="宋体" w:eastAsia="宋体" w:cs="宋体"/>
                <w:sz w:val="21"/>
                <w:szCs w:val="21"/>
                <w:highlight w:val="none"/>
              </w:rPr>
              <w:t>的除尘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擦洗</w:t>
            </w:r>
            <w:r>
              <w:rPr>
                <w:rFonts w:hint="eastAsia" w:ascii="宋体" w:hAnsi="宋体" w:eastAsia="宋体" w:cs="宋体"/>
                <w:sz w:val="21"/>
                <w:szCs w:val="21"/>
                <w:highlight w:val="none"/>
                <w:lang w:eastAsia="zh-CN"/>
              </w:rPr>
              <w:t>、更换</w:t>
            </w:r>
            <w:r>
              <w:rPr>
                <w:rFonts w:hint="eastAsia" w:ascii="宋体" w:hAnsi="宋体" w:eastAsia="宋体" w:cs="宋体"/>
                <w:sz w:val="21"/>
                <w:szCs w:val="21"/>
                <w:highlight w:val="none"/>
              </w:rPr>
              <w:t>；门把手、操作面板等日常接触区域的清洁</w:t>
            </w:r>
            <w:r>
              <w:rPr>
                <w:rFonts w:hint="eastAsia" w:ascii="宋体" w:hAnsi="宋体" w:eastAsia="宋体" w:cs="宋体"/>
                <w:sz w:val="21"/>
                <w:szCs w:val="21"/>
                <w:highlight w:val="none"/>
                <w:lang w:eastAsia="zh-CN"/>
              </w:rPr>
              <w:t>、更换</w:t>
            </w:r>
            <w:r>
              <w:rPr>
                <w:rFonts w:hint="eastAsia" w:ascii="宋体" w:hAnsi="宋体" w:eastAsia="宋体" w:cs="宋体"/>
                <w:sz w:val="21"/>
                <w:szCs w:val="21"/>
                <w:highlight w:val="none"/>
              </w:rPr>
              <w:t>；设备进风口、防尘网的除尘等。</w:t>
            </w:r>
          </w:p>
        </w:tc>
        <w:tc>
          <w:tcPr>
            <w:tcW w:w="1156" w:type="dxa"/>
            <w:vAlign w:val="center"/>
          </w:tcPr>
          <w:p w14:paraId="0BDDDD16">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11D59505">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bl>
    <w:p w14:paraId="312D4204">
      <w:pPr>
        <w:widowControl w:val="0"/>
        <w:ind w:firstLine="420" w:firstLineChars="200"/>
        <w:jc w:val="both"/>
        <w:rPr>
          <w:rFonts w:hint="eastAsia" w:ascii="宋体" w:hAnsi="宋体" w:eastAsia="宋体" w:cs="宋体"/>
          <w:kern w:val="2"/>
          <w:sz w:val="21"/>
          <w:szCs w:val="21"/>
          <w:highlight w:val="none"/>
          <w:lang w:val="en-US" w:eastAsia="zh-CN" w:bidi="ar-SA"/>
        </w:rPr>
      </w:pPr>
    </w:p>
    <w:p w14:paraId="5734E7E1">
      <w:pPr>
        <w:widowControl w:val="0"/>
        <w:bidi w:val="0"/>
        <w:ind w:left="0" w:leftChars="0" w:firstLine="0" w:firstLineChars="0"/>
        <w:jc w:val="both"/>
        <w:outlineLvl w:val="3"/>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3.2.8 磁带库技术服务</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122"/>
        <w:gridCol w:w="4713"/>
        <w:gridCol w:w="1156"/>
        <w:gridCol w:w="1189"/>
      </w:tblGrid>
      <w:tr w14:paraId="5E94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8" w:type="dxa"/>
            <w:vAlign w:val="center"/>
          </w:tcPr>
          <w:p w14:paraId="24C45F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22" w:type="dxa"/>
            <w:vAlign w:val="center"/>
          </w:tcPr>
          <w:p w14:paraId="529E2C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713" w:type="dxa"/>
            <w:vAlign w:val="center"/>
          </w:tcPr>
          <w:p w14:paraId="01BBF1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156" w:type="dxa"/>
            <w:vAlign w:val="center"/>
          </w:tcPr>
          <w:p w14:paraId="2C6010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548A21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29BE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8" w:type="dxa"/>
            <w:vAlign w:val="center"/>
          </w:tcPr>
          <w:p w14:paraId="7A2963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22" w:type="dxa"/>
            <w:vAlign w:val="center"/>
          </w:tcPr>
          <w:p w14:paraId="3E6807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配置管理</w:t>
            </w:r>
          </w:p>
        </w:tc>
        <w:tc>
          <w:tcPr>
            <w:tcW w:w="4713" w:type="dxa"/>
            <w:vAlign w:val="center"/>
          </w:tcPr>
          <w:p w14:paraId="01E7D0E5">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w:t>
            </w:r>
            <w:r>
              <w:rPr>
                <w:rFonts w:hint="eastAsia" w:ascii="宋体" w:hAnsi="宋体" w:eastAsia="宋体" w:cs="宋体"/>
                <w:b w:val="0"/>
                <w:w w:val="100"/>
                <w:sz w:val="21"/>
                <w:szCs w:val="21"/>
                <w:highlight w:val="none"/>
                <w:shd w:val="clear" w:color="auto" w:fill="auto"/>
              </w:rPr>
              <w:t>磁带库</w:t>
            </w:r>
            <w:r>
              <w:rPr>
                <w:rFonts w:hint="eastAsia" w:ascii="宋体" w:hAnsi="宋体" w:eastAsia="宋体" w:cs="宋体"/>
                <w:kern w:val="0"/>
                <w:sz w:val="21"/>
                <w:szCs w:val="21"/>
                <w:highlight w:val="none"/>
              </w:rPr>
              <w:t>系统情况进行记录并更新《磁带库基本信息表》。掌握资源配置和使用情况，及时发现资源配置瓶颈，把握变化情况，提供趋势预测及基础数据支持，实现合理部署。</w:t>
            </w:r>
            <w:r>
              <w:rPr>
                <w:rFonts w:hint="eastAsia" w:ascii="宋体" w:hAnsi="宋体" w:eastAsia="宋体" w:cs="宋体"/>
                <w:bCs/>
                <w:kern w:val="0"/>
                <w:sz w:val="21"/>
                <w:szCs w:val="21"/>
                <w:highlight w:val="none"/>
                <w:lang w:eastAsia="zh-CN"/>
              </w:rPr>
              <w:t>配置变更时，同步更新“一账式”系统。</w:t>
            </w:r>
          </w:p>
        </w:tc>
        <w:tc>
          <w:tcPr>
            <w:tcW w:w="1156" w:type="dxa"/>
            <w:vAlign w:val="center"/>
          </w:tcPr>
          <w:p w14:paraId="65EFFCDA">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0203A08D">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提供《磁带库基本信息表》及更新“一账式”系统相关信息的实现方法</w:t>
            </w:r>
          </w:p>
        </w:tc>
      </w:tr>
      <w:tr w14:paraId="475E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8" w:type="dxa"/>
            <w:vAlign w:val="center"/>
          </w:tcPr>
          <w:p w14:paraId="3D851A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22" w:type="dxa"/>
            <w:vAlign w:val="center"/>
          </w:tcPr>
          <w:p w14:paraId="1B2FFF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故障处理和维修服务</w:t>
            </w:r>
          </w:p>
        </w:tc>
        <w:tc>
          <w:tcPr>
            <w:tcW w:w="4713" w:type="dxa"/>
            <w:vAlign w:val="center"/>
          </w:tcPr>
          <w:p w14:paraId="63E0FA3C">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1、当设备发生故障，在规定的时间内进行修复，恢复设备正常运行。</w:t>
            </w:r>
          </w:p>
          <w:p w14:paraId="3F7BC53A">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2、如无法在规定时间修复故障，必须免费提供应急处理服务（包括提供备机），避免影响机房设备的正常运行。</w:t>
            </w:r>
          </w:p>
          <w:p w14:paraId="6CBD7C5A">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3、免费更换损坏的所有设备部件。</w:t>
            </w:r>
          </w:p>
          <w:p w14:paraId="152679B6">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4、更换的零配件必须符合招标文件对备品备件的质量要求。</w:t>
            </w:r>
          </w:p>
          <w:p w14:paraId="26DB1184">
            <w:pPr>
              <w:widowControl w:val="0"/>
              <w:spacing w:line="400" w:lineRule="exact"/>
              <w:ind w:firstLine="0" w:firstLineChars="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5、每次维修服务后，必须提供故障处理报告（盖中标人公章）。</w:t>
            </w:r>
          </w:p>
        </w:tc>
        <w:tc>
          <w:tcPr>
            <w:tcW w:w="1156" w:type="dxa"/>
            <w:vAlign w:val="center"/>
          </w:tcPr>
          <w:p w14:paraId="10B4F2B4">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6CA6C0E6">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07DE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vAlign w:val="center"/>
          </w:tcPr>
          <w:p w14:paraId="045BB4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22" w:type="dxa"/>
            <w:vAlign w:val="center"/>
          </w:tcPr>
          <w:p w14:paraId="4E719B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检查保养服务</w:t>
            </w:r>
          </w:p>
        </w:tc>
        <w:tc>
          <w:tcPr>
            <w:tcW w:w="4713" w:type="dxa"/>
            <w:vAlign w:val="center"/>
          </w:tcPr>
          <w:p w14:paraId="3F791D64">
            <w:pPr>
              <w:widowControl w:val="0"/>
              <w:spacing w:line="400" w:lineRule="exact"/>
              <w:ind w:firstLine="420" w:firstLineChars="20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每月对设备进行检查保养，提供检查报告。</w:t>
            </w:r>
          </w:p>
          <w:p w14:paraId="0F7DB324">
            <w:pPr>
              <w:widowControl w:val="0"/>
              <w:spacing w:line="400" w:lineRule="exact"/>
              <w:ind w:firstLine="420" w:firstLineChars="20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检查保养内容包括：对磁带库的运行状态进行检查；查看设备的运行日志，检查是否有告警和报错；查看设备的物理连接是否正常；对驱动器进行清洁；检查磁带性能，更换过期磁带等。</w:t>
            </w:r>
          </w:p>
        </w:tc>
        <w:tc>
          <w:tcPr>
            <w:tcW w:w="1156" w:type="dxa"/>
            <w:vAlign w:val="center"/>
          </w:tcPr>
          <w:p w14:paraId="24DBF3C1">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628349C9">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45C1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vAlign w:val="center"/>
          </w:tcPr>
          <w:p w14:paraId="541E9B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22" w:type="dxa"/>
            <w:vAlign w:val="center"/>
          </w:tcPr>
          <w:p w14:paraId="7D6323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优化和升级服务</w:t>
            </w:r>
          </w:p>
        </w:tc>
        <w:tc>
          <w:tcPr>
            <w:tcW w:w="4713" w:type="dxa"/>
            <w:vAlign w:val="center"/>
          </w:tcPr>
          <w:p w14:paraId="733A4606">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按采购人的要求对设备的系统和相关软件进行升级，升级前要制定可行的升级实施方案，避免升级导致设备故障和业务中断。</w:t>
            </w:r>
          </w:p>
        </w:tc>
        <w:tc>
          <w:tcPr>
            <w:tcW w:w="1156" w:type="dxa"/>
            <w:vAlign w:val="center"/>
          </w:tcPr>
          <w:p w14:paraId="6E2E0C8E">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1561BB6E">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3DED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vAlign w:val="center"/>
          </w:tcPr>
          <w:p w14:paraId="50C267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122" w:type="dxa"/>
            <w:vAlign w:val="center"/>
          </w:tcPr>
          <w:p w14:paraId="4301B3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应急处理及演练协助</w:t>
            </w:r>
          </w:p>
        </w:tc>
        <w:tc>
          <w:tcPr>
            <w:tcW w:w="4713" w:type="dxa"/>
            <w:vAlign w:val="center"/>
          </w:tcPr>
          <w:p w14:paraId="1F97BD75">
            <w:pPr>
              <w:widowControl/>
              <w:spacing w:line="400" w:lineRule="exact"/>
              <w:contextualSpacing/>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制定磁带库应急处理技术方案，提供应急服务，提供应急演练协助。</w:t>
            </w:r>
          </w:p>
        </w:tc>
        <w:tc>
          <w:tcPr>
            <w:tcW w:w="1156" w:type="dxa"/>
            <w:vAlign w:val="center"/>
          </w:tcPr>
          <w:p w14:paraId="7E3278A0">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230A231E">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285C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vAlign w:val="center"/>
          </w:tcPr>
          <w:p w14:paraId="2F23DD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122" w:type="dxa"/>
            <w:vAlign w:val="center"/>
          </w:tcPr>
          <w:p w14:paraId="4A642A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咨询及培训服务</w:t>
            </w:r>
          </w:p>
        </w:tc>
        <w:tc>
          <w:tcPr>
            <w:tcW w:w="4713" w:type="dxa"/>
            <w:vAlign w:val="center"/>
          </w:tcPr>
          <w:p w14:paraId="4F647DD6">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对设备管理人员提供磁带库和数据备份方面的技术咨询和培训。</w:t>
            </w:r>
          </w:p>
        </w:tc>
        <w:tc>
          <w:tcPr>
            <w:tcW w:w="1156" w:type="dxa"/>
            <w:vAlign w:val="center"/>
          </w:tcPr>
          <w:p w14:paraId="5FB0C220">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76C28A88">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bl>
    <w:p w14:paraId="5B3720C9">
      <w:pPr>
        <w:rPr>
          <w:rFonts w:hint="eastAsia" w:ascii="宋体" w:hAnsi="宋体" w:eastAsia="宋体" w:cs="宋体"/>
          <w:b w:val="0"/>
          <w:sz w:val="21"/>
          <w:szCs w:val="21"/>
          <w:highlight w:val="none"/>
        </w:rPr>
      </w:pPr>
    </w:p>
    <w:p w14:paraId="24E1DB23">
      <w:pPr>
        <w:widowControl w:val="0"/>
        <w:bidi w:val="0"/>
        <w:ind w:left="0" w:leftChars="0" w:firstLine="0" w:firstLineChars="0"/>
        <w:jc w:val="both"/>
        <w:outlineLvl w:val="3"/>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3.2.9 磁盘阵列及存储虚拟化设备技术服务</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152"/>
        <w:gridCol w:w="4713"/>
        <w:gridCol w:w="1156"/>
        <w:gridCol w:w="1189"/>
      </w:tblGrid>
      <w:tr w14:paraId="75C2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68" w:type="dxa"/>
            <w:vAlign w:val="center"/>
          </w:tcPr>
          <w:p w14:paraId="4DA4FE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52" w:type="dxa"/>
            <w:vAlign w:val="center"/>
          </w:tcPr>
          <w:p w14:paraId="18C653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713" w:type="dxa"/>
            <w:vAlign w:val="center"/>
          </w:tcPr>
          <w:p w14:paraId="2C6F37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156" w:type="dxa"/>
            <w:vAlign w:val="center"/>
          </w:tcPr>
          <w:p w14:paraId="5C0B57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5E0249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5605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68" w:type="dxa"/>
            <w:vAlign w:val="center"/>
          </w:tcPr>
          <w:p w14:paraId="533C64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52" w:type="dxa"/>
            <w:vAlign w:val="center"/>
          </w:tcPr>
          <w:p w14:paraId="638337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配置管理</w:t>
            </w:r>
          </w:p>
        </w:tc>
        <w:tc>
          <w:tcPr>
            <w:tcW w:w="4713" w:type="dxa"/>
            <w:vAlign w:val="center"/>
          </w:tcPr>
          <w:p w14:paraId="549D7A9B">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w:t>
            </w:r>
            <w:r>
              <w:rPr>
                <w:rFonts w:hint="eastAsia" w:ascii="宋体" w:hAnsi="宋体" w:eastAsia="宋体" w:cs="宋体"/>
                <w:b w:val="0"/>
                <w:w w:val="100"/>
                <w:sz w:val="21"/>
                <w:szCs w:val="21"/>
                <w:highlight w:val="none"/>
                <w:shd w:val="clear" w:color="auto" w:fill="auto"/>
              </w:rPr>
              <w:t>磁盘阵列</w:t>
            </w:r>
            <w:r>
              <w:rPr>
                <w:rFonts w:hint="eastAsia" w:ascii="宋体" w:hAnsi="宋体" w:eastAsia="宋体" w:cs="宋体"/>
                <w:kern w:val="0"/>
                <w:sz w:val="21"/>
                <w:szCs w:val="21"/>
                <w:highlight w:val="none"/>
              </w:rPr>
              <w:t>系统情况进行记录并更新</w:t>
            </w:r>
            <w:r>
              <w:rPr>
                <w:rFonts w:hint="eastAsia" w:ascii="宋体" w:hAnsi="宋体" w:eastAsia="宋体" w:cs="宋体"/>
                <w:sz w:val="21"/>
                <w:szCs w:val="21"/>
                <w:highlight w:val="none"/>
              </w:rPr>
              <w:t>《磁盘阵列基本信息表》、《NAS设备基本信息表》、《SAN交换机基本信息表》、《存储虚拟化设备基本信息表》</w:t>
            </w:r>
            <w:r>
              <w:rPr>
                <w:rFonts w:hint="eastAsia" w:ascii="宋体" w:hAnsi="宋体" w:eastAsia="宋体" w:cs="宋体"/>
                <w:kern w:val="0"/>
                <w:sz w:val="21"/>
                <w:szCs w:val="21"/>
                <w:highlight w:val="none"/>
              </w:rPr>
              <w:t>。掌握资源配置和使用情况，及时发现资源配置瓶颈，把握变化情况，提供趋势预测及基础数据支持，实现合理部署。</w:t>
            </w:r>
            <w:r>
              <w:rPr>
                <w:rFonts w:hint="eastAsia" w:ascii="宋体" w:hAnsi="宋体" w:eastAsia="宋体" w:cs="宋体"/>
                <w:bCs/>
                <w:kern w:val="0"/>
                <w:sz w:val="21"/>
                <w:szCs w:val="21"/>
                <w:highlight w:val="none"/>
                <w:lang w:eastAsia="zh-CN"/>
              </w:rPr>
              <w:t>配置变更时，同步更新“一账式”系统。</w:t>
            </w:r>
          </w:p>
        </w:tc>
        <w:tc>
          <w:tcPr>
            <w:tcW w:w="1156" w:type="dxa"/>
            <w:vAlign w:val="center"/>
          </w:tcPr>
          <w:p w14:paraId="264974E3">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05441167">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提供《磁盘阵列基本信息表》、《NAS设备基本信息表》、《SAN交换机基本信息表》、《存储虚拟化设备基本信息表》及更新“一账式”系统相关信息的实现方法</w:t>
            </w:r>
          </w:p>
        </w:tc>
      </w:tr>
      <w:tr w14:paraId="7D42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68" w:type="dxa"/>
            <w:vAlign w:val="center"/>
          </w:tcPr>
          <w:p w14:paraId="5FB96E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52" w:type="dxa"/>
            <w:vAlign w:val="center"/>
          </w:tcPr>
          <w:p w14:paraId="40354C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故障处理和维修服务</w:t>
            </w:r>
          </w:p>
        </w:tc>
        <w:tc>
          <w:tcPr>
            <w:tcW w:w="4713" w:type="dxa"/>
            <w:vAlign w:val="center"/>
          </w:tcPr>
          <w:p w14:paraId="1DCDD207">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1、当设备发生故障，在规定的时间内进行修复，恢复设备正常运行。</w:t>
            </w:r>
          </w:p>
          <w:p w14:paraId="478CFC33">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2、如无法在规定时间修复故障，必须免费提供应急处理服务（包括提供备机），避免影响机房设备的正常运行。</w:t>
            </w:r>
          </w:p>
          <w:p w14:paraId="4DFC98DB">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3、免费更换损坏的所有设备部件。</w:t>
            </w:r>
          </w:p>
          <w:p w14:paraId="480402DE">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4、更换的零配件必须符合招标文件对备品备件的质量要求。</w:t>
            </w:r>
          </w:p>
          <w:p w14:paraId="1E43D6E7">
            <w:pPr>
              <w:widowControl w:val="0"/>
              <w:spacing w:line="400" w:lineRule="exact"/>
              <w:ind w:firstLine="0" w:firstLineChars="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5、每次维修服务后，必须提供故障处理报告（盖中标人公章）。</w:t>
            </w:r>
          </w:p>
        </w:tc>
        <w:tc>
          <w:tcPr>
            <w:tcW w:w="1156" w:type="dxa"/>
            <w:vAlign w:val="center"/>
          </w:tcPr>
          <w:p w14:paraId="53FB156C">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1890FAD1">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0A23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Align w:val="center"/>
          </w:tcPr>
          <w:p w14:paraId="1AFA7C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52" w:type="dxa"/>
            <w:vAlign w:val="center"/>
          </w:tcPr>
          <w:p w14:paraId="5B52D6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检查保养服务</w:t>
            </w:r>
          </w:p>
        </w:tc>
        <w:tc>
          <w:tcPr>
            <w:tcW w:w="4713" w:type="dxa"/>
            <w:vAlign w:val="center"/>
          </w:tcPr>
          <w:p w14:paraId="73CC79B1">
            <w:pPr>
              <w:widowControl w:val="0"/>
              <w:spacing w:line="400" w:lineRule="exact"/>
              <w:ind w:firstLine="420" w:firstLineChars="20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每月对设备进行检查保养，提供检查报告。</w:t>
            </w:r>
          </w:p>
          <w:p w14:paraId="0655B375">
            <w:pPr>
              <w:widowControl w:val="0"/>
              <w:spacing w:line="400" w:lineRule="exact"/>
              <w:ind w:firstLine="420" w:firstLineChars="20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保养内容包括：检查设备的硬件状态，通过人工或工具收集硬件信息，看是否有报警；检查硬盘域状态、硬盘域热备策略、硬盘数量、热备盘数量；检查存储池状态、RAID配置、LUN状态；检查主机多路径状态、前端链路配置是否正确；对设备的容量使用情况进行分析和评估；检查存储虚拟卷、一致性组、链路状态等信息；对设备整体和其关键环节如前端端口、后端端口、lun组的各项性能指标进行分析和评估等。</w:t>
            </w:r>
          </w:p>
        </w:tc>
        <w:tc>
          <w:tcPr>
            <w:tcW w:w="1156" w:type="dxa"/>
            <w:vAlign w:val="center"/>
          </w:tcPr>
          <w:p w14:paraId="352F3A4C">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77B51096">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29B5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Align w:val="center"/>
          </w:tcPr>
          <w:p w14:paraId="6FDF6E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52" w:type="dxa"/>
            <w:vAlign w:val="center"/>
          </w:tcPr>
          <w:p w14:paraId="45E103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优化和升级服务</w:t>
            </w:r>
          </w:p>
        </w:tc>
        <w:tc>
          <w:tcPr>
            <w:tcW w:w="4713" w:type="dxa"/>
            <w:vAlign w:val="center"/>
          </w:tcPr>
          <w:p w14:paraId="46272412">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按采购人的要求对设备的系统和相关软件进行升级，升级前要制定可行的升级实施方案，避免升级导致设备故障和业务中断。</w:t>
            </w:r>
          </w:p>
        </w:tc>
        <w:tc>
          <w:tcPr>
            <w:tcW w:w="1156" w:type="dxa"/>
            <w:vAlign w:val="center"/>
          </w:tcPr>
          <w:p w14:paraId="29F316A7">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64C81178">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765A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Align w:val="center"/>
          </w:tcPr>
          <w:p w14:paraId="26D6A8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152" w:type="dxa"/>
            <w:vAlign w:val="center"/>
          </w:tcPr>
          <w:p w14:paraId="4DC32F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应急处理及演练协助</w:t>
            </w:r>
          </w:p>
        </w:tc>
        <w:tc>
          <w:tcPr>
            <w:tcW w:w="4713" w:type="dxa"/>
            <w:vAlign w:val="center"/>
          </w:tcPr>
          <w:p w14:paraId="77DD1069">
            <w:pPr>
              <w:widowControl/>
              <w:spacing w:line="400" w:lineRule="exact"/>
              <w:contextualSpacing/>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制定磁盘阵列应急处理技术方案，提供应急服务，提供应急演练协助。</w:t>
            </w:r>
          </w:p>
        </w:tc>
        <w:tc>
          <w:tcPr>
            <w:tcW w:w="1156" w:type="dxa"/>
            <w:vAlign w:val="center"/>
          </w:tcPr>
          <w:p w14:paraId="1601F6C4">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60087E7E">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6FCD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Align w:val="center"/>
          </w:tcPr>
          <w:p w14:paraId="6266AD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152" w:type="dxa"/>
            <w:vAlign w:val="center"/>
          </w:tcPr>
          <w:p w14:paraId="1E488D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咨询及培训服务</w:t>
            </w:r>
          </w:p>
        </w:tc>
        <w:tc>
          <w:tcPr>
            <w:tcW w:w="4713" w:type="dxa"/>
            <w:vAlign w:val="center"/>
          </w:tcPr>
          <w:p w14:paraId="3EE2F05B">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对设备管理人员提供磁盘阵列维护技术咨询和培训服务。</w:t>
            </w:r>
          </w:p>
        </w:tc>
        <w:tc>
          <w:tcPr>
            <w:tcW w:w="1156" w:type="dxa"/>
            <w:vAlign w:val="center"/>
          </w:tcPr>
          <w:p w14:paraId="5DFA4399">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5754D948">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bl>
    <w:p w14:paraId="3E405187">
      <w:pPr>
        <w:widowControl w:val="0"/>
        <w:bidi w:val="0"/>
        <w:ind w:left="0" w:leftChars="0" w:firstLine="0" w:firstLineChars="0"/>
        <w:jc w:val="both"/>
        <w:outlineLvl w:val="3"/>
        <w:rPr>
          <w:rFonts w:hint="eastAsia" w:ascii="宋体" w:hAnsi="宋体" w:eastAsia="宋体" w:cs="宋体"/>
          <w:b w:val="0"/>
          <w:bCs/>
          <w:kern w:val="2"/>
          <w:sz w:val="21"/>
          <w:szCs w:val="21"/>
          <w:highlight w:val="none"/>
          <w:lang w:val="en-US" w:eastAsia="zh-CN" w:bidi="ar-SA"/>
        </w:rPr>
      </w:pPr>
    </w:p>
    <w:p w14:paraId="783A2037">
      <w:pPr>
        <w:widowControl w:val="0"/>
        <w:bidi w:val="0"/>
        <w:ind w:left="0" w:leftChars="0" w:firstLine="0" w:firstLineChars="0"/>
        <w:jc w:val="both"/>
        <w:outlineLvl w:val="3"/>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3.2.10 主机设备（服务器、小型机）技术服务</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142"/>
        <w:gridCol w:w="4713"/>
        <w:gridCol w:w="1156"/>
        <w:gridCol w:w="1189"/>
      </w:tblGrid>
      <w:tr w14:paraId="3077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8" w:type="dxa"/>
            <w:vAlign w:val="center"/>
          </w:tcPr>
          <w:p w14:paraId="4BDF88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42" w:type="dxa"/>
            <w:vAlign w:val="center"/>
          </w:tcPr>
          <w:p w14:paraId="637FF5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713" w:type="dxa"/>
            <w:vAlign w:val="center"/>
          </w:tcPr>
          <w:p w14:paraId="3347C2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156" w:type="dxa"/>
            <w:vAlign w:val="center"/>
          </w:tcPr>
          <w:p w14:paraId="7D3D9F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099775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1961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8" w:type="dxa"/>
            <w:vAlign w:val="center"/>
          </w:tcPr>
          <w:p w14:paraId="6740B1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42" w:type="dxa"/>
            <w:vAlign w:val="center"/>
          </w:tcPr>
          <w:p w14:paraId="5D26A8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配置管理</w:t>
            </w:r>
          </w:p>
        </w:tc>
        <w:tc>
          <w:tcPr>
            <w:tcW w:w="4713" w:type="dxa"/>
            <w:vAlign w:val="center"/>
          </w:tcPr>
          <w:p w14:paraId="1055B29B">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w:t>
            </w:r>
            <w:r>
              <w:rPr>
                <w:rFonts w:hint="eastAsia" w:ascii="宋体" w:hAnsi="宋体" w:eastAsia="宋体" w:cs="宋体"/>
                <w:b w:val="0"/>
                <w:w w:val="100"/>
                <w:sz w:val="21"/>
                <w:szCs w:val="21"/>
                <w:highlight w:val="none"/>
                <w:shd w:val="clear" w:color="auto" w:fill="auto"/>
              </w:rPr>
              <w:t>磁盘阵列</w:t>
            </w:r>
            <w:r>
              <w:rPr>
                <w:rFonts w:hint="eastAsia" w:ascii="宋体" w:hAnsi="宋体" w:eastAsia="宋体" w:cs="宋体"/>
                <w:kern w:val="0"/>
                <w:sz w:val="21"/>
                <w:szCs w:val="21"/>
                <w:highlight w:val="none"/>
              </w:rPr>
              <w:t>系统情况进行记录并更新《小型机设备基本信息表》《小型机分区信息表》《小型机分区操作系统用户信息表》《小型机资源使用情况表》《小型机备份信息表》《服务器基本信息表》《虚拟机配置信息表》《操作系统用户信息表》《虚拟化资源池配置信息表》。掌握资源配置和使用情况，及时发现资源配置瓶颈，把握变化情况，提供趋势预测及基础数据支持，实现合理部署。</w:t>
            </w:r>
            <w:r>
              <w:rPr>
                <w:rFonts w:hint="eastAsia" w:ascii="宋体" w:hAnsi="宋体" w:eastAsia="宋体" w:cs="宋体"/>
                <w:bCs/>
                <w:kern w:val="0"/>
                <w:sz w:val="21"/>
                <w:szCs w:val="21"/>
                <w:highlight w:val="none"/>
                <w:lang w:eastAsia="zh-CN"/>
              </w:rPr>
              <w:t>配置变更时，同步更新“一账式”系统。</w:t>
            </w:r>
          </w:p>
        </w:tc>
        <w:tc>
          <w:tcPr>
            <w:tcW w:w="1156" w:type="dxa"/>
            <w:vAlign w:val="center"/>
          </w:tcPr>
          <w:p w14:paraId="53F99A2F">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173082EE">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提供本项指标内容要求的9张信息表及更新“一账式”系统相关信息的实现方法</w:t>
            </w:r>
          </w:p>
        </w:tc>
      </w:tr>
      <w:tr w14:paraId="5D75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8" w:type="dxa"/>
            <w:vAlign w:val="center"/>
          </w:tcPr>
          <w:p w14:paraId="3CBDDF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42" w:type="dxa"/>
            <w:vAlign w:val="center"/>
          </w:tcPr>
          <w:p w14:paraId="1C2A8B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故障处理和维修服务</w:t>
            </w:r>
          </w:p>
        </w:tc>
        <w:tc>
          <w:tcPr>
            <w:tcW w:w="4713" w:type="dxa"/>
            <w:vAlign w:val="center"/>
          </w:tcPr>
          <w:p w14:paraId="66450DA9">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1、当设备发生故障，在规定的时间内进行修复，恢复设备正常运行。</w:t>
            </w:r>
          </w:p>
          <w:p w14:paraId="408FB840">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2、如无法在规定时间修复故障，必须免费提供应急处理服务（包括提供备机），避免影响机房设备的正常运行。</w:t>
            </w:r>
          </w:p>
          <w:p w14:paraId="10C53447">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3、免费更换损坏的所有设备部件。</w:t>
            </w:r>
          </w:p>
          <w:p w14:paraId="49F74C10">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4、更换的零配件必须符合招标文件对备品备件的质量要求。</w:t>
            </w:r>
          </w:p>
          <w:p w14:paraId="0D4FE19B">
            <w:pPr>
              <w:widowControl w:val="0"/>
              <w:spacing w:line="400" w:lineRule="exact"/>
              <w:ind w:firstLine="0" w:firstLineChars="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5、每次维修服务后，必须提供故障处理报告（盖中标人公章）。</w:t>
            </w:r>
          </w:p>
        </w:tc>
        <w:tc>
          <w:tcPr>
            <w:tcW w:w="1156" w:type="dxa"/>
            <w:vAlign w:val="center"/>
          </w:tcPr>
          <w:p w14:paraId="0F3D62C0">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67225D5B">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390B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Align w:val="center"/>
          </w:tcPr>
          <w:p w14:paraId="3D14A8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42" w:type="dxa"/>
            <w:vAlign w:val="center"/>
          </w:tcPr>
          <w:p w14:paraId="1B6FF3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检查保养服务</w:t>
            </w:r>
          </w:p>
        </w:tc>
        <w:tc>
          <w:tcPr>
            <w:tcW w:w="4713" w:type="dxa"/>
            <w:vAlign w:val="center"/>
          </w:tcPr>
          <w:p w14:paraId="43CB135A">
            <w:pPr>
              <w:widowControl w:val="0"/>
              <w:spacing w:line="400" w:lineRule="exact"/>
              <w:ind w:firstLine="420" w:firstLineChars="20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每月对设备进行检查保养，提供检查报告。</w:t>
            </w:r>
          </w:p>
          <w:p w14:paraId="12E40F68">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检查保养内容包括：检查主机软硬件配置和运行情况、系统日志和错误日志，并对日志等信息进行分析、查找现存和潜在软硬件风险并进行处理；对主机的CPU和内存等关键性能指标进行分析，重点分析CPU和内存的峰值、峰值出现的时间点以及峰值出现的频度，进而判断其性能是否存在瓶颈；对数据库服务器和小型机操作系统进行备份；对小型机配套的磁带机、光驱进行读写测试和清洗服务；清理主机系统日志信息、系统异常转储文件、用户邮件信息等。</w:t>
            </w:r>
          </w:p>
        </w:tc>
        <w:tc>
          <w:tcPr>
            <w:tcW w:w="1156" w:type="dxa"/>
            <w:vAlign w:val="center"/>
          </w:tcPr>
          <w:p w14:paraId="0535B5B1">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06F37C72">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50C5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Align w:val="center"/>
          </w:tcPr>
          <w:p w14:paraId="6D6C3E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42" w:type="dxa"/>
            <w:vAlign w:val="center"/>
          </w:tcPr>
          <w:p w14:paraId="726F48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虚拟化服务</w:t>
            </w:r>
          </w:p>
        </w:tc>
        <w:tc>
          <w:tcPr>
            <w:tcW w:w="4713" w:type="dxa"/>
            <w:vAlign w:val="center"/>
          </w:tcPr>
          <w:p w14:paraId="27DFD01F">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提供服务器虚拟化</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昆仑小型机、</w:t>
            </w:r>
            <w:r>
              <w:rPr>
                <w:rFonts w:hint="eastAsia" w:ascii="宋体" w:hAnsi="宋体" w:eastAsia="宋体" w:cs="宋体"/>
                <w:kern w:val="0"/>
                <w:sz w:val="21"/>
                <w:szCs w:val="21"/>
                <w:highlight w:val="none"/>
              </w:rPr>
              <w:t>IBM小型机虚拟化服务。通过采购人的服务器虚拟化软件对服务器进行虚拟化；通过虚拟化技术在P780主机上在线新建、删除、动态迁移虚拟化分区,新建分区使用SEA、Vscsi、NPIV虚拟化技术实现全面虚拟化，能满足分区动态迁移要求。</w:t>
            </w:r>
          </w:p>
        </w:tc>
        <w:tc>
          <w:tcPr>
            <w:tcW w:w="1156" w:type="dxa"/>
            <w:vAlign w:val="center"/>
          </w:tcPr>
          <w:p w14:paraId="3E8FD4D5">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080FB835">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0B2E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Align w:val="center"/>
          </w:tcPr>
          <w:p w14:paraId="63F7BB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142" w:type="dxa"/>
            <w:vAlign w:val="center"/>
          </w:tcPr>
          <w:p w14:paraId="1DDB32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优化和升级服务</w:t>
            </w:r>
          </w:p>
        </w:tc>
        <w:tc>
          <w:tcPr>
            <w:tcW w:w="4713" w:type="dxa"/>
            <w:vAlign w:val="center"/>
          </w:tcPr>
          <w:p w14:paraId="57DFCBFD">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按采购人的要求对设备的系统和相关软件进行升级，升级前要制定可行的升级实施方案，避免升级导致设备故障和业务中断。</w:t>
            </w:r>
          </w:p>
        </w:tc>
        <w:tc>
          <w:tcPr>
            <w:tcW w:w="1156" w:type="dxa"/>
            <w:vAlign w:val="center"/>
          </w:tcPr>
          <w:p w14:paraId="64A81034">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46E75248">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266D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Align w:val="center"/>
          </w:tcPr>
          <w:p w14:paraId="3D50B1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142" w:type="dxa"/>
            <w:vAlign w:val="center"/>
          </w:tcPr>
          <w:p w14:paraId="38F435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应急处理及演练协助</w:t>
            </w:r>
          </w:p>
        </w:tc>
        <w:tc>
          <w:tcPr>
            <w:tcW w:w="4713" w:type="dxa"/>
            <w:vAlign w:val="center"/>
          </w:tcPr>
          <w:p w14:paraId="418E030C">
            <w:pPr>
              <w:widowControl/>
              <w:spacing w:line="400" w:lineRule="exact"/>
              <w:contextualSpacing/>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制定主机应急处理技术方案，提供应急服务，提供应急演练协助。</w:t>
            </w:r>
          </w:p>
        </w:tc>
        <w:tc>
          <w:tcPr>
            <w:tcW w:w="1156" w:type="dxa"/>
            <w:vAlign w:val="center"/>
          </w:tcPr>
          <w:p w14:paraId="3F55F654">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1C91C503">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2356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Align w:val="center"/>
          </w:tcPr>
          <w:p w14:paraId="352232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142" w:type="dxa"/>
            <w:vAlign w:val="center"/>
          </w:tcPr>
          <w:p w14:paraId="4392C7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咨询及培训服务</w:t>
            </w:r>
          </w:p>
        </w:tc>
        <w:tc>
          <w:tcPr>
            <w:tcW w:w="4713" w:type="dxa"/>
            <w:vAlign w:val="center"/>
          </w:tcPr>
          <w:p w14:paraId="3B741202">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对设备管理人员提供主机维护技术咨询和培训服务。</w:t>
            </w:r>
          </w:p>
        </w:tc>
        <w:tc>
          <w:tcPr>
            <w:tcW w:w="1156" w:type="dxa"/>
            <w:vAlign w:val="center"/>
          </w:tcPr>
          <w:p w14:paraId="3B411E82">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49C75FC0">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bl>
    <w:p w14:paraId="3CC9E677">
      <w:pPr>
        <w:widowControl w:val="0"/>
        <w:bidi w:val="0"/>
        <w:ind w:left="0" w:leftChars="0" w:firstLine="0" w:firstLineChars="0"/>
        <w:jc w:val="both"/>
        <w:outlineLvl w:val="3"/>
        <w:rPr>
          <w:rFonts w:hint="eastAsia" w:ascii="宋体" w:hAnsi="宋体" w:eastAsia="宋体" w:cs="宋体"/>
          <w:b w:val="0"/>
          <w:bCs/>
          <w:kern w:val="2"/>
          <w:sz w:val="21"/>
          <w:szCs w:val="21"/>
          <w:highlight w:val="none"/>
          <w:lang w:val="en-US" w:eastAsia="zh-CN" w:bidi="ar-SA"/>
        </w:rPr>
      </w:pPr>
    </w:p>
    <w:p w14:paraId="2A7DA7F4">
      <w:pPr>
        <w:widowControl w:val="0"/>
        <w:bidi w:val="0"/>
        <w:ind w:left="0" w:leftChars="0" w:firstLine="0" w:firstLineChars="0"/>
        <w:jc w:val="both"/>
        <w:outlineLvl w:val="3"/>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3.2.11 光纤交换机技术服务</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182"/>
        <w:gridCol w:w="4713"/>
        <w:gridCol w:w="1156"/>
        <w:gridCol w:w="1189"/>
      </w:tblGrid>
      <w:tr w14:paraId="37EF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8" w:type="dxa"/>
            <w:vAlign w:val="center"/>
          </w:tcPr>
          <w:p w14:paraId="03A8F3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82" w:type="dxa"/>
            <w:vAlign w:val="center"/>
          </w:tcPr>
          <w:p w14:paraId="1449BE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713" w:type="dxa"/>
            <w:vAlign w:val="center"/>
          </w:tcPr>
          <w:p w14:paraId="2B5DCE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156" w:type="dxa"/>
            <w:vAlign w:val="center"/>
          </w:tcPr>
          <w:p w14:paraId="41AB60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5F6F80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4787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8" w:type="dxa"/>
            <w:vAlign w:val="center"/>
          </w:tcPr>
          <w:p w14:paraId="668346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82" w:type="dxa"/>
            <w:vAlign w:val="center"/>
          </w:tcPr>
          <w:p w14:paraId="1CE10D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配置管理</w:t>
            </w:r>
          </w:p>
        </w:tc>
        <w:tc>
          <w:tcPr>
            <w:tcW w:w="4713" w:type="dxa"/>
            <w:vAlign w:val="center"/>
          </w:tcPr>
          <w:p w14:paraId="24455031">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对光纤交换机系统情况进行记录并更新《SAN交换机基本信息表》。掌握资源配置和使用情况，及时发现资源配置瓶颈，把握变化情况，提供趋势预测及基础数据支持，实现合理部署。</w:t>
            </w:r>
            <w:r>
              <w:rPr>
                <w:rFonts w:hint="eastAsia" w:ascii="宋体" w:hAnsi="宋体" w:eastAsia="宋体" w:cs="宋体"/>
                <w:kern w:val="0"/>
                <w:sz w:val="21"/>
                <w:szCs w:val="21"/>
                <w:highlight w:val="none"/>
                <w:lang w:eastAsia="zh-CN"/>
              </w:rPr>
              <w:t>配置变更时，同步更新“一账式”系统。</w:t>
            </w:r>
          </w:p>
        </w:tc>
        <w:tc>
          <w:tcPr>
            <w:tcW w:w="1156" w:type="dxa"/>
            <w:vAlign w:val="center"/>
          </w:tcPr>
          <w:p w14:paraId="78FAC2CA">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6CDA3A31">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提供《SAN交换机基本信息表》及更新“一账式”系统相关信息的实现方法</w:t>
            </w:r>
          </w:p>
        </w:tc>
      </w:tr>
      <w:tr w14:paraId="7F9B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8" w:type="dxa"/>
            <w:vAlign w:val="center"/>
          </w:tcPr>
          <w:p w14:paraId="387FB9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82" w:type="dxa"/>
            <w:vAlign w:val="center"/>
          </w:tcPr>
          <w:p w14:paraId="6FF9D5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故障处理和维修服务</w:t>
            </w:r>
          </w:p>
        </w:tc>
        <w:tc>
          <w:tcPr>
            <w:tcW w:w="4713" w:type="dxa"/>
            <w:vAlign w:val="center"/>
          </w:tcPr>
          <w:p w14:paraId="1B84F8E1">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1、当设备发生故障，在规定的时间内进行修复，恢复设备正常运行。</w:t>
            </w:r>
          </w:p>
          <w:p w14:paraId="7CD17C67">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2、如无法在规定时间修复故障，必须免费提供应急处理服务（包括提供备机），避免影响机房设备的正常运行。</w:t>
            </w:r>
          </w:p>
          <w:p w14:paraId="2E166ACE">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3、免费更换损坏的所有设备部件（含光模块）。</w:t>
            </w:r>
          </w:p>
          <w:p w14:paraId="532E3107">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4、更换的零配件必须符合招标文件对备品备件的质量要求。</w:t>
            </w:r>
          </w:p>
          <w:p w14:paraId="18CEC8A5">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5、每次维修服务后，必须提供故障处理报告（盖中标人公章）。</w:t>
            </w:r>
          </w:p>
        </w:tc>
        <w:tc>
          <w:tcPr>
            <w:tcW w:w="1156" w:type="dxa"/>
            <w:vAlign w:val="center"/>
          </w:tcPr>
          <w:p w14:paraId="07A70256">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3D4223A0">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580C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14:paraId="066867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82" w:type="dxa"/>
            <w:vAlign w:val="center"/>
          </w:tcPr>
          <w:p w14:paraId="6CE214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检查保养服务</w:t>
            </w:r>
          </w:p>
        </w:tc>
        <w:tc>
          <w:tcPr>
            <w:tcW w:w="4713" w:type="dxa"/>
            <w:vAlign w:val="center"/>
          </w:tcPr>
          <w:p w14:paraId="5206461A">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每月对设备进行检查保养，提供检查报告。</w:t>
            </w:r>
          </w:p>
          <w:p w14:paraId="56567761">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检查保养内容包括：对设备的运行状态进行检查；查看设备的运行日志，检查是否有告警和报错；查看设备的物理连接是否正常。</w:t>
            </w:r>
          </w:p>
        </w:tc>
        <w:tc>
          <w:tcPr>
            <w:tcW w:w="1156" w:type="dxa"/>
            <w:vAlign w:val="center"/>
          </w:tcPr>
          <w:p w14:paraId="6E2B59A9">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4DA2C2AA">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6003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14:paraId="435912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82" w:type="dxa"/>
            <w:vAlign w:val="center"/>
          </w:tcPr>
          <w:p w14:paraId="1AE58D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优化和升级服务</w:t>
            </w:r>
          </w:p>
        </w:tc>
        <w:tc>
          <w:tcPr>
            <w:tcW w:w="4713" w:type="dxa"/>
            <w:vAlign w:val="center"/>
          </w:tcPr>
          <w:p w14:paraId="72CD6DF4">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按采购人的要求对设备的系统和相关软件进行升级，升级前要制定可行的升级实施方案，避免升级导致设备故障和业务中断。</w:t>
            </w:r>
          </w:p>
        </w:tc>
        <w:tc>
          <w:tcPr>
            <w:tcW w:w="1156" w:type="dxa"/>
            <w:vAlign w:val="center"/>
          </w:tcPr>
          <w:p w14:paraId="22023A72">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2827A9F6">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3339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14:paraId="071826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182" w:type="dxa"/>
            <w:vAlign w:val="center"/>
          </w:tcPr>
          <w:p w14:paraId="51799B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应急处理及演练协助</w:t>
            </w:r>
          </w:p>
        </w:tc>
        <w:tc>
          <w:tcPr>
            <w:tcW w:w="4713" w:type="dxa"/>
            <w:vAlign w:val="center"/>
          </w:tcPr>
          <w:p w14:paraId="4ECF4312">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制定光纤交换机应急处理技术方案，提供应急服务，提供应急演练协助。</w:t>
            </w:r>
          </w:p>
        </w:tc>
        <w:tc>
          <w:tcPr>
            <w:tcW w:w="1156" w:type="dxa"/>
            <w:vAlign w:val="center"/>
          </w:tcPr>
          <w:p w14:paraId="68D5649B">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66EA513A">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7891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vAlign w:val="center"/>
          </w:tcPr>
          <w:p w14:paraId="05A937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182" w:type="dxa"/>
            <w:vAlign w:val="center"/>
          </w:tcPr>
          <w:p w14:paraId="15A841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咨询及培训服务</w:t>
            </w:r>
          </w:p>
        </w:tc>
        <w:tc>
          <w:tcPr>
            <w:tcW w:w="4713" w:type="dxa"/>
            <w:vAlign w:val="center"/>
          </w:tcPr>
          <w:p w14:paraId="79E4B58C">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对设备管理人员提供光纤交换机的技术咨询和培训。</w:t>
            </w:r>
          </w:p>
        </w:tc>
        <w:tc>
          <w:tcPr>
            <w:tcW w:w="1156" w:type="dxa"/>
            <w:vAlign w:val="center"/>
          </w:tcPr>
          <w:p w14:paraId="49316A33">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14056968">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bl>
    <w:p w14:paraId="3F7297C3">
      <w:pPr>
        <w:widowControl w:val="0"/>
        <w:bidi w:val="0"/>
        <w:ind w:left="0" w:leftChars="0" w:firstLine="0" w:firstLineChars="0"/>
        <w:jc w:val="both"/>
        <w:outlineLvl w:val="3"/>
        <w:rPr>
          <w:rFonts w:hint="eastAsia" w:ascii="宋体" w:hAnsi="宋体" w:eastAsia="宋体" w:cs="宋体"/>
          <w:b w:val="0"/>
          <w:bCs/>
          <w:kern w:val="2"/>
          <w:sz w:val="21"/>
          <w:szCs w:val="21"/>
          <w:highlight w:val="none"/>
          <w:lang w:val="en-US" w:eastAsia="zh-CN" w:bidi="ar-SA"/>
        </w:rPr>
      </w:pPr>
    </w:p>
    <w:p w14:paraId="284BAFE4">
      <w:pPr>
        <w:widowControl w:val="0"/>
        <w:bidi w:val="0"/>
        <w:ind w:left="0" w:leftChars="0" w:firstLine="0" w:firstLineChars="0"/>
        <w:jc w:val="both"/>
        <w:outlineLvl w:val="3"/>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3.2.12 负载均衡设备技术服务</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132"/>
        <w:gridCol w:w="4713"/>
        <w:gridCol w:w="1156"/>
        <w:gridCol w:w="1189"/>
      </w:tblGrid>
      <w:tr w14:paraId="3C23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8" w:type="dxa"/>
            <w:vAlign w:val="center"/>
          </w:tcPr>
          <w:p w14:paraId="7AFBE9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32" w:type="dxa"/>
            <w:vAlign w:val="center"/>
          </w:tcPr>
          <w:p w14:paraId="0ECB43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713" w:type="dxa"/>
            <w:vAlign w:val="center"/>
          </w:tcPr>
          <w:p w14:paraId="24E98C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156" w:type="dxa"/>
            <w:vAlign w:val="center"/>
          </w:tcPr>
          <w:p w14:paraId="451EA2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1C0BF2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71C7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8" w:type="dxa"/>
            <w:vAlign w:val="center"/>
          </w:tcPr>
          <w:p w14:paraId="36B536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32" w:type="dxa"/>
            <w:vAlign w:val="center"/>
          </w:tcPr>
          <w:p w14:paraId="75C35A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故障处理和维修服务</w:t>
            </w:r>
          </w:p>
        </w:tc>
        <w:tc>
          <w:tcPr>
            <w:tcW w:w="4713" w:type="dxa"/>
            <w:vAlign w:val="center"/>
          </w:tcPr>
          <w:p w14:paraId="730AC242">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1、当设备发生故障，在规定的时间内进行修复，恢复设备正常运行。</w:t>
            </w:r>
          </w:p>
          <w:p w14:paraId="6D4E16ED">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2、如无法在规定时间修复故障，必须免费提供应急处理服务（包括提供备机），避免影响机房设备的正常运行。</w:t>
            </w:r>
          </w:p>
          <w:p w14:paraId="2D48D960">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3、免费更换损坏的所有设备部件。</w:t>
            </w:r>
          </w:p>
          <w:p w14:paraId="2E6B3F9F">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4、更换的零配件必须符合招标文件对备品备件的质量要求。</w:t>
            </w:r>
          </w:p>
          <w:p w14:paraId="3A663D3F">
            <w:pPr>
              <w:widowControl w:val="0"/>
              <w:spacing w:line="400" w:lineRule="exact"/>
              <w:ind w:firstLine="0" w:firstLineChars="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5、每次维修服务后，必须提供故障处理报告（盖中标人公章）。</w:t>
            </w:r>
          </w:p>
        </w:tc>
        <w:tc>
          <w:tcPr>
            <w:tcW w:w="1156" w:type="dxa"/>
            <w:vAlign w:val="center"/>
          </w:tcPr>
          <w:p w14:paraId="241528A5">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2724255D">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22CD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8" w:type="dxa"/>
            <w:vAlign w:val="center"/>
          </w:tcPr>
          <w:p w14:paraId="7BDD2F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32" w:type="dxa"/>
            <w:vAlign w:val="center"/>
          </w:tcPr>
          <w:p w14:paraId="629C3E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检查保养服务</w:t>
            </w:r>
          </w:p>
        </w:tc>
        <w:tc>
          <w:tcPr>
            <w:tcW w:w="4713" w:type="dxa"/>
            <w:vAlign w:val="center"/>
          </w:tcPr>
          <w:p w14:paraId="0CC3C80B">
            <w:pPr>
              <w:widowControl w:val="0"/>
              <w:spacing w:line="400" w:lineRule="exact"/>
              <w:ind w:left="0" w:leftChars="0"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每月对设备进行检查保养，提供检查报告。</w:t>
            </w:r>
          </w:p>
          <w:p w14:paraId="1FDF52F2">
            <w:pPr>
              <w:widowControl w:val="0"/>
              <w:spacing w:line="400" w:lineRule="exact"/>
              <w:ind w:left="0" w:leftChars="0" w:firstLine="0" w:firstLineChars="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检查保养内容包括：对设备的运行状态进行检查；查看设备的运行日志，检查是否有告警和报错；查看设备的物理连接是否正常。</w:t>
            </w:r>
          </w:p>
        </w:tc>
        <w:tc>
          <w:tcPr>
            <w:tcW w:w="1156" w:type="dxa"/>
            <w:vAlign w:val="center"/>
          </w:tcPr>
          <w:p w14:paraId="1C7AE928">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4FEBCAFB">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79D3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CD9B9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32" w:type="dxa"/>
            <w:vAlign w:val="center"/>
          </w:tcPr>
          <w:p w14:paraId="4FD63F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优化和升级服务</w:t>
            </w:r>
          </w:p>
        </w:tc>
        <w:tc>
          <w:tcPr>
            <w:tcW w:w="4713" w:type="dxa"/>
            <w:vAlign w:val="center"/>
          </w:tcPr>
          <w:p w14:paraId="4F9EC9D3">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按采购人的要求对设备的系统和相关软件进行升级，升级前要制定可行的升级实施方案，避免升级导致设备故障和业务中断。</w:t>
            </w:r>
          </w:p>
        </w:tc>
        <w:tc>
          <w:tcPr>
            <w:tcW w:w="1156" w:type="dxa"/>
            <w:vAlign w:val="center"/>
          </w:tcPr>
          <w:p w14:paraId="5D593256">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7F9A8A00">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2886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9D984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32" w:type="dxa"/>
            <w:vAlign w:val="center"/>
          </w:tcPr>
          <w:p w14:paraId="2CFAAC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应急处理及演练协助</w:t>
            </w:r>
          </w:p>
        </w:tc>
        <w:tc>
          <w:tcPr>
            <w:tcW w:w="4713" w:type="dxa"/>
            <w:vAlign w:val="center"/>
          </w:tcPr>
          <w:p w14:paraId="3A6357BC">
            <w:pPr>
              <w:widowControl/>
              <w:spacing w:line="400" w:lineRule="exact"/>
              <w:contextualSpacing/>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制定负载均衡应急处理技术方案，提供应急服务，提供应急演练协助。</w:t>
            </w:r>
          </w:p>
        </w:tc>
        <w:tc>
          <w:tcPr>
            <w:tcW w:w="1156" w:type="dxa"/>
            <w:vAlign w:val="center"/>
          </w:tcPr>
          <w:p w14:paraId="4EC90B12">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60C5FF38">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76B3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1EB94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132" w:type="dxa"/>
            <w:vAlign w:val="center"/>
          </w:tcPr>
          <w:p w14:paraId="1F8E5D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咨询及培训服务</w:t>
            </w:r>
          </w:p>
        </w:tc>
        <w:tc>
          <w:tcPr>
            <w:tcW w:w="4713" w:type="dxa"/>
            <w:vAlign w:val="center"/>
          </w:tcPr>
          <w:p w14:paraId="3CCDB844">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对设备管理人员提供负载均衡的技术咨询和培训。</w:t>
            </w:r>
          </w:p>
        </w:tc>
        <w:tc>
          <w:tcPr>
            <w:tcW w:w="1156" w:type="dxa"/>
            <w:vAlign w:val="center"/>
          </w:tcPr>
          <w:p w14:paraId="30A9CBFE">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43B3CDC4">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bl>
    <w:p w14:paraId="3EBC48D6">
      <w:pPr>
        <w:widowControl w:val="0"/>
        <w:ind w:left="0" w:firstLine="0"/>
        <w:jc w:val="both"/>
        <w:outlineLvl w:val="3"/>
        <w:rPr>
          <w:rFonts w:hint="eastAsia" w:ascii="宋体" w:hAnsi="宋体" w:eastAsia="宋体" w:cs="宋体"/>
          <w:b w:val="0"/>
          <w:bCs/>
          <w:kern w:val="2"/>
          <w:sz w:val="21"/>
          <w:szCs w:val="21"/>
          <w:highlight w:val="none"/>
          <w:lang w:val="en-US" w:eastAsia="zh-CN" w:bidi="ar-SA"/>
        </w:rPr>
      </w:pPr>
    </w:p>
    <w:p w14:paraId="3DA002E1">
      <w:pPr>
        <w:widowControl w:val="0"/>
        <w:ind w:left="0" w:firstLine="0"/>
        <w:jc w:val="both"/>
        <w:outlineLvl w:val="3"/>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3.2.13 爱数文档云技术服务</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044"/>
        <w:gridCol w:w="4713"/>
        <w:gridCol w:w="1156"/>
        <w:gridCol w:w="1189"/>
      </w:tblGrid>
      <w:tr w14:paraId="7C14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6" w:type="dxa"/>
            <w:vAlign w:val="center"/>
          </w:tcPr>
          <w:p w14:paraId="5D03D6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044" w:type="dxa"/>
            <w:vAlign w:val="center"/>
          </w:tcPr>
          <w:p w14:paraId="377F46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713" w:type="dxa"/>
            <w:vAlign w:val="center"/>
          </w:tcPr>
          <w:p w14:paraId="6751F1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156" w:type="dxa"/>
            <w:vAlign w:val="center"/>
          </w:tcPr>
          <w:p w14:paraId="72C5AA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3803CE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6DBF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6" w:type="dxa"/>
            <w:vAlign w:val="center"/>
          </w:tcPr>
          <w:p w14:paraId="429087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044" w:type="dxa"/>
            <w:vAlign w:val="center"/>
          </w:tcPr>
          <w:p w14:paraId="0AA287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故障处理和维修服务</w:t>
            </w:r>
          </w:p>
        </w:tc>
        <w:tc>
          <w:tcPr>
            <w:tcW w:w="4713" w:type="dxa"/>
            <w:vAlign w:val="center"/>
          </w:tcPr>
          <w:p w14:paraId="6C876390">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1、当设备发生故障，在规定的时间内进行修复，恢复设备正常运行。</w:t>
            </w:r>
          </w:p>
          <w:p w14:paraId="26C96626">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2、如无法在规定时间修复故障，必须免费提供应急处理服务（包括提供备机），避免影响机房设备的正常运行。</w:t>
            </w:r>
          </w:p>
          <w:p w14:paraId="72A65489">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3、免费更换损坏的所有设备部件。</w:t>
            </w:r>
          </w:p>
          <w:p w14:paraId="26136C45">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4、更换的零配件必须符合招标文件对备品备件的质量要求。</w:t>
            </w:r>
          </w:p>
          <w:p w14:paraId="1D03C024">
            <w:pPr>
              <w:widowControl w:val="0"/>
              <w:spacing w:line="400" w:lineRule="exact"/>
              <w:ind w:firstLine="0" w:firstLineChars="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5、每次维修服务后，必须提供故障处理报告（盖中标人公章）。</w:t>
            </w:r>
          </w:p>
        </w:tc>
        <w:tc>
          <w:tcPr>
            <w:tcW w:w="1156" w:type="dxa"/>
            <w:vAlign w:val="center"/>
          </w:tcPr>
          <w:p w14:paraId="614DDFD3">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0839CFDE">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7606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1076" w:type="dxa"/>
            <w:vAlign w:val="center"/>
          </w:tcPr>
          <w:p w14:paraId="3CA06F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044" w:type="dxa"/>
            <w:vAlign w:val="center"/>
          </w:tcPr>
          <w:p w14:paraId="279B3E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检查保养服务</w:t>
            </w:r>
          </w:p>
        </w:tc>
        <w:tc>
          <w:tcPr>
            <w:tcW w:w="4713" w:type="dxa"/>
            <w:vAlign w:val="center"/>
          </w:tcPr>
          <w:p w14:paraId="61897BAE">
            <w:pPr>
              <w:widowControl w:val="0"/>
              <w:spacing w:line="400" w:lineRule="exact"/>
              <w:ind w:firstLine="420" w:firstLineChars="20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每月对设备进行检查保养，提供检查报告。</w:t>
            </w:r>
          </w:p>
          <w:p w14:paraId="4AC324B2">
            <w:pPr>
              <w:widowControl w:val="0"/>
              <w:spacing w:line="400" w:lineRule="exact"/>
              <w:ind w:firstLine="420" w:firstLineChars="20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检查保养内容包括：对设备的运行状态进行检查；查看设备的运行日志，检查是否有告警和报错；对软件运行状态进行监控，如发现异常或待优化问题，及时报告。</w:t>
            </w:r>
          </w:p>
        </w:tc>
        <w:tc>
          <w:tcPr>
            <w:tcW w:w="1156" w:type="dxa"/>
            <w:vAlign w:val="center"/>
          </w:tcPr>
          <w:p w14:paraId="041933D9">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4D571D7E">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35F0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076" w:type="dxa"/>
            <w:vAlign w:val="center"/>
          </w:tcPr>
          <w:p w14:paraId="687699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044" w:type="dxa"/>
            <w:vAlign w:val="center"/>
          </w:tcPr>
          <w:p w14:paraId="52F864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优化和升级服务</w:t>
            </w:r>
          </w:p>
        </w:tc>
        <w:tc>
          <w:tcPr>
            <w:tcW w:w="4713" w:type="dxa"/>
            <w:vAlign w:val="center"/>
          </w:tcPr>
          <w:p w14:paraId="4FCBE345">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按采购人的要求对设备的系统和相关软件进行升级，升级前要制定可行的升级实施方案，避免升级导致设备故障和业务中断。</w:t>
            </w:r>
          </w:p>
        </w:tc>
        <w:tc>
          <w:tcPr>
            <w:tcW w:w="1156" w:type="dxa"/>
            <w:vAlign w:val="center"/>
          </w:tcPr>
          <w:p w14:paraId="766A950B">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334F28AE">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3AEF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076" w:type="dxa"/>
            <w:vAlign w:val="center"/>
          </w:tcPr>
          <w:p w14:paraId="498C12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044" w:type="dxa"/>
            <w:vAlign w:val="center"/>
          </w:tcPr>
          <w:p w14:paraId="22DDCD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应急处理及演练协助</w:t>
            </w:r>
          </w:p>
        </w:tc>
        <w:tc>
          <w:tcPr>
            <w:tcW w:w="4713" w:type="dxa"/>
            <w:vAlign w:val="center"/>
          </w:tcPr>
          <w:p w14:paraId="0B498CC6">
            <w:pPr>
              <w:widowControl/>
              <w:spacing w:line="400" w:lineRule="exact"/>
              <w:contextualSpacing/>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制定爱数文档云应急处理技术方案，提供应急服务，提供应急演练协助。</w:t>
            </w:r>
          </w:p>
        </w:tc>
        <w:tc>
          <w:tcPr>
            <w:tcW w:w="1156" w:type="dxa"/>
            <w:vAlign w:val="center"/>
          </w:tcPr>
          <w:p w14:paraId="176FA181">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4880B22A">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31DA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076" w:type="dxa"/>
            <w:vAlign w:val="center"/>
          </w:tcPr>
          <w:p w14:paraId="78AB66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044" w:type="dxa"/>
            <w:vAlign w:val="center"/>
          </w:tcPr>
          <w:p w14:paraId="0BDB49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咨询及培训服务</w:t>
            </w:r>
          </w:p>
        </w:tc>
        <w:tc>
          <w:tcPr>
            <w:tcW w:w="4713" w:type="dxa"/>
            <w:vAlign w:val="center"/>
          </w:tcPr>
          <w:p w14:paraId="405468E5">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对设备管理人员提供爱数云的技术咨询和培训。</w:t>
            </w:r>
          </w:p>
        </w:tc>
        <w:tc>
          <w:tcPr>
            <w:tcW w:w="1156" w:type="dxa"/>
            <w:vAlign w:val="center"/>
          </w:tcPr>
          <w:p w14:paraId="25EA3E29">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54367A34">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bl>
    <w:p w14:paraId="199FB3C2">
      <w:pPr>
        <w:widowControl w:val="0"/>
        <w:ind w:left="0" w:firstLine="0"/>
        <w:jc w:val="both"/>
        <w:outlineLvl w:val="3"/>
        <w:rPr>
          <w:rFonts w:hint="eastAsia" w:ascii="宋体" w:hAnsi="宋体" w:eastAsia="宋体" w:cs="宋体"/>
          <w:b/>
          <w:bCs w:val="0"/>
          <w:kern w:val="2"/>
          <w:sz w:val="21"/>
          <w:szCs w:val="21"/>
          <w:highlight w:val="none"/>
          <w:lang w:val="en-US" w:eastAsia="zh-CN" w:bidi="ar-SA"/>
        </w:rPr>
      </w:pPr>
    </w:p>
    <w:p w14:paraId="7D9E55A4">
      <w:pPr>
        <w:widowControl w:val="0"/>
        <w:ind w:left="0" w:firstLine="0"/>
        <w:jc w:val="both"/>
        <w:outlineLvl w:val="3"/>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3.2.14操作系统和虚拟化管理软件技术服务</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044"/>
        <w:gridCol w:w="4713"/>
        <w:gridCol w:w="1156"/>
        <w:gridCol w:w="1189"/>
      </w:tblGrid>
      <w:tr w14:paraId="62B4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6" w:type="dxa"/>
            <w:vAlign w:val="center"/>
          </w:tcPr>
          <w:p w14:paraId="4C7861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044" w:type="dxa"/>
            <w:vAlign w:val="center"/>
          </w:tcPr>
          <w:p w14:paraId="7ADF59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713" w:type="dxa"/>
            <w:vAlign w:val="center"/>
          </w:tcPr>
          <w:p w14:paraId="5117BC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156" w:type="dxa"/>
            <w:vAlign w:val="center"/>
          </w:tcPr>
          <w:p w14:paraId="74EC10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77D1D9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4DB0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6" w:type="dxa"/>
            <w:vAlign w:val="center"/>
          </w:tcPr>
          <w:p w14:paraId="2895BC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044" w:type="dxa"/>
            <w:vAlign w:val="center"/>
          </w:tcPr>
          <w:p w14:paraId="12B466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日常维护</w:t>
            </w:r>
          </w:p>
        </w:tc>
        <w:tc>
          <w:tcPr>
            <w:tcW w:w="4713" w:type="dxa"/>
            <w:vAlign w:val="center"/>
          </w:tcPr>
          <w:p w14:paraId="3EEEFA57">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系统软件的安装、迁移、维护、备份、恢复；软件参数、策略的设置、调整、备份、恢复；对系统软件进行安全防护和安全审计，对系统软件进行安全升级和优化；对系统软件进行日常检查；对系统软件的运行情况进行监控；</w:t>
            </w:r>
            <w:r>
              <w:rPr>
                <w:rFonts w:hint="eastAsia" w:ascii="宋体" w:hAnsi="宋体" w:cs="宋体"/>
                <w:kern w:val="0"/>
                <w:sz w:val="21"/>
                <w:szCs w:val="21"/>
                <w:highlight w:val="none"/>
                <w:lang w:val="en-US" w:eastAsia="zh-CN"/>
              </w:rPr>
              <w:t>每季</w:t>
            </w:r>
            <w:r>
              <w:rPr>
                <w:rFonts w:hint="eastAsia" w:ascii="宋体" w:hAnsi="宋体" w:eastAsia="宋体" w:cs="宋体"/>
                <w:kern w:val="0"/>
                <w:sz w:val="21"/>
                <w:szCs w:val="21"/>
                <w:highlight w:val="none"/>
              </w:rPr>
              <w:t>对系统软件进行健康及性能数据采集和分析，并根据分析结果进行参数调优，使其运行在最佳状态；根据业务需求对，进行常规配置。</w:t>
            </w:r>
          </w:p>
        </w:tc>
        <w:tc>
          <w:tcPr>
            <w:tcW w:w="1156" w:type="dxa"/>
            <w:vAlign w:val="center"/>
          </w:tcPr>
          <w:p w14:paraId="7F55B176">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2EE6FABB">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1F67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6" w:type="dxa"/>
            <w:vAlign w:val="center"/>
          </w:tcPr>
          <w:p w14:paraId="3AF538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044" w:type="dxa"/>
            <w:vAlign w:val="center"/>
          </w:tcPr>
          <w:p w14:paraId="2D762D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故障处理</w:t>
            </w:r>
          </w:p>
        </w:tc>
        <w:tc>
          <w:tcPr>
            <w:tcW w:w="4713" w:type="dxa"/>
            <w:vAlign w:val="center"/>
          </w:tcPr>
          <w:p w14:paraId="1F0CCD13">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及时处理软件发生的故障，</w:t>
            </w:r>
            <w:r>
              <w:rPr>
                <w:rFonts w:hint="eastAsia" w:ascii="宋体" w:hAnsi="宋体" w:cs="宋体"/>
                <w:kern w:val="0"/>
                <w:sz w:val="21"/>
                <w:szCs w:val="21"/>
                <w:highlight w:val="none"/>
                <w:lang w:val="en-US" w:eastAsia="zh-CN"/>
              </w:rPr>
              <w:t>每季</w:t>
            </w:r>
            <w:r>
              <w:rPr>
                <w:rFonts w:hint="eastAsia" w:ascii="宋体" w:hAnsi="宋体" w:eastAsia="宋体" w:cs="宋体"/>
                <w:kern w:val="0"/>
                <w:sz w:val="21"/>
                <w:szCs w:val="21"/>
                <w:highlight w:val="none"/>
              </w:rPr>
              <w:t>进行风险排查。</w:t>
            </w:r>
          </w:p>
        </w:tc>
        <w:tc>
          <w:tcPr>
            <w:tcW w:w="1156" w:type="dxa"/>
            <w:vAlign w:val="center"/>
          </w:tcPr>
          <w:p w14:paraId="546E4EA5">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1745D1E2">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39AB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Align w:val="center"/>
          </w:tcPr>
          <w:p w14:paraId="661D41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044" w:type="dxa"/>
            <w:vAlign w:val="center"/>
          </w:tcPr>
          <w:p w14:paraId="07F456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检查保养服务</w:t>
            </w:r>
          </w:p>
        </w:tc>
        <w:tc>
          <w:tcPr>
            <w:tcW w:w="4713" w:type="dxa"/>
            <w:vAlign w:val="center"/>
          </w:tcPr>
          <w:p w14:paraId="0FF750D1">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每月对系统软件进行巡检，提供巡检报告。</w:t>
            </w:r>
          </w:p>
        </w:tc>
        <w:tc>
          <w:tcPr>
            <w:tcW w:w="1156" w:type="dxa"/>
            <w:vAlign w:val="center"/>
          </w:tcPr>
          <w:p w14:paraId="67BBF001">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762B5334">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6FC8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Align w:val="center"/>
          </w:tcPr>
          <w:p w14:paraId="1ED024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044" w:type="dxa"/>
            <w:vAlign w:val="center"/>
          </w:tcPr>
          <w:p w14:paraId="39F97F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优化和升级服务</w:t>
            </w:r>
          </w:p>
        </w:tc>
        <w:tc>
          <w:tcPr>
            <w:tcW w:w="4713" w:type="dxa"/>
            <w:vAlign w:val="center"/>
          </w:tcPr>
          <w:p w14:paraId="7A537AAE">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按采购人的要求和时间对系统软件和与其相关的软件进行升级，升级前要制定可行的升级实施方案，避免升级导致软件故障和业务中断。</w:t>
            </w:r>
          </w:p>
        </w:tc>
        <w:tc>
          <w:tcPr>
            <w:tcW w:w="1156" w:type="dxa"/>
            <w:vAlign w:val="center"/>
          </w:tcPr>
          <w:p w14:paraId="1820DB4E">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7909796A">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64AD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Align w:val="center"/>
          </w:tcPr>
          <w:p w14:paraId="393936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044" w:type="dxa"/>
            <w:vAlign w:val="center"/>
          </w:tcPr>
          <w:p w14:paraId="532DAF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应急处理及演练协助</w:t>
            </w:r>
          </w:p>
        </w:tc>
        <w:tc>
          <w:tcPr>
            <w:tcW w:w="4713" w:type="dxa"/>
            <w:vAlign w:val="center"/>
          </w:tcPr>
          <w:p w14:paraId="6DC980EB">
            <w:pPr>
              <w:widowControl/>
              <w:spacing w:line="400" w:lineRule="exact"/>
              <w:contextualSpacing/>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制定虚拟化软件、备份软件应急处理技术方案，提供应急服务，提供应急演练协助。</w:t>
            </w:r>
          </w:p>
        </w:tc>
        <w:tc>
          <w:tcPr>
            <w:tcW w:w="1156" w:type="dxa"/>
            <w:vAlign w:val="center"/>
          </w:tcPr>
          <w:p w14:paraId="7BE41887">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519B051D">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4F1E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vAlign w:val="center"/>
          </w:tcPr>
          <w:p w14:paraId="3C044A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044" w:type="dxa"/>
            <w:vAlign w:val="center"/>
          </w:tcPr>
          <w:p w14:paraId="169547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咨询及培训服务</w:t>
            </w:r>
          </w:p>
        </w:tc>
        <w:tc>
          <w:tcPr>
            <w:tcW w:w="4713" w:type="dxa"/>
            <w:vAlign w:val="center"/>
          </w:tcPr>
          <w:p w14:paraId="5092D2CE">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对系统软件管理人员提供软件的技术咨询和培训。</w:t>
            </w:r>
          </w:p>
        </w:tc>
        <w:tc>
          <w:tcPr>
            <w:tcW w:w="1156" w:type="dxa"/>
            <w:vAlign w:val="center"/>
          </w:tcPr>
          <w:p w14:paraId="30EB0F97">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54CEF62A">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bl>
    <w:p w14:paraId="60E67148">
      <w:pPr>
        <w:widowControl w:val="0"/>
        <w:ind w:left="0" w:firstLine="0"/>
        <w:jc w:val="both"/>
        <w:outlineLvl w:val="3"/>
        <w:rPr>
          <w:rFonts w:hint="eastAsia" w:ascii="宋体" w:hAnsi="宋体" w:eastAsia="宋体" w:cs="宋体"/>
          <w:b/>
          <w:bCs w:val="0"/>
          <w:kern w:val="2"/>
          <w:sz w:val="21"/>
          <w:szCs w:val="21"/>
          <w:highlight w:val="none"/>
          <w:lang w:val="en-US" w:eastAsia="zh-CN" w:bidi="ar-SA"/>
        </w:rPr>
      </w:pPr>
    </w:p>
    <w:p w14:paraId="493F2597">
      <w:pPr>
        <w:widowControl w:val="0"/>
        <w:ind w:left="0" w:firstLine="0"/>
        <w:jc w:val="both"/>
        <w:outlineLvl w:val="3"/>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3.2.15 特权帐号管理系统技术服务</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97"/>
        <w:gridCol w:w="4713"/>
        <w:gridCol w:w="1156"/>
        <w:gridCol w:w="1189"/>
      </w:tblGrid>
      <w:tr w14:paraId="6E4C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16E2F6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97" w:type="dxa"/>
            <w:vAlign w:val="center"/>
          </w:tcPr>
          <w:p w14:paraId="135E87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713" w:type="dxa"/>
            <w:vAlign w:val="center"/>
          </w:tcPr>
          <w:p w14:paraId="5ADA23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156" w:type="dxa"/>
            <w:vAlign w:val="center"/>
          </w:tcPr>
          <w:p w14:paraId="394F99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69FA45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36C0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227B16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Align w:val="center"/>
          </w:tcPr>
          <w:p w14:paraId="1FA56E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故障处理和维修服务</w:t>
            </w:r>
          </w:p>
        </w:tc>
        <w:tc>
          <w:tcPr>
            <w:tcW w:w="4713" w:type="dxa"/>
            <w:vAlign w:val="center"/>
          </w:tcPr>
          <w:p w14:paraId="1750074E">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当设备或系统发生故障，在规定的时间内进行修复，恢复设备及系统的正常运行。</w:t>
            </w:r>
          </w:p>
          <w:p w14:paraId="4FAF5121">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免费更换损坏的所有设备部件。更换的零配件必须符合招标文件对备品备件的质量要求。</w:t>
            </w:r>
          </w:p>
          <w:p w14:paraId="285145B5">
            <w:pPr>
              <w:widowControl w:val="0"/>
              <w:spacing w:line="400" w:lineRule="exact"/>
              <w:ind w:firstLine="0" w:firstLineChars="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每次维修服务后，必须提供故障处理报告（盖中标人公章）。</w:t>
            </w:r>
          </w:p>
        </w:tc>
        <w:tc>
          <w:tcPr>
            <w:tcW w:w="1156" w:type="dxa"/>
            <w:vAlign w:val="center"/>
          </w:tcPr>
          <w:p w14:paraId="053B1299">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6CC8F6B3">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462E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4A9A16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97" w:type="dxa"/>
            <w:vAlign w:val="center"/>
          </w:tcPr>
          <w:p w14:paraId="5B4809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检查保养服务</w:t>
            </w:r>
          </w:p>
        </w:tc>
        <w:tc>
          <w:tcPr>
            <w:tcW w:w="4713" w:type="dxa"/>
            <w:vAlign w:val="center"/>
          </w:tcPr>
          <w:p w14:paraId="19033EF6">
            <w:pPr>
              <w:widowControl w:val="0"/>
              <w:spacing w:line="400" w:lineRule="exact"/>
              <w:ind w:firstLine="420" w:firstLineChars="20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每月对设备及系统进行一次检查保养，提供检查报告。</w:t>
            </w:r>
          </w:p>
          <w:p w14:paraId="0608D956">
            <w:pPr>
              <w:widowControl w:val="0"/>
              <w:spacing w:line="400" w:lineRule="exact"/>
              <w:ind w:firstLine="420" w:firstLineChars="20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检查保养内容包括：对设备的运行状态进行检查；查看设备的运行日志，检查是否有告警和报错；</w:t>
            </w:r>
            <w:r>
              <w:rPr>
                <w:rFonts w:hint="eastAsia" w:ascii="宋体" w:hAnsi="宋体" w:cs="宋体"/>
                <w:kern w:val="0"/>
                <w:sz w:val="21"/>
                <w:szCs w:val="21"/>
                <w:highlight w:val="none"/>
                <w:lang w:val="en-US" w:eastAsia="zh-CN"/>
              </w:rPr>
              <w:t>每季</w:t>
            </w:r>
            <w:r>
              <w:rPr>
                <w:rFonts w:hint="eastAsia" w:ascii="宋体" w:hAnsi="宋体" w:eastAsia="宋体" w:cs="宋体"/>
                <w:kern w:val="2"/>
                <w:sz w:val="21"/>
                <w:szCs w:val="21"/>
                <w:highlight w:val="none"/>
                <w:lang w:val="en-US" w:eastAsia="zh-CN" w:bidi="ar-SA"/>
              </w:rPr>
              <w:t>对软件运行状态进行监控，如发现异常或待优化问题，及时报告。</w:t>
            </w:r>
          </w:p>
        </w:tc>
        <w:tc>
          <w:tcPr>
            <w:tcW w:w="1156" w:type="dxa"/>
            <w:vAlign w:val="center"/>
          </w:tcPr>
          <w:p w14:paraId="42A54261">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72FA9D5F">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23C9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507E97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97" w:type="dxa"/>
            <w:vAlign w:val="center"/>
          </w:tcPr>
          <w:p w14:paraId="4510A2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优化和升级服务</w:t>
            </w:r>
          </w:p>
        </w:tc>
        <w:tc>
          <w:tcPr>
            <w:tcW w:w="4713" w:type="dxa"/>
            <w:vAlign w:val="center"/>
          </w:tcPr>
          <w:p w14:paraId="4FB84BB4">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按采购人的要求对设备的系统和相关软件进行升级，升级前要制定可行的升级实施方案，避免升级导致设备故障和业务中断。</w:t>
            </w:r>
          </w:p>
        </w:tc>
        <w:tc>
          <w:tcPr>
            <w:tcW w:w="1156" w:type="dxa"/>
            <w:vAlign w:val="center"/>
          </w:tcPr>
          <w:p w14:paraId="1910FB7D">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727DE8A9">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734C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5A9305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97" w:type="dxa"/>
            <w:vAlign w:val="center"/>
          </w:tcPr>
          <w:p w14:paraId="34C81B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应急处理及演练协助</w:t>
            </w:r>
          </w:p>
        </w:tc>
        <w:tc>
          <w:tcPr>
            <w:tcW w:w="4713" w:type="dxa"/>
            <w:vAlign w:val="center"/>
          </w:tcPr>
          <w:p w14:paraId="494D07DA">
            <w:pPr>
              <w:widowControl/>
              <w:spacing w:line="400" w:lineRule="exact"/>
              <w:contextualSpacing/>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制定</w:t>
            </w:r>
            <w:r>
              <w:rPr>
                <w:rFonts w:hint="eastAsia" w:ascii="宋体" w:hAnsi="宋体" w:eastAsia="宋体" w:cs="宋体"/>
                <w:b w:val="0"/>
                <w:w w:val="100"/>
                <w:sz w:val="21"/>
                <w:szCs w:val="21"/>
                <w:highlight w:val="none"/>
                <w:shd w:val="clear" w:color="auto" w:fill="auto"/>
              </w:rPr>
              <w:t>特权帐号管理系统</w:t>
            </w:r>
            <w:r>
              <w:rPr>
                <w:rFonts w:hint="eastAsia" w:ascii="宋体" w:hAnsi="宋体" w:eastAsia="宋体" w:cs="宋体"/>
                <w:kern w:val="0"/>
                <w:sz w:val="21"/>
                <w:szCs w:val="21"/>
                <w:highlight w:val="none"/>
              </w:rPr>
              <w:t>应急处理技术方案，提供应急服务，提供应急演练协助。</w:t>
            </w:r>
          </w:p>
        </w:tc>
        <w:tc>
          <w:tcPr>
            <w:tcW w:w="1156" w:type="dxa"/>
            <w:vAlign w:val="center"/>
          </w:tcPr>
          <w:p w14:paraId="3C1FD601">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00916AC8">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5C4D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5D2B80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197" w:type="dxa"/>
            <w:vAlign w:val="center"/>
          </w:tcPr>
          <w:p w14:paraId="3307E2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咨询及培训服务</w:t>
            </w:r>
          </w:p>
        </w:tc>
        <w:tc>
          <w:tcPr>
            <w:tcW w:w="4713" w:type="dxa"/>
            <w:vAlign w:val="center"/>
          </w:tcPr>
          <w:p w14:paraId="7BAD7EDB">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对设备管理人员提供</w:t>
            </w:r>
            <w:r>
              <w:rPr>
                <w:rFonts w:hint="eastAsia" w:ascii="宋体" w:hAnsi="宋体" w:eastAsia="宋体" w:cs="宋体"/>
                <w:b w:val="0"/>
                <w:w w:val="100"/>
                <w:sz w:val="21"/>
                <w:szCs w:val="21"/>
                <w:highlight w:val="none"/>
                <w:shd w:val="clear" w:color="auto" w:fill="auto"/>
              </w:rPr>
              <w:t>特权帐号管理系统</w:t>
            </w:r>
            <w:r>
              <w:rPr>
                <w:rFonts w:hint="eastAsia" w:ascii="宋体" w:hAnsi="宋体" w:eastAsia="宋体" w:cs="宋体"/>
                <w:kern w:val="0"/>
                <w:sz w:val="21"/>
                <w:szCs w:val="21"/>
                <w:highlight w:val="none"/>
              </w:rPr>
              <w:t>的技术咨询和培训。</w:t>
            </w:r>
          </w:p>
        </w:tc>
        <w:tc>
          <w:tcPr>
            <w:tcW w:w="1156" w:type="dxa"/>
            <w:vAlign w:val="center"/>
          </w:tcPr>
          <w:p w14:paraId="6DE38488">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7CD0A50C">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7A27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7DDE3D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197" w:type="dxa"/>
            <w:vAlign w:val="center"/>
          </w:tcPr>
          <w:p w14:paraId="5F1876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故障处理和维修服务</w:t>
            </w:r>
          </w:p>
        </w:tc>
        <w:tc>
          <w:tcPr>
            <w:tcW w:w="4713" w:type="dxa"/>
            <w:vAlign w:val="center"/>
          </w:tcPr>
          <w:p w14:paraId="3F0E2CC5">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当设备或系统发生故障，在规定的时间内进行修复，恢复设备及系统的正常运行。</w:t>
            </w:r>
          </w:p>
          <w:p w14:paraId="47F8E679">
            <w:pPr>
              <w:widowControl w:val="0"/>
              <w:spacing w:line="400" w:lineRule="exact"/>
              <w:ind w:firstLine="0" w:firstLineChars="0"/>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免费更换损坏的所有设备部件。更换的零配件必须符合招标文件对备品备件的质量要求。</w:t>
            </w:r>
          </w:p>
          <w:p w14:paraId="7103C6E0">
            <w:pPr>
              <w:widowControl w:val="0"/>
              <w:spacing w:line="400" w:lineRule="exact"/>
              <w:ind w:firstLine="0" w:firstLineChars="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每次维修服务后，必须提供故障处理报告（盖中标人公章）。</w:t>
            </w:r>
          </w:p>
        </w:tc>
        <w:tc>
          <w:tcPr>
            <w:tcW w:w="1156" w:type="dxa"/>
            <w:vAlign w:val="center"/>
          </w:tcPr>
          <w:p w14:paraId="02AE7A1F">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25F930BD">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bl>
    <w:p w14:paraId="1989DBD8">
      <w:pPr>
        <w:widowControl w:val="0"/>
        <w:ind w:left="0" w:firstLine="0"/>
        <w:jc w:val="both"/>
        <w:outlineLvl w:val="3"/>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 xml:space="preserve"> </w:t>
      </w:r>
    </w:p>
    <w:p w14:paraId="5C981D23">
      <w:pPr>
        <w:widowControl w:val="0"/>
        <w:ind w:left="0" w:firstLine="0"/>
        <w:jc w:val="both"/>
        <w:outlineLvl w:val="3"/>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3.2.16 国产化替代及适配服务</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97"/>
        <w:gridCol w:w="4713"/>
        <w:gridCol w:w="1156"/>
        <w:gridCol w:w="1189"/>
      </w:tblGrid>
      <w:tr w14:paraId="2F9D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650454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97" w:type="dxa"/>
            <w:vAlign w:val="center"/>
          </w:tcPr>
          <w:p w14:paraId="5724F3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713" w:type="dxa"/>
            <w:vAlign w:val="center"/>
          </w:tcPr>
          <w:p w14:paraId="4DC6DD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156" w:type="dxa"/>
            <w:vAlign w:val="center"/>
          </w:tcPr>
          <w:p w14:paraId="362B0F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0E2F88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19B5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5E6A45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Align w:val="center"/>
          </w:tcPr>
          <w:p w14:paraId="6B9BFC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国产化替代技术路线分析服务</w:t>
            </w:r>
          </w:p>
        </w:tc>
        <w:tc>
          <w:tcPr>
            <w:tcW w:w="4713" w:type="dxa"/>
            <w:vAlign w:val="center"/>
          </w:tcPr>
          <w:p w14:paraId="62C2D6CE">
            <w:pPr>
              <w:widowControl w:val="0"/>
              <w:spacing w:line="400" w:lineRule="exact"/>
              <w:ind w:firstLine="0" w:firstLineChars="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根据采购人需求，提供服务器、操作系统、高可用软件、计算虚拟化软件、存储虚拟化等核心基础资源国产化替代技术路线及实用场景分析。</w:t>
            </w:r>
          </w:p>
        </w:tc>
        <w:tc>
          <w:tcPr>
            <w:tcW w:w="1156" w:type="dxa"/>
            <w:vAlign w:val="center"/>
          </w:tcPr>
          <w:p w14:paraId="05FF98BB">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3FA953C0">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580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323D6B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97" w:type="dxa"/>
            <w:vAlign w:val="center"/>
          </w:tcPr>
          <w:p w14:paraId="47D2B3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适配测试服务</w:t>
            </w:r>
          </w:p>
        </w:tc>
        <w:tc>
          <w:tcPr>
            <w:tcW w:w="4713" w:type="dxa"/>
            <w:vAlign w:val="center"/>
          </w:tcPr>
          <w:p w14:paraId="31C2742D">
            <w:pPr>
              <w:widowControl w:val="0"/>
              <w:spacing w:line="400" w:lineRule="exact"/>
              <w:ind w:firstLine="0" w:firstLineChars="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搭建国产化适配测试环境，安装国产化操作系统及基础软件，按采购人要求，编制基线扫描脚本，进行漏洞扫描等。</w:t>
            </w:r>
          </w:p>
        </w:tc>
        <w:tc>
          <w:tcPr>
            <w:tcW w:w="1156" w:type="dxa"/>
            <w:vAlign w:val="center"/>
          </w:tcPr>
          <w:p w14:paraId="7EB17327">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73B4D317">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73C5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196FEB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97" w:type="dxa"/>
            <w:vAlign w:val="center"/>
          </w:tcPr>
          <w:p w14:paraId="6C027C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优化和升级服务</w:t>
            </w:r>
          </w:p>
        </w:tc>
        <w:tc>
          <w:tcPr>
            <w:tcW w:w="4713" w:type="dxa"/>
            <w:vAlign w:val="center"/>
          </w:tcPr>
          <w:p w14:paraId="0612804C">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按采购人的要求对操作系统和相关软件进行升级，升级前要制定可行的升级实施方案，避免升级导致设备故障和业务中断。</w:t>
            </w:r>
          </w:p>
        </w:tc>
        <w:tc>
          <w:tcPr>
            <w:tcW w:w="1156" w:type="dxa"/>
            <w:vAlign w:val="center"/>
          </w:tcPr>
          <w:p w14:paraId="133A3EF3">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6E2F4F52">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786C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011368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97" w:type="dxa"/>
            <w:vAlign w:val="center"/>
          </w:tcPr>
          <w:p w14:paraId="41EACF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国产化系统部署技术支持</w:t>
            </w:r>
          </w:p>
        </w:tc>
        <w:tc>
          <w:tcPr>
            <w:tcW w:w="4713" w:type="dxa"/>
            <w:vAlign w:val="center"/>
          </w:tcPr>
          <w:p w14:paraId="02FDEC92">
            <w:pPr>
              <w:widowControl/>
              <w:spacing w:line="400" w:lineRule="exact"/>
              <w:contextualSpacing/>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为国产化数据库、中间件、应用软件的测试、安装、上线运行提供技术支持。</w:t>
            </w:r>
          </w:p>
        </w:tc>
        <w:tc>
          <w:tcPr>
            <w:tcW w:w="1156" w:type="dxa"/>
            <w:vAlign w:val="center"/>
          </w:tcPr>
          <w:p w14:paraId="0CD8F28C">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1F80D535">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3640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5387FA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197" w:type="dxa"/>
            <w:vAlign w:val="center"/>
          </w:tcPr>
          <w:p w14:paraId="61D12C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咨询及培训服务</w:t>
            </w:r>
          </w:p>
        </w:tc>
        <w:tc>
          <w:tcPr>
            <w:tcW w:w="4713" w:type="dxa"/>
            <w:vAlign w:val="center"/>
          </w:tcPr>
          <w:p w14:paraId="5EE4C004">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对设备管理人员提供</w:t>
            </w:r>
            <w:r>
              <w:rPr>
                <w:rFonts w:hint="eastAsia" w:ascii="宋体" w:hAnsi="宋体" w:eastAsia="宋体" w:cs="宋体"/>
                <w:b w:val="0"/>
                <w:w w:val="100"/>
                <w:sz w:val="21"/>
                <w:szCs w:val="21"/>
                <w:highlight w:val="none"/>
                <w:shd w:val="clear" w:color="auto" w:fill="auto"/>
              </w:rPr>
              <w:t>国产化操作系统及相关基础软件</w:t>
            </w:r>
            <w:r>
              <w:rPr>
                <w:rFonts w:hint="eastAsia" w:ascii="宋体" w:hAnsi="宋体" w:eastAsia="宋体" w:cs="宋体"/>
                <w:kern w:val="0"/>
                <w:sz w:val="21"/>
                <w:szCs w:val="21"/>
                <w:highlight w:val="none"/>
              </w:rPr>
              <w:t>的技术咨询和培训。</w:t>
            </w:r>
          </w:p>
        </w:tc>
        <w:tc>
          <w:tcPr>
            <w:tcW w:w="1156" w:type="dxa"/>
            <w:vAlign w:val="center"/>
          </w:tcPr>
          <w:p w14:paraId="517479EE">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7807DD14">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bl>
    <w:p w14:paraId="486B9F9C">
      <w:pPr>
        <w:widowControl w:val="0"/>
        <w:ind w:left="0" w:firstLine="0"/>
        <w:jc w:val="both"/>
        <w:outlineLvl w:val="3"/>
        <w:rPr>
          <w:rFonts w:hint="eastAsia" w:ascii="宋体" w:hAnsi="宋体" w:eastAsia="宋体" w:cs="宋体"/>
          <w:b/>
          <w:bCs w:val="0"/>
          <w:kern w:val="2"/>
          <w:sz w:val="21"/>
          <w:szCs w:val="21"/>
          <w:highlight w:val="none"/>
          <w:lang w:val="en-US" w:eastAsia="zh-CN" w:bidi="ar-SA"/>
        </w:rPr>
      </w:pPr>
    </w:p>
    <w:p w14:paraId="17A09385">
      <w:pPr>
        <w:widowControl w:val="0"/>
        <w:ind w:left="0" w:firstLine="0"/>
        <w:jc w:val="both"/>
        <w:outlineLvl w:val="3"/>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3.2.17数据中心基础设施监控数据对接多云运维平台支持服务</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97"/>
        <w:gridCol w:w="4713"/>
        <w:gridCol w:w="1156"/>
        <w:gridCol w:w="1189"/>
      </w:tblGrid>
      <w:tr w14:paraId="0375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64BC5B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97" w:type="dxa"/>
            <w:vAlign w:val="center"/>
          </w:tcPr>
          <w:p w14:paraId="277CB5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713" w:type="dxa"/>
            <w:vAlign w:val="center"/>
          </w:tcPr>
          <w:p w14:paraId="054E8E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156" w:type="dxa"/>
            <w:vAlign w:val="center"/>
          </w:tcPr>
          <w:p w14:paraId="0F4843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045394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33FF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147CF4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Align w:val="center"/>
          </w:tcPr>
          <w:p w14:paraId="2AFC2B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数据采集及汇总服务</w:t>
            </w:r>
          </w:p>
        </w:tc>
        <w:tc>
          <w:tcPr>
            <w:tcW w:w="4713" w:type="dxa"/>
            <w:vAlign w:val="center"/>
          </w:tcPr>
          <w:p w14:paraId="6F478E61">
            <w:pPr>
              <w:widowControl w:val="0"/>
              <w:spacing w:line="400" w:lineRule="exact"/>
              <w:ind w:firstLine="0" w:firstLineChars="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对环保路、友谊路、政务云租赁机房等省局</w:t>
            </w:r>
            <w:r>
              <w:rPr>
                <w:rFonts w:hint="eastAsia" w:ascii="宋体" w:hAnsi="宋体" w:eastAsia="宋体" w:cs="宋体"/>
                <w:kern w:val="0"/>
                <w:sz w:val="21"/>
                <w:szCs w:val="21"/>
                <w:highlight w:val="none"/>
                <w:lang w:val="zh-CN" w:eastAsia="zh-CN" w:bidi="ar-SA"/>
              </w:rPr>
              <w:t>数据中心</w:t>
            </w:r>
            <w:r>
              <w:rPr>
                <w:rFonts w:hint="eastAsia" w:ascii="宋体" w:hAnsi="宋体" w:eastAsia="宋体" w:cs="宋体"/>
                <w:kern w:val="0"/>
                <w:sz w:val="21"/>
                <w:szCs w:val="21"/>
                <w:highlight w:val="none"/>
                <w:lang w:val="en-US" w:eastAsia="zh-CN" w:bidi="ar-SA"/>
              </w:rPr>
              <w:t>的所有物理服务器、小型机、虚拟机、云平台、虚拟化平台、超融合等</w:t>
            </w:r>
            <w:r>
              <w:rPr>
                <w:rFonts w:hint="eastAsia" w:ascii="宋体" w:hAnsi="宋体" w:eastAsia="宋体" w:cs="宋体"/>
                <w:kern w:val="0"/>
                <w:sz w:val="21"/>
                <w:szCs w:val="21"/>
                <w:highlight w:val="none"/>
                <w:lang w:val="zh-CN" w:eastAsia="zh-CN" w:bidi="ar-SA"/>
              </w:rPr>
              <w:t>基础设施</w:t>
            </w:r>
            <w:r>
              <w:rPr>
                <w:rFonts w:hint="eastAsia" w:ascii="宋体" w:hAnsi="宋体" w:eastAsia="宋体" w:cs="宋体"/>
                <w:kern w:val="0"/>
                <w:sz w:val="21"/>
                <w:szCs w:val="21"/>
                <w:highlight w:val="none"/>
                <w:lang w:val="en-US" w:eastAsia="zh-CN" w:bidi="ar-SA"/>
              </w:rPr>
              <w:t>进行</w:t>
            </w:r>
            <w:r>
              <w:rPr>
                <w:rFonts w:hint="eastAsia" w:ascii="宋体" w:hAnsi="宋体" w:eastAsia="宋体" w:cs="宋体"/>
                <w:kern w:val="0"/>
                <w:sz w:val="21"/>
                <w:szCs w:val="21"/>
                <w:highlight w:val="none"/>
                <w:lang w:val="zh-CN" w:eastAsia="zh-CN" w:bidi="ar-SA"/>
              </w:rPr>
              <w:t>监控、配置、事件三类数据采集</w:t>
            </w:r>
            <w:r>
              <w:rPr>
                <w:rFonts w:hint="eastAsia" w:ascii="宋体" w:hAnsi="宋体" w:eastAsia="宋体" w:cs="宋体"/>
                <w:kern w:val="0"/>
                <w:sz w:val="21"/>
                <w:szCs w:val="21"/>
                <w:highlight w:val="none"/>
                <w:lang w:val="en-US" w:eastAsia="zh-CN" w:bidi="ar-SA"/>
              </w:rPr>
              <w:t>和</w:t>
            </w:r>
            <w:r>
              <w:rPr>
                <w:rFonts w:hint="eastAsia" w:ascii="宋体" w:hAnsi="宋体" w:eastAsia="宋体" w:cs="宋体"/>
                <w:kern w:val="0"/>
                <w:sz w:val="21"/>
                <w:szCs w:val="21"/>
                <w:highlight w:val="none"/>
                <w:lang w:val="zh-CN" w:eastAsia="zh-CN" w:bidi="ar-SA"/>
              </w:rPr>
              <w:t>汇总</w:t>
            </w:r>
            <w:r>
              <w:rPr>
                <w:rFonts w:hint="eastAsia" w:ascii="宋体" w:hAnsi="宋体" w:eastAsia="宋体" w:cs="宋体"/>
                <w:kern w:val="2"/>
                <w:sz w:val="21"/>
                <w:szCs w:val="21"/>
                <w:highlight w:val="none"/>
                <w:lang w:val="en-US" w:eastAsia="zh-CN" w:bidi="ar-SA"/>
              </w:rPr>
              <w:t>。采集数据和“一账式”系统数据进行正确比对并</w:t>
            </w:r>
            <w:r>
              <w:rPr>
                <w:rFonts w:hint="eastAsia" w:ascii="宋体" w:hAnsi="宋体" w:eastAsia="宋体" w:cs="宋体"/>
                <w:kern w:val="0"/>
                <w:sz w:val="21"/>
                <w:szCs w:val="21"/>
                <w:highlight w:val="none"/>
                <w:lang w:val="en-US" w:eastAsia="zh-CN" w:bidi="ar-SA"/>
              </w:rPr>
              <w:t>推送至多云运维平台。</w:t>
            </w:r>
          </w:p>
        </w:tc>
        <w:tc>
          <w:tcPr>
            <w:tcW w:w="1156" w:type="dxa"/>
            <w:vAlign w:val="center"/>
          </w:tcPr>
          <w:p w14:paraId="1B368C9C">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6BCD8C1E">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7A3F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465CA9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97" w:type="dxa"/>
            <w:vAlign w:val="center"/>
          </w:tcPr>
          <w:p w14:paraId="0580E0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采集对象及数量要求</w:t>
            </w:r>
          </w:p>
        </w:tc>
        <w:tc>
          <w:tcPr>
            <w:tcW w:w="4713" w:type="dxa"/>
            <w:vAlign w:val="center"/>
          </w:tcPr>
          <w:p w14:paraId="4F4CD102">
            <w:pPr>
              <w:widowControl w:val="0"/>
              <w:spacing w:line="400" w:lineRule="exact"/>
              <w:ind w:firstLine="0" w:firstLineChars="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zh-CN" w:eastAsia="zh-CN" w:bidi="ar-SA"/>
              </w:rPr>
              <w:t>物理服务器</w:t>
            </w:r>
            <w:r>
              <w:rPr>
                <w:rFonts w:hint="eastAsia" w:ascii="宋体" w:hAnsi="宋体" w:eastAsia="宋体" w:cs="宋体"/>
                <w:kern w:val="2"/>
                <w:sz w:val="21"/>
                <w:szCs w:val="21"/>
                <w:highlight w:val="none"/>
                <w:lang w:val="en-US" w:eastAsia="zh-CN" w:bidi="ar-SA"/>
              </w:rPr>
              <w:t>不少于</w:t>
            </w:r>
            <w:r>
              <w:rPr>
                <w:rFonts w:hint="eastAsia" w:ascii="宋体" w:hAnsi="宋体" w:eastAsia="宋体" w:cs="宋体"/>
                <w:kern w:val="0"/>
                <w:sz w:val="21"/>
                <w:szCs w:val="21"/>
                <w:highlight w:val="none"/>
                <w:lang w:val="en-US" w:eastAsia="zh-CN" w:bidi="ar-SA"/>
              </w:rPr>
              <w:t>693</w:t>
            </w:r>
            <w:r>
              <w:rPr>
                <w:rFonts w:hint="eastAsia" w:ascii="宋体" w:hAnsi="宋体" w:eastAsia="宋体" w:cs="宋体"/>
                <w:kern w:val="0"/>
                <w:sz w:val="21"/>
                <w:szCs w:val="21"/>
                <w:highlight w:val="none"/>
                <w:lang w:val="zh-CN" w:eastAsia="zh-CN" w:bidi="ar-SA"/>
              </w:rPr>
              <w:t>台，阿里云服务器119台，小型机14台，虚拟机</w:t>
            </w:r>
            <w:r>
              <w:rPr>
                <w:rFonts w:hint="eastAsia" w:ascii="宋体" w:hAnsi="宋体" w:eastAsia="宋体" w:cs="宋体"/>
                <w:kern w:val="2"/>
                <w:sz w:val="21"/>
                <w:szCs w:val="21"/>
                <w:highlight w:val="none"/>
                <w:lang w:val="en-US" w:eastAsia="zh-CN" w:bidi="ar-SA"/>
              </w:rPr>
              <w:t>不少于</w:t>
            </w:r>
            <w:r>
              <w:rPr>
                <w:rFonts w:hint="eastAsia" w:ascii="宋体" w:hAnsi="宋体" w:eastAsia="宋体" w:cs="宋体"/>
                <w:kern w:val="0"/>
                <w:sz w:val="21"/>
                <w:szCs w:val="21"/>
                <w:highlight w:val="none"/>
                <w:lang w:val="zh-CN" w:eastAsia="zh-CN" w:bidi="ar-SA"/>
              </w:rPr>
              <w:t>1921台。</w:t>
            </w:r>
          </w:p>
        </w:tc>
        <w:tc>
          <w:tcPr>
            <w:tcW w:w="1156" w:type="dxa"/>
            <w:vAlign w:val="center"/>
          </w:tcPr>
          <w:p w14:paraId="429F76B4">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24AA6641">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638D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45CD4F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97" w:type="dxa"/>
            <w:vAlign w:val="center"/>
          </w:tcPr>
          <w:p w14:paraId="77D93A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采集方式要求</w:t>
            </w:r>
          </w:p>
        </w:tc>
        <w:tc>
          <w:tcPr>
            <w:tcW w:w="4713" w:type="dxa"/>
            <w:vAlign w:val="center"/>
          </w:tcPr>
          <w:p w14:paraId="3E413207">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包括：Agent、SNMP、SSH。</w:t>
            </w:r>
          </w:p>
        </w:tc>
        <w:tc>
          <w:tcPr>
            <w:tcW w:w="1156" w:type="dxa"/>
            <w:vAlign w:val="center"/>
          </w:tcPr>
          <w:p w14:paraId="2AEB1B6A">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7059CDCD">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0098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71C41E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97" w:type="dxa"/>
            <w:vAlign w:val="center"/>
          </w:tcPr>
          <w:p w14:paraId="08DE5B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监控数据指标要求</w:t>
            </w:r>
          </w:p>
        </w:tc>
        <w:tc>
          <w:tcPr>
            <w:tcW w:w="4713" w:type="dxa"/>
            <w:vAlign w:val="center"/>
          </w:tcPr>
          <w:p w14:paraId="4C4AB976">
            <w:pPr>
              <w:widowControl/>
              <w:spacing w:line="400" w:lineRule="exact"/>
              <w:contextualSpacing/>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windows实例指标（附表1）；</w:t>
            </w:r>
          </w:p>
          <w:p w14:paraId="1E90D2F3">
            <w:pPr>
              <w:widowControl w:val="0"/>
              <w:ind w:left="0" w:leftChars="0" w:firstLine="0" w:firstLineChars="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Linux实例</w:t>
            </w:r>
            <w:r>
              <w:rPr>
                <w:rFonts w:hint="eastAsia" w:ascii="宋体" w:hAnsi="宋体" w:eastAsia="宋体" w:cs="宋体"/>
                <w:kern w:val="0"/>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附表2</w:t>
            </w:r>
            <w:r>
              <w:rPr>
                <w:rFonts w:hint="eastAsia" w:ascii="宋体" w:hAnsi="宋体" w:eastAsia="宋体" w:cs="宋体"/>
                <w:kern w:val="0"/>
                <w:sz w:val="21"/>
                <w:szCs w:val="21"/>
                <w:highlight w:val="none"/>
                <w:lang w:val="en-US" w:eastAsia="zh-CN" w:bidi="ar-SA"/>
              </w:rPr>
              <w:t>)；</w:t>
            </w:r>
          </w:p>
          <w:p w14:paraId="4F34409C">
            <w:pPr>
              <w:widowControl w:val="0"/>
              <w:ind w:left="0" w:leftChars="0" w:firstLine="0" w:firstLineChars="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Aix实例</w:t>
            </w:r>
            <w:r>
              <w:rPr>
                <w:rFonts w:hint="eastAsia" w:ascii="宋体" w:hAnsi="宋体" w:eastAsia="宋体" w:cs="宋体"/>
                <w:kern w:val="0"/>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附表3</w:t>
            </w:r>
            <w:r>
              <w:rPr>
                <w:rFonts w:hint="eastAsia" w:ascii="宋体" w:hAnsi="宋体" w:eastAsia="宋体" w:cs="宋体"/>
                <w:kern w:val="0"/>
                <w:sz w:val="21"/>
                <w:szCs w:val="21"/>
                <w:highlight w:val="none"/>
                <w:lang w:val="en-US" w:eastAsia="zh-CN" w:bidi="ar-SA"/>
              </w:rPr>
              <w:t>)；</w:t>
            </w:r>
          </w:p>
          <w:p w14:paraId="0700C35F">
            <w:pPr>
              <w:widowControl w:val="0"/>
              <w:ind w:left="0" w:leftChars="0" w:firstLine="0" w:firstLineChars="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Exsi</w:t>
            </w:r>
            <w:r>
              <w:rPr>
                <w:rFonts w:hint="eastAsia" w:ascii="宋体" w:hAnsi="宋体" w:eastAsia="宋体" w:cs="宋体"/>
                <w:kern w:val="0"/>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附表4</w:t>
            </w:r>
            <w:r>
              <w:rPr>
                <w:rFonts w:hint="eastAsia" w:ascii="宋体" w:hAnsi="宋体" w:eastAsia="宋体" w:cs="宋体"/>
                <w:kern w:val="0"/>
                <w:sz w:val="21"/>
                <w:szCs w:val="21"/>
                <w:highlight w:val="none"/>
                <w:lang w:val="en-US" w:eastAsia="zh-CN" w:bidi="ar-SA"/>
              </w:rPr>
              <w:t>)；</w:t>
            </w:r>
          </w:p>
          <w:p w14:paraId="4244C8B7">
            <w:pPr>
              <w:widowControl w:val="0"/>
              <w:ind w:left="0" w:leftChars="0" w:firstLine="0" w:firstLineChars="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推送至多云运维平台(</w:t>
            </w:r>
            <w:r>
              <w:rPr>
                <w:rFonts w:hint="eastAsia" w:ascii="宋体" w:hAnsi="宋体" w:eastAsia="宋体" w:cs="宋体"/>
                <w:kern w:val="2"/>
                <w:sz w:val="21"/>
                <w:szCs w:val="21"/>
                <w:highlight w:val="none"/>
                <w:lang w:val="en-US" w:eastAsia="zh-CN" w:bidi="ar-SA"/>
              </w:rPr>
              <w:t>附件7</w:t>
            </w:r>
            <w:r>
              <w:rPr>
                <w:rFonts w:hint="eastAsia" w:ascii="宋体" w:hAnsi="宋体" w:eastAsia="宋体" w:cs="宋体"/>
                <w:kern w:val="0"/>
                <w:sz w:val="21"/>
                <w:szCs w:val="21"/>
                <w:highlight w:val="none"/>
                <w:lang w:val="en-US" w:eastAsia="zh-CN" w:bidi="ar-SA"/>
              </w:rPr>
              <w:t>)</w:t>
            </w:r>
          </w:p>
        </w:tc>
        <w:tc>
          <w:tcPr>
            <w:tcW w:w="1156" w:type="dxa"/>
            <w:vAlign w:val="center"/>
          </w:tcPr>
          <w:p w14:paraId="7CA82AC0">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4DD22402">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1D1E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021E0F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197" w:type="dxa"/>
            <w:vAlign w:val="center"/>
          </w:tcPr>
          <w:p w14:paraId="70788F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配置数据指标</w:t>
            </w:r>
          </w:p>
        </w:tc>
        <w:tc>
          <w:tcPr>
            <w:tcW w:w="4713" w:type="dxa"/>
            <w:vAlign w:val="center"/>
          </w:tcPr>
          <w:p w14:paraId="33338F6D">
            <w:pPr>
              <w:widowControl/>
              <w:spacing w:line="400" w:lineRule="exact"/>
              <w:contextualSpacing/>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见</w:t>
            </w:r>
            <w:r>
              <w:rPr>
                <w:rFonts w:hint="eastAsia" w:ascii="宋体" w:hAnsi="宋体" w:eastAsia="宋体" w:cs="宋体"/>
                <w:sz w:val="21"/>
                <w:szCs w:val="21"/>
                <w:highlight w:val="none"/>
                <w:lang w:val="en-US" w:eastAsia="zh-CN"/>
              </w:rPr>
              <w:t>附表5</w:t>
            </w:r>
          </w:p>
        </w:tc>
        <w:tc>
          <w:tcPr>
            <w:tcW w:w="1156" w:type="dxa"/>
            <w:vAlign w:val="center"/>
          </w:tcPr>
          <w:p w14:paraId="33BE2E37">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7D316687">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0CEE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5BBBCB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197" w:type="dxa"/>
            <w:vAlign w:val="center"/>
          </w:tcPr>
          <w:p w14:paraId="480B43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事件数据指标</w:t>
            </w:r>
          </w:p>
        </w:tc>
        <w:tc>
          <w:tcPr>
            <w:tcW w:w="4713" w:type="dxa"/>
            <w:vAlign w:val="center"/>
          </w:tcPr>
          <w:p w14:paraId="23DFD5D5">
            <w:pPr>
              <w:widowControl/>
              <w:spacing w:line="400" w:lineRule="exact"/>
              <w:contextualSpacing/>
              <w:jc w:val="left"/>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rPr>
              <w:t>见</w:t>
            </w:r>
            <w:r>
              <w:rPr>
                <w:rFonts w:hint="eastAsia" w:ascii="宋体" w:hAnsi="宋体" w:eastAsia="宋体" w:cs="宋体"/>
                <w:sz w:val="21"/>
                <w:szCs w:val="21"/>
                <w:highlight w:val="none"/>
                <w:lang w:val="en-US" w:eastAsia="zh-CN"/>
              </w:rPr>
              <w:t>附表6</w:t>
            </w:r>
          </w:p>
        </w:tc>
        <w:tc>
          <w:tcPr>
            <w:tcW w:w="1156" w:type="dxa"/>
            <w:vAlign w:val="center"/>
          </w:tcPr>
          <w:p w14:paraId="6BDD27EA">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0028B580">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r w14:paraId="0E0B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4E650C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197" w:type="dxa"/>
            <w:vAlign w:val="center"/>
          </w:tcPr>
          <w:p w14:paraId="585072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数据推送规范要求</w:t>
            </w:r>
          </w:p>
        </w:tc>
        <w:tc>
          <w:tcPr>
            <w:tcW w:w="4713" w:type="dxa"/>
            <w:vAlign w:val="center"/>
          </w:tcPr>
          <w:p w14:paraId="0398B29E">
            <w:pPr>
              <w:widowControl/>
              <w:spacing w:line="400" w:lineRule="exact"/>
              <w:contextualSpacing/>
              <w:jc w:val="left"/>
              <w:rPr>
                <w:rFonts w:hint="eastAsia" w:ascii="宋体" w:hAnsi="宋体" w:eastAsia="宋体" w:cs="宋体"/>
                <w:sz w:val="21"/>
                <w:szCs w:val="21"/>
                <w:highlight w:val="none"/>
                <w:lang w:eastAsia="zh-CN"/>
              </w:rPr>
            </w:pPr>
            <w:r>
              <w:rPr>
                <w:rFonts w:hint="eastAsia" w:ascii="宋体" w:hAnsi="宋体" w:eastAsia="宋体" w:cs="宋体"/>
                <w:b w:val="0"/>
                <w:bCs w:val="0"/>
                <w:sz w:val="21"/>
                <w:szCs w:val="21"/>
                <w:highlight w:val="none"/>
              </w:rPr>
              <w:t>将</w:t>
            </w:r>
            <w:r>
              <w:rPr>
                <w:rFonts w:hint="eastAsia" w:ascii="宋体" w:hAnsi="宋体" w:eastAsia="宋体" w:cs="宋体"/>
                <w:b w:val="0"/>
                <w:bCs w:val="0"/>
                <w:sz w:val="21"/>
                <w:szCs w:val="21"/>
                <w:highlight w:val="none"/>
                <w:lang w:val="en-US" w:eastAsia="zh-CN"/>
              </w:rPr>
              <w:t>采集到的</w:t>
            </w:r>
            <w:r>
              <w:rPr>
                <w:rFonts w:hint="eastAsia" w:ascii="宋体" w:hAnsi="宋体" w:eastAsia="宋体" w:cs="宋体"/>
                <w:b w:val="0"/>
                <w:bCs w:val="0"/>
                <w:sz w:val="21"/>
                <w:szCs w:val="21"/>
                <w:highlight w:val="none"/>
              </w:rPr>
              <w:t>监控数据</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配置数据</w:t>
            </w:r>
            <w:r>
              <w:rPr>
                <w:rFonts w:hint="eastAsia" w:ascii="宋体" w:hAnsi="宋体" w:eastAsia="宋体" w:cs="宋体"/>
                <w:b w:val="0"/>
                <w:bCs w:val="0"/>
                <w:sz w:val="21"/>
                <w:szCs w:val="21"/>
                <w:highlight w:val="none"/>
                <w:lang w:eastAsia="zh-CN"/>
              </w:rPr>
              <w:t>和事件数据按照</w:t>
            </w:r>
            <w:r>
              <w:rPr>
                <w:rFonts w:hint="eastAsia" w:ascii="宋体" w:hAnsi="宋体" w:eastAsia="宋体" w:cs="宋体"/>
                <w:b w:val="0"/>
                <w:bCs w:val="0"/>
                <w:sz w:val="21"/>
                <w:szCs w:val="21"/>
                <w:highlight w:val="none"/>
                <w:lang w:val="en-US" w:eastAsia="zh-CN"/>
              </w:rPr>
              <w:t>统一</w:t>
            </w:r>
            <w:r>
              <w:rPr>
                <w:rFonts w:hint="eastAsia" w:ascii="宋体" w:hAnsi="宋体" w:eastAsia="宋体" w:cs="宋体"/>
                <w:b w:val="0"/>
                <w:bCs w:val="0"/>
                <w:sz w:val="21"/>
                <w:szCs w:val="21"/>
                <w:highlight w:val="none"/>
              </w:rPr>
              <w:t>规范接入</w:t>
            </w:r>
            <w:r>
              <w:rPr>
                <w:rFonts w:hint="eastAsia" w:ascii="宋体" w:hAnsi="宋体" w:eastAsia="宋体" w:cs="宋体"/>
                <w:b w:val="0"/>
                <w:bCs w:val="0"/>
                <w:sz w:val="21"/>
                <w:szCs w:val="21"/>
                <w:highlight w:val="none"/>
                <w:lang w:eastAsia="zh-CN"/>
              </w:rPr>
              <w:t>数据总线，实现对应数据落入省局</w:t>
            </w:r>
            <w:r>
              <w:rPr>
                <w:rFonts w:hint="eastAsia" w:ascii="宋体" w:hAnsi="宋体" w:eastAsia="宋体" w:cs="宋体"/>
                <w:b w:val="0"/>
                <w:bCs w:val="0"/>
                <w:sz w:val="21"/>
                <w:szCs w:val="21"/>
                <w:highlight w:val="none"/>
                <w:lang w:val="en-US" w:eastAsia="zh-CN"/>
              </w:rPr>
              <w:t>多云</w:t>
            </w:r>
            <w:r>
              <w:rPr>
                <w:rFonts w:hint="eastAsia" w:ascii="宋体" w:hAnsi="宋体" w:eastAsia="宋体" w:cs="宋体"/>
                <w:b w:val="0"/>
                <w:bCs w:val="0"/>
                <w:sz w:val="21"/>
                <w:szCs w:val="21"/>
                <w:highlight w:val="none"/>
                <w:lang w:eastAsia="zh-CN"/>
              </w:rPr>
              <w:t>运维平台配置库、监控库和事件库内</w:t>
            </w:r>
            <w:r>
              <w:rPr>
                <w:rFonts w:hint="eastAsia" w:ascii="宋体" w:hAnsi="宋体" w:eastAsia="宋体" w:cs="宋体"/>
                <w:b w:val="0"/>
                <w:bCs w:val="0"/>
                <w:sz w:val="21"/>
                <w:szCs w:val="21"/>
                <w:highlight w:val="none"/>
              </w:rPr>
              <w:t>，实现</w:t>
            </w:r>
            <w:r>
              <w:rPr>
                <w:rFonts w:hint="eastAsia" w:ascii="宋体" w:hAnsi="宋体" w:eastAsia="宋体" w:cs="宋体"/>
                <w:b w:val="0"/>
                <w:bCs w:val="0"/>
                <w:sz w:val="21"/>
                <w:szCs w:val="21"/>
                <w:highlight w:val="none"/>
                <w:lang w:eastAsia="zh-CN"/>
              </w:rPr>
              <w:t>基础资源的</w:t>
            </w:r>
            <w:r>
              <w:rPr>
                <w:rFonts w:hint="eastAsia" w:ascii="宋体" w:hAnsi="宋体" w:eastAsia="宋体" w:cs="宋体"/>
                <w:b w:val="0"/>
                <w:bCs w:val="0"/>
                <w:sz w:val="21"/>
                <w:szCs w:val="21"/>
                <w:highlight w:val="none"/>
              </w:rPr>
              <w:t>统一监控</w:t>
            </w:r>
            <w:r>
              <w:rPr>
                <w:rFonts w:hint="eastAsia" w:ascii="宋体" w:hAnsi="宋体" w:eastAsia="宋体" w:cs="宋体"/>
                <w:b w:val="0"/>
                <w:bCs w:val="0"/>
                <w:sz w:val="21"/>
                <w:szCs w:val="21"/>
                <w:highlight w:val="none"/>
                <w:lang w:eastAsia="zh-CN"/>
              </w:rPr>
              <w:t>，并将配置数据和部分分析数据同步至总局运维平台</w:t>
            </w:r>
            <w:r>
              <w:rPr>
                <w:rFonts w:hint="eastAsia" w:ascii="宋体" w:hAnsi="宋体" w:eastAsia="宋体" w:cs="宋体"/>
                <w:sz w:val="21"/>
                <w:szCs w:val="21"/>
                <w:highlight w:val="none"/>
                <w:lang w:eastAsia="zh-CN"/>
              </w:rPr>
              <w:t>。</w:t>
            </w:r>
          </w:p>
          <w:p w14:paraId="67EC953E">
            <w:pPr>
              <w:pageBreakBefore w:val="0"/>
              <w:widowControl/>
              <w:kinsoku/>
              <w:wordWrap/>
              <w:overflowPunct/>
              <w:topLinePunct w:val="0"/>
              <w:autoSpaceDE/>
              <w:autoSpaceDN/>
              <w:bidi w:val="0"/>
              <w:adjustRightInd/>
              <w:snapToGrid/>
              <w:spacing w:line="400" w:lineRule="exact"/>
              <w:ind w:left="0" w:firstLine="0" w:firstLineChars="0"/>
              <w:contextualSpacing/>
              <w:jc w:val="left"/>
              <w:textAlignment w:val="auto"/>
              <w:rPr>
                <w:rFonts w:hint="eastAsia" w:ascii="宋体" w:hAnsi="宋体" w:eastAsia="宋体" w:cs="宋体"/>
                <w:b w:val="0"/>
                <w:bCs w:val="0"/>
                <w:sz w:val="21"/>
                <w:szCs w:val="21"/>
                <w:highlight w:val="none"/>
              </w:rPr>
            </w:pPr>
            <w:bookmarkStart w:id="48" w:name="_Toc162883215"/>
            <w:bookmarkStart w:id="49" w:name="_Toc162884220"/>
            <w:bookmarkStart w:id="50" w:name="_Toc162883306"/>
            <w:bookmarkStart w:id="51" w:name="_Toc162884279"/>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接入方式</w:t>
            </w:r>
            <w:bookmarkEnd w:id="48"/>
            <w:bookmarkEnd w:id="49"/>
            <w:bookmarkEnd w:id="50"/>
            <w:bookmarkEnd w:id="51"/>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以JSON格式推送至运维平台数据总线（Kafka）。</w:t>
            </w:r>
          </w:p>
          <w:p w14:paraId="6579F2EA">
            <w:pPr>
              <w:pageBreakBefore w:val="0"/>
              <w:widowControl/>
              <w:kinsoku/>
              <w:wordWrap/>
              <w:overflowPunct/>
              <w:topLinePunct w:val="0"/>
              <w:autoSpaceDE/>
              <w:autoSpaceDN/>
              <w:bidi w:val="0"/>
              <w:adjustRightInd/>
              <w:snapToGrid/>
              <w:spacing w:line="400" w:lineRule="exact"/>
              <w:ind w:left="0" w:firstLine="0" w:firstLineChars="0"/>
              <w:contextualSpacing/>
              <w:jc w:val="left"/>
              <w:textAlignment w:val="auto"/>
              <w:rPr>
                <w:rFonts w:hint="eastAsia" w:ascii="宋体" w:hAnsi="宋体" w:eastAsia="宋体" w:cs="宋体"/>
                <w:b w:val="0"/>
                <w:bCs w:val="0"/>
                <w:sz w:val="21"/>
                <w:szCs w:val="21"/>
                <w:highlight w:val="none"/>
              </w:rPr>
            </w:pPr>
            <w:bookmarkStart w:id="52" w:name="_Toc162884221"/>
            <w:bookmarkStart w:id="53" w:name="_Toc162883307"/>
            <w:bookmarkStart w:id="54" w:name="_Toc162883216"/>
            <w:bookmarkStart w:id="55" w:name="_Toc162884280"/>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接入要求</w:t>
            </w:r>
            <w:bookmarkEnd w:id="52"/>
            <w:bookmarkEnd w:id="53"/>
            <w:bookmarkEnd w:id="54"/>
            <w:bookmarkEnd w:id="55"/>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①在进行数据接入前，先接入其源资源数据</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配置数据</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②在进行数据接入时，数据中必须包含其源资源的资源编号（resId）。</w:t>
            </w:r>
          </w:p>
          <w:p w14:paraId="3B59CC90">
            <w:pPr>
              <w:widowControl/>
              <w:spacing w:line="400" w:lineRule="exact"/>
              <w:contextualSpacing/>
              <w:jc w:val="left"/>
              <w:rPr>
                <w:rFonts w:hint="eastAsia" w:ascii="宋体" w:hAnsi="宋体" w:eastAsia="宋体" w:cs="宋体"/>
                <w:sz w:val="21"/>
                <w:szCs w:val="21"/>
                <w:highlight w:val="none"/>
                <w:lang w:val="en-US"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监控数据应保证实时性，监控数据采集频率5秒，最低不得低于1分钟，并实时推送运维平台数据总线。</w:t>
            </w:r>
          </w:p>
        </w:tc>
        <w:tc>
          <w:tcPr>
            <w:tcW w:w="1156" w:type="dxa"/>
            <w:vAlign w:val="center"/>
          </w:tcPr>
          <w:p w14:paraId="703ACA00">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189" w:type="dxa"/>
            <w:vAlign w:val="center"/>
          </w:tcPr>
          <w:p w14:paraId="3FD15624">
            <w:pPr>
              <w:widowControl/>
              <w:spacing w:line="400" w:lineRule="exact"/>
              <w:ind w:firstLine="0" w:firstLineChars="0"/>
              <w:contextualSpacing/>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否</w:t>
            </w:r>
          </w:p>
        </w:tc>
      </w:tr>
    </w:tbl>
    <w:p w14:paraId="448C0DF2">
      <w:pPr>
        <w:pStyle w:val="2"/>
        <w:rPr>
          <w:rFonts w:hint="eastAsia" w:ascii="宋体" w:hAnsi="宋体" w:eastAsia="宋体" w:cs="宋体"/>
          <w:sz w:val="21"/>
          <w:szCs w:val="21"/>
          <w:highlight w:val="none"/>
        </w:rPr>
      </w:pPr>
    </w:p>
    <w:p w14:paraId="6412F8FE">
      <w:pPr>
        <w:keepNext w:val="0"/>
        <w:keepLines w:val="0"/>
        <w:pageBreakBefore w:val="0"/>
        <w:widowControl w:val="0"/>
        <w:kinsoku/>
        <w:wordWrap/>
        <w:overflowPunct/>
        <w:topLinePunct w:val="0"/>
        <w:autoSpaceDE/>
        <w:autoSpaceDN/>
        <w:bidi w:val="0"/>
        <w:adjustRightInd w:val="0"/>
        <w:snapToGrid w:val="0"/>
        <w:spacing w:before="157" w:beforeLines="50" w:afterLines="0"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、商务要求</w:t>
      </w:r>
    </w:p>
    <w:p w14:paraId="49518F3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商务</w:t>
      </w:r>
      <w:r>
        <w:rPr>
          <w:rFonts w:hint="eastAsia" w:ascii="宋体" w:hAnsi="宋体" w:eastAsia="宋体" w:cs="宋体"/>
          <w:b w:val="0"/>
          <w:color w:val="auto"/>
          <w:kern w:val="2"/>
          <w:sz w:val="21"/>
          <w:szCs w:val="21"/>
          <w:highlight w:val="none"/>
          <w:lang w:val="en-US" w:eastAsia="zh-CN" w:bidi="ar-SA"/>
        </w:rPr>
        <w:t>要求中有标注★号的，为必备服务要求，必须满足，如未作出响应，将导致投标无效。#为重要服务内容、</w:t>
      </w:r>
      <w:r>
        <w:rPr>
          <w:rFonts w:hint="eastAsia" w:ascii="宋体" w:hAnsi="宋体" w:cs="宋体"/>
          <w:szCs w:val="21"/>
          <w:highlight w:val="none"/>
        </w:rPr>
        <w:t>△</w:t>
      </w:r>
      <w:r>
        <w:rPr>
          <w:rFonts w:hint="eastAsia" w:ascii="宋体" w:hAnsi="宋体" w:eastAsia="宋体" w:cs="宋体"/>
          <w:b w:val="0"/>
          <w:color w:val="auto"/>
          <w:kern w:val="2"/>
          <w:sz w:val="21"/>
          <w:szCs w:val="21"/>
          <w:highlight w:val="none"/>
          <w:lang w:val="en-US" w:eastAsia="zh-CN" w:bidi="ar-SA"/>
        </w:rPr>
        <w:t>为一般服务内容。“证明材料要求”项注明了材料要求的，投标人须按要求提供包含相关指标项的证明材料，未提供有效证明材料或证明材料中内容与所填报指标不一致的，该指标按不满足处理。</w:t>
      </w:r>
    </w:p>
    <w:p w14:paraId="46439439">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4.1服务人员要求</w:t>
      </w:r>
    </w:p>
    <w:p w14:paraId="4D671DF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应为本项目提供一个固定的服务团队，提供7×24小时服务响应。服务团队应建立高效稳定的人员组织构架，明确各岗位人员的工作职责。建立人员管理制度，采取保障措施加强人员稳定性，确保服务团队提供优质</w:t>
      </w:r>
      <w:r>
        <w:rPr>
          <w:rFonts w:hint="eastAsia" w:ascii="宋体" w:hAnsi="宋体" w:eastAsia="宋体" w:cs="宋体"/>
          <w:b w:val="0"/>
          <w:color w:val="auto"/>
          <w:kern w:val="2"/>
          <w:sz w:val="21"/>
          <w:szCs w:val="21"/>
          <w:highlight w:val="none"/>
          <w:lang w:val="en-US" w:eastAsia="zh-CN" w:bidi="ar-SA"/>
        </w:rPr>
        <w:t>高效</w:t>
      </w:r>
      <w:r>
        <w:rPr>
          <w:rFonts w:hint="eastAsia" w:ascii="宋体" w:hAnsi="宋体" w:eastAsia="宋体" w:cs="宋体"/>
          <w:b w:val="0"/>
          <w:bCs w:val="0"/>
          <w:color w:val="auto"/>
          <w:sz w:val="21"/>
          <w:szCs w:val="21"/>
          <w:highlight w:val="none"/>
          <w:lang w:val="en-US" w:eastAsia="zh-CN"/>
        </w:rPr>
        <w:t>的服务。其中，现场服务是指运维人员在对设备进行维护操作时需要到设备现场进行服务；驻场服务是指在服务期内，运维人员需全职在数据中心提供7×24小时驻场服务并接受采购人的统一管理。</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97"/>
        <w:gridCol w:w="4713"/>
        <w:gridCol w:w="1156"/>
        <w:gridCol w:w="1189"/>
      </w:tblGrid>
      <w:tr w14:paraId="0682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0CBC28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97" w:type="dxa"/>
            <w:vAlign w:val="center"/>
          </w:tcPr>
          <w:p w14:paraId="4B8DC7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713" w:type="dxa"/>
            <w:vAlign w:val="center"/>
          </w:tcPr>
          <w:p w14:paraId="448153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156" w:type="dxa"/>
            <w:vAlign w:val="center"/>
          </w:tcPr>
          <w:p w14:paraId="6682D3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0C75F0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59FF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Merge w:val="restart"/>
            <w:vAlign w:val="center"/>
          </w:tcPr>
          <w:p w14:paraId="32E007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bCs/>
                <w:sz w:val="21"/>
                <w:szCs w:val="21"/>
                <w:highlight w:val="none"/>
              </w:rPr>
              <w:t>1</w:t>
            </w:r>
          </w:p>
        </w:tc>
        <w:tc>
          <w:tcPr>
            <w:tcW w:w="1197" w:type="dxa"/>
            <w:vMerge w:val="restart"/>
            <w:vAlign w:val="center"/>
          </w:tcPr>
          <w:p w14:paraId="687B0B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运维岗位要求</w:t>
            </w:r>
          </w:p>
        </w:tc>
        <w:tc>
          <w:tcPr>
            <w:tcW w:w="4713" w:type="dxa"/>
            <w:vAlign w:val="center"/>
          </w:tcPr>
          <w:p w14:paraId="35C272B4">
            <w:pPr>
              <w:widowControl w:val="0"/>
              <w:spacing w:line="400" w:lineRule="exact"/>
              <w:ind w:firstLine="0" w:firstLineChars="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项目经理岗，作为项目负责人，负责项目的总体协调和把控，负责服务团队的管理，负责与采购人的沟通协调和工作汇报。</w:t>
            </w:r>
          </w:p>
        </w:tc>
        <w:tc>
          <w:tcPr>
            <w:tcW w:w="1156" w:type="dxa"/>
            <w:vMerge w:val="restart"/>
            <w:vAlign w:val="center"/>
          </w:tcPr>
          <w:p w14:paraId="661A91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Merge w:val="restart"/>
            <w:vAlign w:val="center"/>
          </w:tcPr>
          <w:p w14:paraId="26A4BA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zh-CN" w:eastAsia="zh-CN"/>
              </w:rPr>
              <w:t>承诺</w:t>
            </w:r>
            <w:r>
              <w:rPr>
                <w:rFonts w:hint="eastAsia" w:ascii="宋体" w:hAnsi="宋体" w:eastAsia="宋体" w:cs="宋体"/>
                <w:sz w:val="21"/>
                <w:szCs w:val="21"/>
                <w:highlight w:val="none"/>
                <w:lang w:val="en-US" w:eastAsia="zh-CN"/>
              </w:rPr>
              <w:t>函</w:t>
            </w:r>
            <w:r>
              <w:rPr>
                <w:rFonts w:hint="eastAsia" w:ascii="宋体" w:hAnsi="宋体" w:eastAsia="宋体" w:cs="宋体"/>
                <w:sz w:val="21"/>
                <w:szCs w:val="21"/>
                <w:highlight w:val="none"/>
                <w:lang w:val="zh-CN" w:eastAsia="zh-CN"/>
              </w:rPr>
              <w:t>并盖投标人公章</w:t>
            </w:r>
          </w:p>
        </w:tc>
      </w:tr>
      <w:tr w14:paraId="4D32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Merge w:val="continue"/>
            <w:vAlign w:val="center"/>
          </w:tcPr>
          <w:p w14:paraId="0EBE2B54">
            <w:pPr>
              <w:widowControl/>
              <w:spacing w:line="400" w:lineRule="exact"/>
              <w:contextualSpacing/>
              <w:jc w:val="center"/>
              <w:rPr>
                <w:rFonts w:hint="eastAsia" w:ascii="宋体" w:hAnsi="宋体" w:eastAsia="宋体" w:cs="宋体"/>
                <w:bCs/>
                <w:sz w:val="21"/>
                <w:szCs w:val="21"/>
                <w:highlight w:val="none"/>
              </w:rPr>
            </w:pPr>
          </w:p>
        </w:tc>
        <w:tc>
          <w:tcPr>
            <w:tcW w:w="1197" w:type="dxa"/>
            <w:vMerge w:val="continue"/>
            <w:vAlign w:val="center"/>
          </w:tcPr>
          <w:p w14:paraId="60ADF6DE">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50F8BC2B">
            <w:pPr>
              <w:widowControl w:val="0"/>
              <w:spacing w:line="400" w:lineRule="exact"/>
              <w:ind w:firstLine="0" w:firstLineChars="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强电经理岗，作为强电项目负责人，负责强电相关工作的统筹安排。</w:t>
            </w:r>
          </w:p>
        </w:tc>
        <w:tc>
          <w:tcPr>
            <w:tcW w:w="1156" w:type="dxa"/>
            <w:vMerge w:val="continue"/>
            <w:vAlign w:val="center"/>
          </w:tcPr>
          <w:p w14:paraId="53034BBD">
            <w:pPr>
              <w:widowControl/>
              <w:spacing w:line="400" w:lineRule="exact"/>
              <w:contextualSpacing/>
              <w:textAlignment w:val="center"/>
              <w:rPr>
                <w:rFonts w:hint="eastAsia" w:ascii="宋体" w:hAnsi="宋体" w:eastAsia="宋体" w:cs="宋体"/>
                <w:sz w:val="21"/>
                <w:szCs w:val="21"/>
                <w:highlight w:val="none"/>
              </w:rPr>
            </w:pPr>
          </w:p>
        </w:tc>
        <w:tc>
          <w:tcPr>
            <w:tcW w:w="1189" w:type="dxa"/>
            <w:vMerge w:val="continue"/>
            <w:vAlign w:val="center"/>
          </w:tcPr>
          <w:p w14:paraId="38F1B895">
            <w:pPr>
              <w:widowControl/>
              <w:spacing w:line="400" w:lineRule="exact"/>
              <w:contextualSpacing/>
              <w:textAlignment w:val="center"/>
              <w:rPr>
                <w:rFonts w:hint="eastAsia" w:ascii="宋体" w:hAnsi="宋体" w:eastAsia="宋体" w:cs="宋体"/>
                <w:sz w:val="21"/>
                <w:szCs w:val="21"/>
                <w:highlight w:val="none"/>
              </w:rPr>
            </w:pPr>
          </w:p>
        </w:tc>
      </w:tr>
      <w:tr w14:paraId="3A7D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14C5AAC4">
            <w:pPr>
              <w:widowControl/>
              <w:spacing w:line="400" w:lineRule="exact"/>
              <w:contextualSpacing/>
              <w:jc w:val="center"/>
              <w:rPr>
                <w:rFonts w:hint="eastAsia" w:ascii="宋体" w:hAnsi="宋体" w:eastAsia="宋体" w:cs="宋体"/>
                <w:kern w:val="0"/>
                <w:sz w:val="21"/>
                <w:szCs w:val="21"/>
                <w:highlight w:val="none"/>
              </w:rPr>
            </w:pPr>
          </w:p>
        </w:tc>
        <w:tc>
          <w:tcPr>
            <w:tcW w:w="1197" w:type="dxa"/>
            <w:vMerge w:val="continue"/>
            <w:vAlign w:val="center"/>
          </w:tcPr>
          <w:p w14:paraId="4194AACA">
            <w:pPr>
              <w:widowControl/>
              <w:spacing w:line="400" w:lineRule="exact"/>
              <w:contextualSpacing/>
              <w:jc w:val="left"/>
              <w:rPr>
                <w:rFonts w:hint="eastAsia" w:ascii="宋体" w:hAnsi="宋体" w:eastAsia="宋体" w:cs="宋体"/>
                <w:kern w:val="0"/>
                <w:sz w:val="21"/>
                <w:szCs w:val="21"/>
                <w:highlight w:val="none"/>
                <w:lang w:val="en-US"/>
              </w:rPr>
            </w:pPr>
          </w:p>
        </w:tc>
        <w:tc>
          <w:tcPr>
            <w:tcW w:w="4713" w:type="dxa"/>
            <w:vAlign w:val="center"/>
          </w:tcPr>
          <w:p w14:paraId="1E4A1CEB">
            <w:pPr>
              <w:widowControl/>
              <w:spacing w:line="400" w:lineRule="exact"/>
              <w:contextualSpacing/>
              <w:jc w:val="left"/>
              <w:rPr>
                <w:rFonts w:hint="eastAsia" w:ascii="宋体" w:hAnsi="宋体" w:eastAsia="宋体" w:cs="宋体"/>
                <w:kern w:val="0"/>
                <w:sz w:val="21"/>
                <w:szCs w:val="21"/>
                <w:highlight w:val="none"/>
                <w:lang w:eastAsia="zh-CN"/>
              </w:rPr>
            </w:pPr>
            <w:r>
              <w:rPr>
                <w:rFonts w:hint="eastAsia" w:ascii="宋体" w:hAnsi="宋体" w:eastAsia="宋体" w:cs="宋体"/>
                <w:sz w:val="21"/>
                <w:szCs w:val="21"/>
                <w:highlight w:val="none"/>
              </w:rPr>
              <w:t>驻场经理岗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作为</w:t>
            </w:r>
            <w:r>
              <w:rPr>
                <w:rFonts w:hint="eastAsia" w:ascii="宋体" w:hAnsi="宋体" w:eastAsia="宋体" w:cs="宋体"/>
                <w:sz w:val="21"/>
                <w:szCs w:val="21"/>
                <w:highlight w:val="none"/>
              </w:rPr>
              <w:t>驻场团队负责人，负责驻场团队相关工作的统筹安排。</w:t>
            </w:r>
          </w:p>
        </w:tc>
        <w:tc>
          <w:tcPr>
            <w:tcW w:w="1156" w:type="dxa"/>
            <w:vMerge w:val="continue"/>
            <w:vAlign w:val="center"/>
          </w:tcPr>
          <w:p w14:paraId="2E5AB0E5">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7B7EAF3C">
            <w:pPr>
              <w:widowControl/>
              <w:spacing w:line="400" w:lineRule="exact"/>
              <w:contextualSpacing/>
              <w:jc w:val="left"/>
              <w:rPr>
                <w:rFonts w:hint="eastAsia" w:ascii="宋体" w:hAnsi="宋体" w:eastAsia="宋体" w:cs="宋体"/>
                <w:kern w:val="0"/>
                <w:sz w:val="21"/>
                <w:szCs w:val="21"/>
                <w:highlight w:val="none"/>
              </w:rPr>
            </w:pPr>
          </w:p>
        </w:tc>
      </w:tr>
      <w:tr w14:paraId="4001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4D54249D">
            <w:pPr>
              <w:widowControl/>
              <w:spacing w:line="400" w:lineRule="exact"/>
              <w:contextualSpacing/>
              <w:jc w:val="center"/>
              <w:rPr>
                <w:rFonts w:hint="eastAsia" w:ascii="宋体" w:hAnsi="宋体" w:eastAsia="宋体" w:cs="宋体"/>
                <w:kern w:val="0"/>
                <w:sz w:val="21"/>
                <w:szCs w:val="21"/>
                <w:highlight w:val="none"/>
              </w:rPr>
            </w:pPr>
          </w:p>
        </w:tc>
        <w:tc>
          <w:tcPr>
            <w:tcW w:w="1197" w:type="dxa"/>
            <w:vMerge w:val="continue"/>
            <w:vAlign w:val="center"/>
          </w:tcPr>
          <w:p w14:paraId="642D9E1D">
            <w:pPr>
              <w:widowControl/>
              <w:spacing w:line="400" w:lineRule="exact"/>
              <w:contextualSpacing/>
              <w:jc w:val="left"/>
              <w:textAlignment w:val="center"/>
              <w:rPr>
                <w:rFonts w:hint="eastAsia" w:ascii="宋体" w:hAnsi="宋体" w:eastAsia="宋体" w:cs="宋体"/>
                <w:kern w:val="0"/>
                <w:sz w:val="21"/>
                <w:szCs w:val="21"/>
                <w:highlight w:val="none"/>
                <w:lang w:val="en-US"/>
              </w:rPr>
            </w:pPr>
          </w:p>
        </w:tc>
        <w:tc>
          <w:tcPr>
            <w:tcW w:w="4713" w:type="dxa"/>
            <w:vAlign w:val="center"/>
          </w:tcPr>
          <w:p w14:paraId="735AA7CD">
            <w:pPr>
              <w:widowControl w:val="0"/>
              <w:ind w:left="0" w:leftChars="0" w:firstLine="0" w:firstLineChars="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供配电技术支持岗，为机房供配电系统提供技术支持和运维管理。</w:t>
            </w:r>
          </w:p>
        </w:tc>
        <w:tc>
          <w:tcPr>
            <w:tcW w:w="1156" w:type="dxa"/>
            <w:vMerge w:val="continue"/>
            <w:vAlign w:val="center"/>
          </w:tcPr>
          <w:p w14:paraId="266E3F8F">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326F2FA0">
            <w:pPr>
              <w:widowControl/>
              <w:spacing w:line="400" w:lineRule="exact"/>
              <w:contextualSpacing/>
              <w:jc w:val="left"/>
              <w:rPr>
                <w:rFonts w:hint="eastAsia" w:ascii="宋体" w:hAnsi="宋体" w:eastAsia="宋体" w:cs="宋体"/>
                <w:kern w:val="0"/>
                <w:sz w:val="21"/>
                <w:szCs w:val="21"/>
                <w:highlight w:val="none"/>
              </w:rPr>
            </w:pPr>
          </w:p>
        </w:tc>
      </w:tr>
      <w:tr w14:paraId="2B79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5276D2D3">
            <w:pPr>
              <w:widowControl/>
              <w:spacing w:line="400" w:lineRule="exact"/>
              <w:contextualSpacing/>
              <w:jc w:val="center"/>
              <w:rPr>
                <w:rFonts w:hint="eastAsia" w:ascii="宋体" w:hAnsi="宋体" w:eastAsia="宋体" w:cs="宋体"/>
                <w:kern w:val="0"/>
                <w:sz w:val="21"/>
                <w:szCs w:val="21"/>
                <w:highlight w:val="none"/>
              </w:rPr>
            </w:pPr>
          </w:p>
        </w:tc>
        <w:tc>
          <w:tcPr>
            <w:tcW w:w="1197" w:type="dxa"/>
            <w:vMerge w:val="continue"/>
            <w:vAlign w:val="center"/>
          </w:tcPr>
          <w:p w14:paraId="0BD142C7">
            <w:pPr>
              <w:widowControl/>
              <w:spacing w:line="400" w:lineRule="exact"/>
              <w:contextualSpacing/>
              <w:jc w:val="left"/>
              <w:rPr>
                <w:rFonts w:hint="eastAsia" w:ascii="宋体" w:hAnsi="宋体" w:eastAsia="宋体" w:cs="宋体"/>
                <w:kern w:val="0"/>
                <w:sz w:val="21"/>
                <w:szCs w:val="21"/>
                <w:highlight w:val="none"/>
              </w:rPr>
            </w:pPr>
          </w:p>
        </w:tc>
        <w:tc>
          <w:tcPr>
            <w:tcW w:w="4713" w:type="dxa"/>
            <w:vAlign w:val="center"/>
          </w:tcPr>
          <w:p w14:paraId="7C816DEB">
            <w:pPr>
              <w:widowControl/>
              <w:spacing w:line="400" w:lineRule="exact"/>
              <w:contextualSpacing/>
              <w:jc w:val="left"/>
              <w:rPr>
                <w:rFonts w:hint="eastAsia" w:ascii="宋体" w:hAnsi="宋体" w:eastAsia="宋体" w:cs="宋体"/>
                <w:kern w:val="0"/>
                <w:sz w:val="21"/>
                <w:szCs w:val="21"/>
                <w:highlight w:val="none"/>
                <w:lang w:eastAsia="zh-CN"/>
              </w:rPr>
            </w:pPr>
            <w:r>
              <w:rPr>
                <w:rFonts w:hint="eastAsia" w:ascii="宋体" w:hAnsi="宋体" w:eastAsia="宋体" w:cs="宋体"/>
                <w:sz w:val="21"/>
                <w:szCs w:val="21"/>
                <w:highlight w:val="none"/>
              </w:rPr>
              <w:t>UPS技术支持岗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为机房</w:t>
            </w:r>
            <w:r>
              <w:rPr>
                <w:rFonts w:hint="eastAsia" w:ascii="宋体" w:hAnsi="宋体" w:eastAsia="宋体" w:cs="宋体"/>
                <w:sz w:val="21"/>
                <w:szCs w:val="21"/>
                <w:highlight w:val="none"/>
                <w:lang w:val="en-US" w:eastAsia="zh-CN"/>
              </w:rPr>
              <w:t>UPS</w:t>
            </w:r>
            <w:r>
              <w:rPr>
                <w:rFonts w:hint="eastAsia" w:ascii="宋体" w:hAnsi="宋体" w:eastAsia="宋体" w:cs="宋体"/>
                <w:sz w:val="21"/>
                <w:szCs w:val="21"/>
                <w:highlight w:val="none"/>
              </w:rPr>
              <w:t>系统提供技术支持和运维管理。</w:t>
            </w:r>
          </w:p>
        </w:tc>
        <w:tc>
          <w:tcPr>
            <w:tcW w:w="1156" w:type="dxa"/>
            <w:vMerge w:val="continue"/>
            <w:vAlign w:val="center"/>
          </w:tcPr>
          <w:p w14:paraId="2FDC798B">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0BA7EAAF">
            <w:pPr>
              <w:widowControl/>
              <w:spacing w:line="400" w:lineRule="exact"/>
              <w:contextualSpacing/>
              <w:jc w:val="left"/>
              <w:rPr>
                <w:rFonts w:hint="eastAsia" w:ascii="宋体" w:hAnsi="宋体" w:eastAsia="宋体" w:cs="宋体"/>
                <w:kern w:val="0"/>
                <w:sz w:val="21"/>
                <w:szCs w:val="21"/>
                <w:highlight w:val="none"/>
              </w:rPr>
            </w:pPr>
          </w:p>
        </w:tc>
      </w:tr>
      <w:tr w14:paraId="0DDB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4649FEC7">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36F2B0AA">
            <w:pPr>
              <w:widowControl/>
              <w:spacing w:line="400" w:lineRule="exact"/>
              <w:contextualSpacing/>
              <w:jc w:val="left"/>
              <w:rPr>
                <w:rFonts w:hint="eastAsia" w:ascii="宋体" w:hAnsi="宋体" w:eastAsia="宋体" w:cs="宋体"/>
                <w:kern w:val="0"/>
                <w:sz w:val="21"/>
                <w:szCs w:val="21"/>
                <w:highlight w:val="none"/>
              </w:rPr>
            </w:pPr>
          </w:p>
        </w:tc>
        <w:tc>
          <w:tcPr>
            <w:tcW w:w="4713" w:type="dxa"/>
            <w:vAlign w:val="center"/>
          </w:tcPr>
          <w:p w14:paraId="6AF4CAB3">
            <w:pPr>
              <w:widowControl/>
              <w:spacing w:line="400" w:lineRule="exact"/>
              <w:contextualSpacing/>
              <w:jc w:val="left"/>
              <w:rPr>
                <w:rFonts w:hint="eastAsia" w:ascii="宋体" w:hAnsi="宋体" w:eastAsia="宋体" w:cs="宋体"/>
                <w:kern w:val="0"/>
                <w:sz w:val="21"/>
                <w:szCs w:val="21"/>
                <w:highlight w:val="none"/>
                <w:lang w:val="en-US" w:eastAsia="zh-CN"/>
              </w:rPr>
            </w:pPr>
            <w:r>
              <w:rPr>
                <w:rFonts w:hint="eastAsia" w:ascii="宋体" w:hAnsi="宋体" w:eastAsia="宋体" w:cs="宋体"/>
                <w:sz w:val="21"/>
                <w:szCs w:val="21"/>
                <w:highlight w:val="none"/>
              </w:rPr>
              <w:t>精密空调技术支持岗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为机房精密空调提供技术支持和运维管理。</w:t>
            </w:r>
          </w:p>
        </w:tc>
        <w:tc>
          <w:tcPr>
            <w:tcW w:w="1156" w:type="dxa"/>
            <w:vMerge w:val="continue"/>
            <w:vAlign w:val="center"/>
          </w:tcPr>
          <w:p w14:paraId="1E85BE2F">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1EBBEDA4">
            <w:pPr>
              <w:widowControl/>
              <w:spacing w:line="400" w:lineRule="exact"/>
              <w:contextualSpacing/>
              <w:jc w:val="left"/>
              <w:rPr>
                <w:rFonts w:hint="eastAsia" w:ascii="宋体" w:hAnsi="宋体" w:eastAsia="宋体" w:cs="宋体"/>
                <w:kern w:val="0"/>
                <w:sz w:val="21"/>
                <w:szCs w:val="21"/>
                <w:highlight w:val="none"/>
              </w:rPr>
            </w:pPr>
          </w:p>
        </w:tc>
      </w:tr>
      <w:tr w14:paraId="588B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5631C74A">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5F24FAD0">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5319229D">
            <w:pPr>
              <w:widowControl/>
              <w:spacing w:line="400" w:lineRule="exact"/>
              <w:contextualSpacing/>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安防监控技术支持岗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对数据中心门禁、视频监控、动力环境监控提供技术支持和运维管理。</w:t>
            </w:r>
          </w:p>
        </w:tc>
        <w:tc>
          <w:tcPr>
            <w:tcW w:w="1156" w:type="dxa"/>
            <w:vMerge w:val="continue"/>
            <w:vAlign w:val="center"/>
          </w:tcPr>
          <w:p w14:paraId="15E0C8EF">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4FF47AEA">
            <w:pPr>
              <w:widowControl/>
              <w:spacing w:line="400" w:lineRule="exact"/>
              <w:contextualSpacing/>
              <w:jc w:val="left"/>
              <w:rPr>
                <w:rFonts w:hint="eastAsia" w:ascii="宋体" w:hAnsi="宋体" w:eastAsia="宋体" w:cs="宋体"/>
                <w:kern w:val="0"/>
                <w:sz w:val="21"/>
                <w:szCs w:val="21"/>
                <w:highlight w:val="none"/>
              </w:rPr>
            </w:pPr>
          </w:p>
        </w:tc>
      </w:tr>
      <w:tr w14:paraId="3B25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6FD1F4E3">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783C1DA7">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16B01F8E">
            <w:pPr>
              <w:widowControl/>
              <w:spacing w:line="400" w:lineRule="exact"/>
              <w:contextualSpacing/>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服务器</w:t>
            </w:r>
            <w:r>
              <w:rPr>
                <w:rFonts w:hint="eastAsia" w:ascii="宋体" w:hAnsi="宋体" w:eastAsia="宋体" w:cs="宋体"/>
                <w:sz w:val="21"/>
                <w:szCs w:val="21"/>
                <w:highlight w:val="none"/>
                <w:lang w:eastAsia="zh-CN"/>
              </w:rPr>
              <w:t>及</w:t>
            </w:r>
            <w:r>
              <w:rPr>
                <w:rFonts w:hint="eastAsia" w:ascii="宋体" w:hAnsi="宋体" w:eastAsia="宋体" w:cs="宋体"/>
                <w:sz w:val="21"/>
                <w:szCs w:val="21"/>
                <w:highlight w:val="none"/>
              </w:rPr>
              <w:t>负载均衡设备技术支持岗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为数据中心服务器</w:t>
            </w:r>
            <w:r>
              <w:rPr>
                <w:rFonts w:hint="eastAsia" w:ascii="宋体" w:hAnsi="宋体" w:eastAsia="宋体" w:cs="宋体"/>
                <w:sz w:val="21"/>
                <w:szCs w:val="21"/>
                <w:highlight w:val="none"/>
                <w:lang w:eastAsia="zh-CN"/>
              </w:rPr>
              <w:t>及负载均衡设备</w:t>
            </w:r>
            <w:r>
              <w:rPr>
                <w:rFonts w:hint="eastAsia" w:ascii="宋体" w:hAnsi="宋体" w:eastAsia="宋体" w:cs="宋体"/>
                <w:sz w:val="21"/>
                <w:szCs w:val="21"/>
                <w:highlight w:val="none"/>
              </w:rPr>
              <w:t>提供技术支持和运维管理。</w:t>
            </w:r>
          </w:p>
        </w:tc>
        <w:tc>
          <w:tcPr>
            <w:tcW w:w="1156" w:type="dxa"/>
            <w:vMerge w:val="continue"/>
            <w:vAlign w:val="center"/>
          </w:tcPr>
          <w:p w14:paraId="48754D48">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4A6F3C9C">
            <w:pPr>
              <w:widowControl/>
              <w:spacing w:line="400" w:lineRule="exact"/>
              <w:contextualSpacing/>
              <w:jc w:val="left"/>
              <w:rPr>
                <w:rFonts w:hint="eastAsia" w:ascii="宋体" w:hAnsi="宋体" w:eastAsia="宋体" w:cs="宋体"/>
                <w:kern w:val="0"/>
                <w:sz w:val="21"/>
                <w:szCs w:val="21"/>
                <w:highlight w:val="none"/>
              </w:rPr>
            </w:pPr>
          </w:p>
        </w:tc>
      </w:tr>
      <w:tr w14:paraId="0992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0245AACB">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276D1462">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24FCBEE3">
            <w:pPr>
              <w:widowControl/>
              <w:spacing w:line="400" w:lineRule="exact"/>
              <w:contextualSpacing/>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阿里云技术</w:t>
            </w:r>
            <w:r>
              <w:rPr>
                <w:rFonts w:hint="eastAsia" w:ascii="宋体" w:hAnsi="宋体" w:eastAsia="宋体" w:cs="宋体"/>
                <w:sz w:val="21"/>
                <w:szCs w:val="21"/>
                <w:highlight w:val="none"/>
              </w:rPr>
              <w:t>支持岗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为数据中心</w:t>
            </w:r>
            <w:r>
              <w:rPr>
                <w:rFonts w:hint="eastAsia" w:ascii="宋体" w:hAnsi="宋体" w:eastAsia="宋体" w:cs="宋体"/>
                <w:sz w:val="21"/>
                <w:szCs w:val="21"/>
                <w:highlight w:val="none"/>
                <w:lang w:eastAsia="zh-CN"/>
              </w:rPr>
              <w:t>阿里云平台</w:t>
            </w:r>
            <w:r>
              <w:rPr>
                <w:rFonts w:hint="eastAsia" w:ascii="宋体" w:hAnsi="宋体" w:eastAsia="宋体" w:cs="宋体"/>
                <w:sz w:val="21"/>
                <w:szCs w:val="21"/>
                <w:highlight w:val="none"/>
              </w:rPr>
              <w:t>提供技术支持和</w:t>
            </w:r>
            <w:r>
              <w:rPr>
                <w:rFonts w:hint="eastAsia" w:ascii="宋体" w:hAnsi="宋体" w:eastAsia="宋体" w:cs="宋体"/>
                <w:sz w:val="21"/>
                <w:szCs w:val="21"/>
                <w:highlight w:val="none"/>
                <w:lang w:eastAsia="zh-CN"/>
              </w:rPr>
              <w:t>监控</w:t>
            </w:r>
            <w:r>
              <w:rPr>
                <w:rFonts w:hint="eastAsia" w:ascii="宋体" w:hAnsi="宋体" w:eastAsia="宋体" w:cs="宋体"/>
                <w:sz w:val="21"/>
                <w:szCs w:val="21"/>
                <w:highlight w:val="none"/>
              </w:rPr>
              <w:t>管理。</w:t>
            </w:r>
          </w:p>
        </w:tc>
        <w:tc>
          <w:tcPr>
            <w:tcW w:w="1156" w:type="dxa"/>
            <w:vMerge w:val="continue"/>
            <w:vAlign w:val="center"/>
          </w:tcPr>
          <w:p w14:paraId="744CE076">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309705CB">
            <w:pPr>
              <w:widowControl/>
              <w:spacing w:line="400" w:lineRule="exact"/>
              <w:contextualSpacing/>
              <w:jc w:val="left"/>
              <w:rPr>
                <w:rFonts w:hint="eastAsia" w:ascii="宋体" w:hAnsi="宋体" w:eastAsia="宋体" w:cs="宋体"/>
                <w:kern w:val="0"/>
                <w:sz w:val="21"/>
                <w:szCs w:val="21"/>
                <w:highlight w:val="none"/>
              </w:rPr>
            </w:pPr>
          </w:p>
        </w:tc>
      </w:tr>
      <w:tr w14:paraId="5F94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2ED0BAF0">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1D6EA447">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2D403B4B">
            <w:pPr>
              <w:widowControl/>
              <w:spacing w:line="400" w:lineRule="exact"/>
              <w:contextualSpacing/>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虚拟化技术支持岗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为数据中心服务器虚拟化平台和虚拟机提供技术支持和统筹管理。</w:t>
            </w:r>
          </w:p>
        </w:tc>
        <w:tc>
          <w:tcPr>
            <w:tcW w:w="1156" w:type="dxa"/>
            <w:vMerge w:val="continue"/>
            <w:vAlign w:val="center"/>
          </w:tcPr>
          <w:p w14:paraId="4F581FD1">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4C617C79">
            <w:pPr>
              <w:widowControl/>
              <w:spacing w:line="400" w:lineRule="exact"/>
              <w:contextualSpacing/>
              <w:jc w:val="left"/>
              <w:rPr>
                <w:rFonts w:hint="eastAsia" w:ascii="宋体" w:hAnsi="宋体" w:eastAsia="宋体" w:cs="宋体"/>
                <w:kern w:val="0"/>
                <w:sz w:val="21"/>
                <w:szCs w:val="21"/>
                <w:highlight w:val="none"/>
              </w:rPr>
            </w:pPr>
          </w:p>
        </w:tc>
      </w:tr>
      <w:tr w14:paraId="6F33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17A63B93">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227F6229">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01774820">
            <w:pPr>
              <w:widowControl/>
              <w:spacing w:line="400" w:lineRule="exact"/>
              <w:contextualSpacing/>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存储技术支持岗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为数据中心存储设备、存储网关和光纤交换机提供技术支持和统筹管理。</w:t>
            </w:r>
          </w:p>
        </w:tc>
        <w:tc>
          <w:tcPr>
            <w:tcW w:w="1156" w:type="dxa"/>
            <w:vMerge w:val="continue"/>
            <w:vAlign w:val="center"/>
          </w:tcPr>
          <w:p w14:paraId="6F2654F2">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2057AD6C">
            <w:pPr>
              <w:widowControl/>
              <w:spacing w:line="400" w:lineRule="exact"/>
              <w:contextualSpacing/>
              <w:jc w:val="left"/>
              <w:rPr>
                <w:rFonts w:hint="eastAsia" w:ascii="宋体" w:hAnsi="宋体" w:eastAsia="宋体" w:cs="宋体"/>
                <w:kern w:val="0"/>
                <w:sz w:val="21"/>
                <w:szCs w:val="21"/>
                <w:highlight w:val="none"/>
              </w:rPr>
            </w:pPr>
          </w:p>
        </w:tc>
      </w:tr>
      <w:tr w14:paraId="1280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42DA1CDC">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1E8AF728">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01EB1D5B">
            <w:pPr>
              <w:widowControl/>
              <w:spacing w:line="400" w:lineRule="exact"/>
              <w:contextualSpacing/>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数据备份技术支持岗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为数据中心的数据备份和恢复提供技术支持和统筹管理。</w:t>
            </w:r>
          </w:p>
        </w:tc>
        <w:tc>
          <w:tcPr>
            <w:tcW w:w="1156" w:type="dxa"/>
            <w:vMerge w:val="continue"/>
            <w:vAlign w:val="center"/>
          </w:tcPr>
          <w:p w14:paraId="5423324C">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6355FA03">
            <w:pPr>
              <w:widowControl/>
              <w:spacing w:line="400" w:lineRule="exact"/>
              <w:contextualSpacing/>
              <w:jc w:val="left"/>
              <w:rPr>
                <w:rFonts w:hint="eastAsia" w:ascii="宋体" w:hAnsi="宋体" w:eastAsia="宋体" w:cs="宋体"/>
                <w:kern w:val="0"/>
                <w:sz w:val="21"/>
                <w:szCs w:val="21"/>
                <w:highlight w:val="none"/>
              </w:rPr>
            </w:pPr>
          </w:p>
        </w:tc>
      </w:tr>
      <w:tr w14:paraId="00FB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7E58DB09">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66AC91F3">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0AA71DF8">
            <w:pPr>
              <w:widowControl/>
              <w:spacing w:line="400" w:lineRule="exact"/>
              <w:contextualSpacing/>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小型机技术支持岗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为数据中心小型机提供技术支持和统筹管理。</w:t>
            </w:r>
          </w:p>
        </w:tc>
        <w:tc>
          <w:tcPr>
            <w:tcW w:w="1156" w:type="dxa"/>
            <w:vMerge w:val="continue"/>
            <w:vAlign w:val="center"/>
          </w:tcPr>
          <w:p w14:paraId="26AA98D4">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06CB3286">
            <w:pPr>
              <w:widowControl/>
              <w:spacing w:line="400" w:lineRule="exact"/>
              <w:contextualSpacing/>
              <w:jc w:val="left"/>
              <w:rPr>
                <w:rFonts w:hint="eastAsia" w:ascii="宋体" w:hAnsi="宋体" w:eastAsia="宋体" w:cs="宋体"/>
                <w:kern w:val="0"/>
                <w:sz w:val="21"/>
                <w:szCs w:val="21"/>
                <w:highlight w:val="none"/>
              </w:rPr>
            </w:pPr>
          </w:p>
        </w:tc>
      </w:tr>
      <w:tr w14:paraId="1AB6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8" w:type="dxa"/>
            <w:gridSpan w:val="5"/>
            <w:vAlign w:val="center"/>
          </w:tcPr>
          <w:p w14:paraId="697E2B0C">
            <w:pPr>
              <w:widowControl/>
              <w:spacing w:line="400" w:lineRule="exact"/>
              <w:contextualSpacing/>
              <w:jc w:val="left"/>
              <w:rPr>
                <w:rFonts w:hint="eastAsia" w:ascii="宋体" w:hAnsi="宋体" w:eastAsia="宋体" w:cs="宋体"/>
                <w:kern w:val="0"/>
                <w:sz w:val="21"/>
                <w:szCs w:val="21"/>
                <w:highlight w:val="none"/>
              </w:rPr>
            </w:pPr>
          </w:p>
        </w:tc>
      </w:tr>
      <w:tr w14:paraId="131D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restart"/>
            <w:vAlign w:val="center"/>
          </w:tcPr>
          <w:p w14:paraId="70448D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Merge w:val="restart"/>
            <w:vAlign w:val="center"/>
          </w:tcPr>
          <w:p w14:paraId="03A37C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运维岗位人员资质要求</w:t>
            </w:r>
          </w:p>
        </w:tc>
        <w:tc>
          <w:tcPr>
            <w:tcW w:w="4713" w:type="dxa"/>
            <w:vAlign w:val="center"/>
          </w:tcPr>
          <w:p w14:paraId="0C2E2F5C">
            <w:pPr>
              <w:widowControl/>
              <w:spacing w:line="400" w:lineRule="exact"/>
              <w:contextualSpacing/>
              <w:jc w:val="left"/>
              <w:rPr>
                <w:rFonts w:hint="eastAsia" w:ascii="宋体" w:hAnsi="宋体" w:eastAsia="宋体" w:cs="宋体"/>
                <w:sz w:val="21"/>
                <w:szCs w:val="21"/>
                <w:highlight w:val="none"/>
              </w:rPr>
            </w:pPr>
            <w:r>
              <w:rPr>
                <w:rFonts w:hint="eastAsia" w:ascii="宋体" w:hAnsi="宋体" w:eastAsia="宋体" w:cs="宋体"/>
                <w:b/>
                <w:sz w:val="21"/>
                <w:szCs w:val="21"/>
                <w:highlight w:val="none"/>
              </w:rPr>
              <w:t>项目经理岗：</w:t>
            </w:r>
            <w:r>
              <w:rPr>
                <w:rFonts w:hint="eastAsia" w:ascii="宋体" w:hAnsi="宋体" w:eastAsia="宋体" w:cs="宋体"/>
                <w:sz w:val="21"/>
                <w:szCs w:val="21"/>
                <w:highlight w:val="none"/>
              </w:rPr>
              <w:t>本科以上学历，计算机相关专业，</w:t>
            </w:r>
            <w:r>
              <w:rPr>
                <w:rFonts w:hint="eastAsia" w:ascii="宋体" w:hAnsi="宋体" w:cs="宋体"/>
                <w:sz w:val="21"/>
                <w:szCs w:val="21"/>
                <w:highlight w:val="none"/>
                <w:lang w:val="en-US" w:eastAsia="zh-CN"/>
              </w:rPr>
              <w:t>具</w:t>
            </w:r>
            <w:r>
              <w:rPr>
                <w:rFonts w:hint="eastAsia" w:ascii="宋体" w:hAnsi="宋体" w:eastAsia="宋体" w:cs="宋体"/>
                <w:sz w:val="21"/>
                <w:szCs w:val="21"/>
                <w:highlight w:val="none"/>
              </w:rPr>
              <w:t>有数据中心运维项目经理经验，能够组织运维团队人员提供7×24小时数据中心运维服务。</w:t>
            </w:r>
          </w:p>
        </w:tc>
        <w:tc>
          <w:tcPr>
            <w:tcW w:w="1156" w:type="dxa"/>
            <w:vAlign w:val="center"/>
          </w:tcPr>
          <w:p w14:paraId="76F53D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668CB6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提供指标要求所列证书</w:t>
            </w:r>
            <w:r>
              <w:rPr>
                <w:rFonts w:hint="eastAsia" w:ascii="宋体" w:hAnsi="宋体" w:cs="宋体"/>
                <w:sz w:val="21"/>
                <w:szCs w:val="21"/>
                <w:highlight w:val="none"/>
                <w:lang w:val="en-US" w:eastAsia="zh-CN"/>
              </w:rPr>
              <w:t>及相关工作经验证明材料</w:t>
            </w:r>
          </w:p>
        </w:tc>
      </w:tr>
      <w:tr w14:paraId="1193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344B664D">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5FB57D70">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5A5D0F04">
            <w:pPr>
              <w:widowControl/>
              <w:spacing w:line="400" w:lineRule="exact"/>
              <w:contextualSpacing/>
              <w:jc w:val="left"/>
              <w:rPr>
                <w:rFonts w:hint="eastAsia" w:ascii="宋体" w:hAnsi="宋体" w:eastAsia="宋体" w:cs="宋体"/>
                <w:sz w:val="21"/>
                <w:szCs w:val="21"/>
                <w:highlight w:val="none"/>
                <w:lang w:eastAsia="zh-CN"/>
              </w:rPr>
            </w:pPr>
            <w:r>
              <w:rPr>
                <w:rFonts w:hint="eastAsia" w:ascii="宋体" w:hAnsi="宋体" w:eastAsia="宋体" w:cs="宋体"/>
                <w:b/>
                <w:sz w:val="21"/>
                <w:szCs w:val="21"/>
                <w:highlight w:val="none"/>
              </w:rPr>
              <w:t>强电</w:t>
            </w:r>
            <w:r>
              <w:rPr>
                <w:rFonts w:hint="eastAsia" w:ascii="宋体" w:hAnsi="宋体" w:eastAsia="宋体" w:cs="宋体"/>
                <w:b/>
                <w:bCs/>
                <w:sz w:val="21"/>
                <w:szCs w:val="21"/>
                <w:highlight w:val="none"/>
              </w:rPr>
              <w:t>经理岗</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本科及以上学历，</w:t>
            </w:r>
            <w:r>
              <w:rPr>
                <w:rFonts w:hint="eastAsia" w:ascii="宋体" w:hAnsi="宋体" w:cs="宋体"/>
                <w:sz w:val="21"/>
                <w:szCs w:val="21"/>
                <w:highlight w:val="none"/>
                <w:lang w:val="en-US" w:eastAsia="zh-CN"/>
              </w:rPr>
              <w:t>具</w:t>
            </w:r>
            <w:r>
              <w:rPr>
                <w:rFonts w:hint="eastAsia" w:ascii="宋体" w:hAnsi="宋体" w:eastAsia="宋体" w:cs="宋体"/>
                <w:bCs/>
                <w:sz w:val="21"/>
                <w:szCs w:val="21"/>
                <w:highlight w:val="none"/>
              </w:rPr>
              <w:t>有</w:t>
            </w:r>
            <w:r>
              <w:rPr>
                <w:rFonts w:hint="eastAsia" w:ascii="宋体" w:hAnsi="宋体" w:eastAsia="宋体" w:cs="宋体"/>
                <w:sz w:val="21"/>
                <w:szCs w:val="21"/>
                <w:highlight w:val="none"/>
              </w:rPr>
              <w:t>数据中心</w:t>
            </w:r>
            <w:r>
              <w:rPr>
                <w:rFonts w:hint="eastAsia" w:ascii="宋体" w:hAnsi="宋体" w:eastAsia="宋体" w:cs="宋体"/>
                <w:bCs/>
                <w:sz w:val="21"/>
                <w:szCs w:val="21"/>
                <w:highlight w:val="none"/>
              </w:rPr>
              <w:t>强电</w:t>
            </w:r>
            <w:r>
              <w:rPr>
                <w:rFonts w:hint="eastAsia" w:ascii="宋体" w:hAnsi="宋体" w:eastAsia="宋体" w:cs="宋体"/>
                <w:sz w:val="21"/>
                <w:szCs w:val="21"/>
                <w:highlight w:val="none"/>
              </w:rPr>
              <w:t>项目</w:t>
            </w:r>
            <w:r>
              <w:rPr>
                <w:rFonts w:hint="eastAsia" w:ascii="宋体" w:hAnsi="宋体" w:eastAsia="宋体" w:cs="宋体"/>
                <w:bCs/>
                <w:sz w:val="21"/>
                <w:szCs w:val="21"/>
                <w:highlight w:val="none"/>
              </w:rPr>
              <w:t>管理经验</w:t>
            </w:r>
            <w:r>
              <w:rPr>
                <w:rFonts w:hint="eastAsia" w:ascii="宋体" w:hAnsi="宋体" w:cs="宋体"/>
                <w:bCs/>
                <w:sz w:val="21"/>
                <w:szCs w:val="21"/>
                <w:highlight w:val="none"/>
                <w:lang w:eastAsia="zh-CN"/>
              </w:rPr>
              <w:t>。</w:t>
            </w:r>
          </w:p>
        </w:tc>
        <w:tc>
          <w:tcPr>
            <w:tcW w:w="1156" w:type="dxa"/>
            <w:vAlign w:val="center"/>
          </w:tcPr>
          <w:p w14:paraId="79DF8A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12AAF1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提供指标要求所列证书</w:t>
            </w:r>
            <w:r>
              <w:rPr>
                <w:rFonts w:hint="eastAsia" w:ascii="宋体" w:hAnsi="宋体" w:cs="宋体"/>
                <w:sz w:val="21"/>
                <w:szCs w:val="21"/>
                <w:highlight w:val="none"/>
                <w:lang w:val="en-US" w:eastAsia="zh-CN"/>
              </w:rPr>
              <w:t>及相关工作经验证明材料</w:t>
            </w:r>
          </w:p>
        </w:tc>
      </w:tr>
      <w:tr w14:paraId="287A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3329FDB8">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2D3F62FB">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6D2F4B87">
            <w:pPr>
              <w:widowControl/>
              <w:spacing w:line="400" w:lineRule="exact"/>
              <w:contextualSpacing/>
              <w:jc w:val="left"/>
              <w:rPr>
                <w:rFonts w:hint="eastAsia" w:ascii="宋体" w:hAnsi="宋体" w:eastAsia="宋体" w:cs="宋体"/>
                <w:sz w:val="21"/>
                <w:szCs w:val="21"/>
                <w:highlight w:val="none"/>
              </w:rPr>
            </w:pPr>
            <w:r>
              <w:rPr>
                <w:rFonts w:hint="eastAsia" w:ascii="宋体" w:hAnsi="宋体" w:eastAsia="宋体" w:cs="宋体"/>
                <w:b/>
                <w:sz w:val="21"/>
                <w:szCs w:val="21"/>
                <w:highlight w:val="none"/>
              </w:rPr>
              <w:t>驻场经理岗</w:t>
            </w:r>
            <w:r>
              <w:rPr>
                <w:rFonts w:hint="eastAsia" w:ascii="宋体" w:hAnsi="宋体" w:eastAsia="宋体" w:cs="宋体"/>
                <w:sz w:val="21"/>
                <w:szCs w:val="21"/>
                <w:highlight w:val="none"/>
              </w:rPr>
              <w:t>：本科及以上学历，计算机相关专业；</w:t>
            </w:r>
            <w:r>
              <w:rPr>
                <w:rFonts w:hint="eastAsia" w:ascii="宋体" w:hAnsi="宋体" w:cs="宋体"/>
                <w:sz w:val="21"/>
                <w:szCs w:val="21"/>
                <w:highlight w:val="none"/>
                <w:lang w:val="en-US" w:eastAsia="zh-CN"/>
              </w:rPr>
              <w:t>具</w:t>
            </w:r>
            <w:r>
              <w:rPr>
                <w:rFonts w:hint="eastAsia" w:ascii="宋体" w:hAnsi="宋体" w:eastAsia="宋体" w:cs="宋体"/>
                <w:sz w:val="21"/>
                <w:szCs w:val="21"/>
                <w:highlight w:val="none"/>
              </w:rPr>
              <w:t>有数据中心运维项目管理经验，应具有原国家安全生产监督管理总局（现应急管理部）监制的电工作业证（有效期内）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采购人工作时间，该岗位人员必须在驻场地值班。</w:t>
            </w:r>
          </w:p>
        </w:tc>
        <w:tc>
          <w:tcPr>
            <w:tcW w:w="1156" w:type="dxa"/>
            <w:vAlign w:val="center"/>
          </w:tcPr>
          <w:p w14:paraId="72CD45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4D7F17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提供指标要求所列证书</w:t>
            </w:r>
            <w:r>
              <w:rPr>
                <w:rFonts w:hint="eastAsia" w:ascii="宋体" w:hAnsi="宋体" w:cs="宋体"/>
                <w:sz w:val="21"/>
                <w:szCs w:val="21"/>
                <w:highlight w:val="none"/>
                <w:lang w:val="en-US" w:eastAsia="zh-CN"/>
              </w:rPr>
              <w:t>及相关工作经验证明材料</w:t>
            </w:r>
          </w:p>
        </w:tc>
      </w:tr>
      <w:tr w14:paraId="2E79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restart"/>
            <w:vAlign w:val="center"/>
          </w:tcPr>
          <w:p w14:paraId="650AF1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1197" w:type="dxa"/>
            <w:vMerge w:val="continue"/>
            <w:vAlign w:val="center"/>
          </w:tcPr>
          <w:p w14:paraId="68EAE48F">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78899AE2">
            <w:pPr>
              <w:widowControl w:val="0"/>
              <w:numPr>
                <w:ilvl w:val="0"/>
                <w:numId w:val="0"/>
              </w:numPr>
              <w:spacing w:before="0" w:after="0" w:afterAutospacing="0" w:line="400" w:lineRule="exact"/>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供配电技术支持岗：</w:t>
            </w:r>
            <w:r>
              <w:rPr>
                <w:rFonts w:hint="eastAsia" w:ascii="宋体" w:hAnsi="宋体" w:eastAsia="宋体" w:cs="宋体"/>
                <w:kern w:val="2"/>
                <w:sz w:val="21"/>
                <w:szCs w:val="21"/>
                <w:highlight w:val="none"/>
                <w:lang w:val="en-US" w:eastAsia="zh-CN" w:bidi="ar-SA"/>
              </w:rPr>
              <w:t>高中及以上学历，应具有原国家安全生产监督管理总局（现应急管理部）监制的电工作业证（有效期内）；有3年及以上数据中心机房供配电系统运维经验</w:t>
            </w:r>
            <w:r>
              <w:rPr>
                <w:rFonts w:hint="eastAsia" w:ascii="宋体" w:hAnsi="宋体" w:eastAsia="宋体" w:cs="宋体"/>
                <w:bCs/>
                <w:kern w:val="2"/>
                <w:sz w:val="21"/>
                <w:szCs w:val="21"/>
                <w:highlight w:val="none"/>
                <w:lang w:val="en-US" w:eastAsia="zh-CN" w:bidi="ar-SA"/>
              </w:rPr>
              <w:t>。</w:t>
            </w:r>
          </w:p>
        </w:tc>
        <w:tc>
          <w:tcPr>
            <w:tcW w:w="1156" w:type="dxa"/>
            <w:vMerge w:val="restart"/>
            <w:vAlign w:val="center"/>
          </w:tcPr>
          <w:p w14:paraId="1264B8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Merge w:val="restart"/>
            <w:vAlign w:val="center"/>
          </w:tcPr>
          <w:p w14:paraId="749D0D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提供指标要求所列证书</w:t>
            </w:r>
            <w:r>
              <w:rPr>
                <w:rFonts w:hint="eastAsia" w:ascii="宋体" w:hAnsi="宋体" w:cs="宋体"/>
                <w:sz w:val="21"/>
                <w:szCs w:val="21"/>
                <w:highlight w:val="none"/>
                <w:lang w:val="en-US" w:eastAsia="zh-CN"/>
              </w:rPr>
              <w:t>及相关工作经验证明材料</w:t>
            </w:r>
          </w:p>
        </w:tc>
      </w:tr>
      <w:tr w14:paraId="4D6E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6B773F25">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453E2E9C">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0C48D292">
            <w:pPr>
              <w:widowControl/>
              <w:spacing w:line="400" w:lineRule="exact"/>
              <w:contextualSpacing/>
              <w:jc w:val="left"/>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UPS</w:t>
            </w:r>
            <w:r>
              <w:rPr>
                <w:rFonts w:hint="eastAsia" w:ascii="宋体" w:hAnsi="宋体" w:eastAsia="宋体" w:cs="宋体"/>
                <w:b/>
                <w:sz w:val="21"/>
                <w:szCs w:val="21"/>
                <w:highlight w:val="none"/>
              </w:rPr>
              <w:t>技术支持岗：</w:t>
            </w:r>
            <w:r>
              <w:rPr>
                <w:rFonts w:hint="eastAsia" w:ascii="宋体" w:hAnsi="宋体" w:eastAsia="宋体" w:cs="宋体"/>
                <w:sz w:val="21"/>
                <w:szCs w:val="21"/>
                <w:highlight w:val="none"/>
              </w:rPr>
              <w:t>高中及以上学历，应具有原国家安全生产监督管理总局（现应急管理部）监制的电工作业证（有效期内）；有3年及以上数据中心机房UPS系统运维经验</w:t>
            </w:r>
            <w:r>
              <w:rPr>
                <w:rFonts w:hint="eastAsia" w:ascii="宋体" w:hAnsi="宋体" w:eastAsia="宋体" w:cs="宋体"/>
                <w:bCs/>
                <w:sz w:val="21"/>
                <w:szCs w:val="21"/>
                <w:highlight w:val="none"/>
              </w:rPr>
              <w:t>。</w:t>
            </w:r>
          </w:p>
        </w:tc>
        <w:tc>
          <w:tcPr>
            <w:tcW w:w="1156" w:type="dxa"/>
            <w:vMerge w:val="continue"/>
            <w:vAlign w:val="center"/>
          </w:tcPr>
          <w:p w14:paraId="153FA53C">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69D63079">
            <w:pPr>
              <w:widowControl/>
              <w:spacing w:line="400" w:lineRule="exact"/>
              <w:contextualSpacing/>
              <w:jc w:val="left"/>
              <w:rPr>
                <w:rFonts w:hint="eastAsia" w:ascii="宋体" w:hAnsi="宋体" w:eastAsia="宋体" w:cs="宋体"/>
                <w:kern w:val="0"/>
                <w:sz w:val="21"/>
                <w:szCs w:val="21"/>
                <w:highlight w:val="none"/>
              </w:rPr>
            </w:pPr>
          </w:p>
        </w:tc>
      </w:tr>
      <w:tr w14:paraId="4AC7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317A2A76">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6B4B8638">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4FE5E6F8">
            <w:pPr>
              <w:widowControl/>
              <w:spacing w:line="400" w:lineRule="exact"/>
              <w:contextualSpacing/>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精密空调技术支持岗：</w:t>
            </w:r>
            <w:r>
              <w:rPr>
                <w:rFonts w:hint="eastAsia" w:ascii="宋体" w:hAnsi="宋体" w:eastAsia="宋体" w:cs="宋体"/>
                <w:sz w:val="21"/>
                <w:szCs w:val="21"/>
                <w:highlight w:val="none"/>
              </w:rPr>
              <w:t>高中及以上学历，应具有原国家安全生产监督管理总局（现应急管理部）监制的制冷与空调作业证（有效期内）；有3年及以上数据中心机房精密空调运维经验</w:t>
            </w:r>
            <w:r>
              <w:rPr>
                <w:rFonts w:hint="eastAsia" w:ascii="宋体" w:hAnsi="宋体" w:eastAsia="宋体" w:cs="宋体"/>
                <w:bCs/>
                <w:sz w:val="21"/>
                <w:szCs w:val="21"/>
                <w:highlight w:val="none"/>
              </w:rPr>
              <w:t>。</w:t>
            </w:r>
          </w:p>
        </w:tc>
        <w:tc>
          <w:tcPr>
            <w:tcW w:w="1156" w:type="dxa"/>
            <w:vMerge w:val="continue"/>
            <w:vAlign w:val="center"/>
          </w:tcPr>
          <w:p w14:paraId="468432B3">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796D6AB6">
            <w:pPr>
              <w:widowControl/>
              <w:spacing w:line="400" w:lineRule="exact"/>
              <w:contextualSpacing/>
              <w:jc w:val="left"/>
              <w:rPr>
                <w:rFonts w:hint="eastAsia" w:ascii="宋体" w:hAnsi="宋体" w:eastAsia="宋体" w:cs="宋体"/>
                <w:kern w:val="0"/>
                <w:sz w:val="21"/>
                <w:szCs w:val="21"/>
                <w:highlight w:val="none"/>
              </w:rPr>
            </w:pPr>
          </w:p>
        </w:tc>
      </w:tr>
      <w:tr w14:paraId="0A93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23257D8D">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60FE2E6A">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060747CF">
            <w:pPr>
              <w:widowControl w:val="0"/>
              <w:spacing w:before="0" w:after="0" w:afterAutospacing="0" w:line="400" w:lineRule="exact"/>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安防监控技术支持岗：</w:t>
            </w:r>
            <w:r>
              <w:rPr>
                <w:rFonts w:hint="eastAsia" w:ascii="宋体" w:hAnsi="宋体" w:eastAsia="宋体" w:cs="宋体"/>
                <w:kern w:val="2"/>
                <w:sz w:val="21"/>
                <w:szCs w:val="21"/>
                <w:highlight w:val="none"/>
                <w:lang w:val="en-US" w:eastAsia="zh-CN" w:bidi="ar-SA"/>
              </w:rPr>
              <w:t>高中及以上学历，有3年及以上数据中心强弱电相关工作经验，熟悉了解视频监控系统和动力环境监控系统</w:t>
            </w:r>
            <w:r>
              <w:rPr>
                <w:rFonts w:hint="eastAsia" w:ascii="宋体" w:hAnsi="宋体" w:eastAsia="宋体" w:cs="宋体"/>
                <w:bCs/>
                <w:kern w:val="2"/>
                <w:sz w:val="21"/>
                <w:szCs w:val="21"/>
                <w:highlight w:val="none"/>
                <w:lang w:val="en-US" w:eastAsia="zh-CN" w:bidi="ar-SA"/>
              </w:rPr>
              <w:t>。</w:t>
            </w:r>
          </w:p>
        </w:tc>
        <w:tc>
          <w:tcPr>
            <w:tcW w:w="1156" w:type="dxa"/>
            <w:vMerge w:val="continue"/>
            <w:vAlign w:val="center"/>
          </w:tcPr>
          <w:p w14:paraId="1AA10277">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07302A3E">
            <w:pPr>
              <w:widowControl/>
              <w:spacing w:line="400" w:lineRule="exact"/>
              <w:contextualSpacing/>
              <w:jc w:val="left"/>
              <w:rPr>
                <w:rFonts w:hint="eastAsia" w:ascii="宋体" w:hAnsi="宋体" w:eastAsia="宋体" w:cs="宋体"/>
                <w:kern w:val="0"/>
                <w:sz w:val="21"/>
                <w:szCs w:val="21"/>
                <w:highlight w:val="none"/>
              </w:rPr>
            </w:pPr>
          </w:p>
        </w:tc>
      </w:tr>
      <w:tr w14:paraId="3ECC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391890A1">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7789F2D9">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7B20ACB1">
            <w:pPr>
              <w:widowControl/>
              <w:spacing w:line="400" w:lineRule="exact"/>
              <w:contextualSpacing/>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服务器技术</w:t>
            </w:r>
            <w:r>
              <w:rPr>
                <w:rFonts w:hint="eastAsia" w:ascii="宋体" w:hAnsi="宋体" w:eastAsia="宋体" w:cs="宋体"/>
                <w:b/>
                <w:bCs/>
                <w:sz w:val="21"/>
                <w:szCs w:val="21"/>
                <w:highlight w:val="none"/>
                <w:lang w:eastAsia="zh-CN"/>
              </w:rPr>
              <w:t>及</w:t>
            </w:r>
            <w:r>
              <w:rPr>
                <w:rFonts w:hint="eastAsia" w:ascii="宋体" w:hAnsi="宋体" w:eastAsia="宋体" w:cs="宋体"/>
                <w:b/>
                <w:bCs/>
                <w:sz w:val="21"/>
                <w:szCs w:val="21"/>
                <w:highlight w:val="none"/>
              </w:rPr>
              <w:t>负载均衡设备支持岗：</w:t>
            </w:r>
            <w:r>
              <w:rPr>
                <w:rFonts w:hint="eastAsia" w:ascii="宋体" w:hAnsi="宋体" w:eastAsia="宋体" w:cs="宋体"/>
                <w:sz w:val="21"/>
                <w:szCs w:val="21"/>
                <w:highlight w:val="none"/>
              </w:rPr>
              <w:t>大专及以上学历，计算机相关专业，</w:t>
            </w:r>
            <w:r>
              <w:rPr>
                <w:rFonts w:hint="eastAsia" w:ascii="宋体" w:hAnsi="宋体" w:eastAsia="宋体" w:cs="宋体"/>
                <w:bCs/>
                <w:sz w:val="21"/>
                <w:szCs w:val="21"/>
                <w:highlight w:val="none"/>
              </w:rPr>
              <w:t>有3</w:t>
            </w:r>
            <w:r>
              <w:rPr>
                <w:rFonts w:hint="eastAsia" w:ascii="宋体" w:hAnsi="宋体" w:eastAsia="宋体" w:cs="宋体"/>
                <w:sz w:val="21"/>
                <w:szCs w:val="21"/>
                <w:highlight w:val="none"/>
              </w:rPr>
              <w:t>年及以上</w:t>
            </w:r>
            <w:r>
              <w:rPr>
                <w:rFonts w:hint="eastAsia" w:ascii="宋体" w:hAnsi="宋体" w:eastAsia="宋体" w:cs="宋体"/>
                <w:bCs/>
                <w:sz w:val="21"/>
                <w:szCs w:val="21"/>
                <w:highlight w:val="none"/>
              </w:rPr>
              <w:t>数据中心服务器运维工作经验。</w:t>
            </w:r>
          </w:p>
        </w:tc>
        <w:tc>
          <w:tcPr>
            <w:tcW w:w="1156" w:type="dxa"/>
            <w:vMerge w:val="continue"/>
            <w:vAlign w:val="center"/>
          </w:tcPr>
          <w:p w14:paraId="3FF752EC">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063EDFB7">
            <w:pPr>
              <w:widowControl/>
              <w:spacing w:line="400" w:lineRule="exact"/>
              <w:contextualSpacing/>
              <w:jc w:val="left"/>
              <w:rPr>
                <w:rFonts w:hint="eastAsia" w:ascii="宋体" w:hAnsi="宋体" w:eastAsia="宋体" w:cs="宋体"/>
                <w:kern w:val="0"/>
                <w:sz w:val="21"/>
                <w:szCs w:val="21"/>
                <w:highlight w:val="none"/>
              </w:rPr>
            </w:pPr>
          </w:p>
        </w:tc>
      </w:tr>
      <w:tr w14:paraId="7352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4A7E9E7C">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185FDE20">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3F65BE29">
            <w:pPr>
              <w:widowControl/>
              <w:spacing w:line="400" w:lineRule="exact"/>
              <w:contextualSpacing/>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阿里云技术</w:t>
            </w:r>
            <w:r>
              <w:rPr>
                <w:rFonts w:hint="eastAsia" w:ascii="宋体" w:hAnsi="宋体" w:eastAsia="宋体" w:cs="宋体"/>
                <w:b/>
                <w:bCs/>
                <w:sz w:val="21"/>
                <w:szCs w:val="21"/>
                <w:highlight w:val="none"/>
              </w:rPr>
              <w:t>支持岗：</w:t>
            </w:r>
            <w:r>
              <w:rPr>
                <w:rFonts w:hint="eastAsia" w:ascii="宋体" w:hAnsi="宋体" w:eastAsia="宋体" w:cs="宋体"/>
                <w:sz w:val="21"/>
                <w:szCs w:val="21"/>
                <w:highlight w:val="none"/>
              </w:rPr>
              <w:t>大专及以上学历，计算机相关专业，</w:t>
            </w:r>
            <w:r>
              <w:rPr>
                <w:rFonts w:hint="eastAsia" w:ascii="宋体" w:hAnsi="宋体" w:eastAsia="宋体" w:cs="宋体"/>
                <w:bCs/>
                <w:sz w:val="21"/>
                <w:szCs w:val="21"/>
                <w:highlight w:val="none"/>
              </w:rPr>
              <w:t>有</w:t>
            </w:r>
            <w:r>
              <w:rPr>
                <w:rFonts w:hint="eastAsia" w:ascii="宋体" w:hAnsi="宋体" w:eastAsia="宋体" w:cs="宋体"/>
                <w:bCs/>
                <w:sz w:val="21"/>
                <w:szCs w:val="21"/>
                <w:highlight w:val="none"/>
                <w:lang w:val="en-US" w:eastAsia="zh-CN"/>
              </w:rPr>
              <w:t>ACA</w:t>
            </w:r>
            <w:r>
              <w:rPr>
                <w:rFonts w:hint="eastAsia" w:ascii="宋体" w:hAnsi="宋体" w:eastAsia="宋体" w:cs="宋体"/>
                <w:bCs/>
                <w:sz w:val="21"/>
                <w:szCs w:val="21"/>
                <w:highlight w:val="none"/>
              </w:rPr>
              <w:t>或以上级别证书</w:t>
            </w:r>
            <w:r>
              <w:rPr>
                <w:rFonts w:hint="eastAsia" w:ascii="宋体" w:hAnsi="宋体" w:eastAsia="宋体" w:cs="宋体"/>
                <w:bCs/>
                <w:sz w:val="21"/>
                <w:szCs w:val="21"/>
                <w:highlight w:val="none"/>
                <w:lang w:eastAsia="zh-CN"/>
              </w:rPr>
              <w:t>。</w:t>
            </w:r>
            <w:r>
              <w:rPr>
                <w:rFonts w:hint="eastAsia" w:ascii="宋体" w:hAnsi="宋体" w:eastAsia="宋体" w:cs="宋体"/>
                <w:sz w:val="21"/>
                <w:szCs w:val="21"/>
                <w:highlight w:val="none"/>
              </w:rPr>
              <w:t>有3年及以上数据中心运维工作经验</w:t>
            </w:r>
            <w:r>
              <w:rPr>
                <w:rFonts w:hint="eastAsia" w:ascii="宋体" w:hAnsi="宋体" w:eastAsia="宋体" w:cs="宋体"/>
                <w:bCs/>
                <w:sz w:val="21"/>
                <w:szCs w:val="21"/>
                <w:highlight w:val="none"/>
              </w:rPr>
              <w:t>。</w:t>
            </w:r>
          </w:p>
        </w:tc>
        <w:tc>
          <w:tcPr>
            <w:tcW w:w="1156" w:type="dxa"/>
            <w:vMerge w:val="continue"/>
            <w:vAlign w:val="center"/>
          </w:tcPr>
          <w:p w14:paraId="0C7A1F25">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3181DD0A">
            <w:pPr>
              <w:widowControl/>
              <w:spacing w:line="400" w:lineRule="exact"/>
              <w:contextualSpacing/>
              <w:jc w:val="left"/>
              <w:rPr>
                <w:rFonts w:hint="eastAsia" w:ascii="宋体" w:hAnsi="宋体" w:eastAsia="宋体" w:cs="宋体"/>
                <w:kern w:val="0"/>
                <w:sz w:val="21"/>
                <w:szCs w:val="21"/>
                <w:highlight w:val="none"/>
                <w:lang w:val="en-US" w:eastAsia="zh-CN"/>
              </w:rPr>
            </w:pPr>
          </w:p>
        </w:tc>
      </w:tr>
      <w:tr w14:paraId="2A30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4A68B386">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01686B20">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59EE0625">
            <w:pPr>
              <w:widowControl/>
              <w:spacing w:line="400" w:lineRule="exact"/>
              <w:contextualSpacing/>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虚拟化技术支持岗：</w:t>
            </w:r>
            <w:r>
              <w:rPr>
                <w:rFonts w:hint="eastAsia" w:ascii="宋体" w:hAnsi="宋体" w:eastAsia="宋体" w:cs="宋体"/>
                <w:sz w:val="21"/>
                <w:szCs w:val="21"/>
                <w:highlight w:val="none"/>
              </w:rPr>
              <w:t>大专及以上学历，</w:t>
            </w:r>
            <w:r>
              <w:rPr>
                <w:rFonts w:hint="eastAsia" w:ascii="宋体" w:hAnsi="宋体" w:eastAsia="宋体" w:cs="宋体"/>
                <w:bCs/>
                <w:sz w:val="21"/>
                <w:szCs w:val="21"/>
                <w:highlight w:val="none"/>
              </w:rPr>
              <w:t>计算机相关专业，</w:t>
            </w:r>
            <w:r>
              <w:rPr>
                <w:rFonts w:hint="eastAsia" w:ascii="宋体" w:hAnsi="宋体" w:eastAsia="宋体" w:cs="宋体"/>
                <w:sz w:val="21"/>
                <w:szCs w:val="21"/>
                <w:highlight w:val="none"/>
              </w:rPr>
              <w:t>有3年及以上数据中心运维工作经验。</w:t>
            </w:r>
          </w:p>
        </w:tc>
        <w:tc>
          <w:tcPr>
            <w:tcW w:w="1156" w:type="dxa"/>
            <w:vMerge w:val="continue"/>
            <w:vAlign w:val="center"/>
          </w:tcPr>
          <w:p w14:paraId="36A9D01B">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42D30BDA">
            <w:pPr>
              <w:widowControl/>
              <w:spacing w:line="400" w:lineRule="exact"/>
              <w:contextualSpacing/>
              <w:jc w:val="left"/>
              <w:rPr>
                <w:rFonts w:hint="eastAsia" w:ascii="宋体" w:hAnsi="宋体" w:eastAsia="宋体" w:cs="宋体"/>
                <w:kern w:val="0"/>
                <w:sz w:val="21"/>
                <w:szCs w:val="21"/>
                <w:highlight w:val="none"/>
              </w:rPr>
            </w:pPr>
          </w:p>
        </w:tc>
      </w:tr>
      <w:tr w14:paraId="6F9D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43F4A3EF">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090300DC">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03178E15">
            <w:pPr>
              <w:widowControl w:val="0"/>
              <w:spacing w:before="0" w:after="0" w:afterAutospacing="0" w:line="400" w:lineRule="exact"/>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存储技术支持岗：</w:t>
            </w:r>
            <w:r>
              <w:rPr>
                <w:rFonts w:hint="eastAsia" w:ascii="宋体" w:hAnsi="宋体" w:eastAsia="宋体" w:cs="宋体"/>
                <w:kern w:val="2"/>
                <w:sz w:val="21"/>
                <w:szCs w:val="21"/>
                <w:highlight w:val="none"/>
                <w:lang w:val="en-US" w:eastAsia="zh-CN" w:bidi="ar-SA"/>
              </w:rPr>
              <w:t>大专及以上学历，</w:t>
            </w:r>
            <w:r>
              <w:rPr>
                <w:rFonts w:hint="eastAsia" w:ascii="宋体" w:hAnsi="宋体" w:eastAsia="宋体" w:cs="宋体"/>
                <w:bCs/>
                <w:kern w:val="2"/>
                <w:sz w:val="21"/>
                <w:szCs w:val="21"/>
                <w:highlight w:val="none"/>
                <w:lang w:val="en-US" w:eastAsia="zh-CN" w:bidi="ar-SA"/>
              </w:rPr>
              <w:t>计算机相关专业；有3年及以上数据中心存储设备运维工作经验。</w:t>
            </w:r>
          </w:p>
        </w:tc>
        <w:tc>
          <w:tcPr>
            <w:tcW w:w="1156" w:type="dxa"/>
            <w:vMerge w:val="continue"/>
            <w:vAlign w:val="center"/>
          </w:tcPr>
          <w:p w14:paraId="0EBF683F">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617F72B2">
            <w:pPr>
              <w:widowControl/>
              <w:spacing w:line="400" w:lineRule="exact"/>
              <w:contextualSpacing/>
              <w:jc w:val="left"/>
              <w:rPr>
                <w:rFonts w:hint="eastAsia" w:ascii="宋体" w:hAnsi="宋体" w:eastAsia="宋体" w:cs="宋体"/>
                <w:kern w:val="0"/>
                <w:sz w:val="21"/>
                <w:szCs w:val="21"/>
                <w:highlight w:val="none"/>
              </w:rPr>
            </w:pPr>
          </w:p>
        </w:tc>
      </w:tr>
      <w:tr w14:paraId="30C8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5D565A2D">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6D2A2647">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1EB542BE">
            <w:pPr>
              <w:widowControl w:val="0"/>
              <w:spacing w:before="0" w:after="0" w:afterAutospacing="0" w:line="400" w:lineRule="exact"/>
              <w:contextualSpacing/>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数据备份技术支持岗</w:t>
            </w:r>
            <w:r>
              <w:rPr>
                <w:rFonts w:hint="eastAsia" w:ascii="宋体" w:hAnsi="宋体" w:eastAsia="宋体" w:cs="宋体"/>
                <w:kern w:val="2"/>
                <w:sz w:val="21"/>
                <w:szCs w:val="21"/>
                <w:highlight w:val="none"/>
                <w:lang w:val="en-US" w:eastAsia="zh-CN" w:bidi="ar-SA"/>
              </w:rPr>
              <w:t>：大专及以上学历，计算机相关专业，</w:t>
            </w:r>
            <w:r>
              <w:rPr>
                <w:rFonts w:hint="eastAsia" w:ascii="宋体" w:hAnsi="宋体" w:eastAsia="宋体" w:cs="宋体"/>
                <w:bCs/>
                <w:kern w:val="2"/>
                <w:sz w:val="21"/>
                <w:szCs w:val="21"/>
                <w:highlight w:val="none"/>
                <w:lang w:val="en-US" w:eastAsia="zh-CN" w:bidi="ar-SA"/>
              </w:rPr>
              <w:t>有3年及以上</w:t>
            </w:r>
            <w:r>
              <w:rPr>
                <w:rFonts w:hint="eastAsia" w:ascii="宋体" w:hAnsi="宋体" w:eastAsia="宋体" w:cs="宋体"/>
                <w:kern w:val="2"/>
                <w:sz w:val="21"/>
                <w:szCs w:val="21"/>
                <w:highlight w:val="none"/>
                <w:lang w:val="en-US" w:eastAsia="zh-CN" w:bidi="ar-SA"/>
              </w:rPr>
              <w:t>数据备份运维工作经验</w:t>
            </w:r>
            <w:r>
              <w:rPr>
                <w:rFonts w:hint="eastAsia" w:ascii="宋体" w:hAnsi="宋体" w:eastAsia="宋体" w:cs="宋体"/>
                <w:bCs/>
                <w:kern w:val="2"/>
                <w:sz w:val="21"/>
                <w:szCs w:val="21"/>
                <w:highlight w:val="none"/>
                <w:lang w:val="en-US" w:eastAsia="zh-CN" w:bidi="ar-SA"/>
              </w:rPr>
              <w:t>。</w:t>
            </w:r>
          </w:p>
        </w:tc>
        <w:tc>
          <w:tcPr>
            <w:tcW w:w="1156" w:type="dxa"/>
            <w:vMerge w:val="continue"/>
            <w:vAlign w:val="center"/>
          </w:tcPr>
          <w:p w14:paraId="329E915F">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682F3B52">
            <w:pPr>
              <w:widowControl/>
              <w:spacing w:line="400" w:lineRule="exact"/>
              <w:contextualSpacing/>
              <w:jc w:val="left"/>
              <w:rPr>
                <w:rFonts w:hint="eastAsia" w:ascii="宋体" w:hAnsi="宋体" w:eastAsia="宋体" w:cs="宋体"/>
                <w:kern w:val="0"/>
                <w:sz w:val="21"/>
                <w:szCs w:val="21"/>
                <w:highlight w:val="none"/>
              </w:rPr>
            </w:pPr>
          </w:p>
        </w:tc>
      </w:tr>
      <w:tr w14:paraId="68CA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493BABEE">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01A8A898">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4412E613">
            <w:pPr>
              <w:widowControl w:val="0"/>
              <w:spacing w:before="0" w:after="0" w:afterAutospacing="0" w:line="400" w:lineRule="exact"/>
              <w:contextualSpacing/>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小型机技术支持岗</w:t>
            </w:r>
            <w:r>
              <w:rPr>
                <w:rFonts w:hint="eastAsia" w:ascii="宋体" w:hAnsi="宋体" w:eastAsia="宋体" w:cs="宋体"/>
                <w:kern w:val="2"/>
                <w:sz w:val="21"/>
                <w:szCs w:val="21"/>
                <w:highlight w:val="none"/>
                <w:lang w:val="en-US" w:eastAsia="zh-CN" w:bidi="ar-SA"/>
              </w:rPr>
              <w:t>：大专及以上学历，计算机相关专业；有3年及以上数据中心小型机设备运维工作经验</w:t>
            </w:r>
            <w:r>
              <w:rPr>
                <w:rFonts w:hint="eastAsia" w:ascii="宋体" w:hAnsi="宋体" w:eastAsia="宋体" w:cs="宋体"/>
                <w:bCs/>
                <w:kern w:val="2"/>
                <w:sz w:val="21"/>
                <w:szCs w:val="21"/>
                <w:highlight w:val="none"/>
                <w:lang w:val="en-US" w:eastAsia="zh-CN" w:bidi="ar-SA"/>
              </w:rPr>
              <w:t>。</w:t>
            </w:r>
          </w:p>
        </w:tc>
        <w:tc>
          <w:tcPr>
            <w:tcW w:w="1156" w:type="dxa"/>
            <w:vMerge w:val="continue"/>
            <w:vAlign w:val="center"/>
          </w:tcPr>
          <w:p w14:paraId="279BAB53">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1412804D">
            <w:pPr>
              <w:widowControl/>
              <w:spacing w:line="400" w:lineRule="exact"/>
              <w:contextualSpacing/>
              <w:jc w:val="left"/>
              <w:rPr>
                <w:rFonts w:hint="eastAsia" w:ascii="宋体" w:hAnsi="宋体" w:eastAsia="宋体" w:cs="宋体"/>
                <w:kern w:val="0"/>
                <w:sz w:val="21"/>
                <w:szCs w:val="21"/>
                <w:highlight w:val="none"/>
              </w:rPr>
            </w:pPr>
          </w:p>
        </w:tc>
      </w:tr>
      <w:tr w14:paraId="4223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8" w:type="dxa"/>
            <w:gridSpan w:val="5"/>
            <w:vAlign w:val="center"/>
          </w:tcPr>
          <w:p w14:paraId="1E7FFD27">
            <w:pPr>
              <w:widowControl/>
              <w:spacing w:line="400" w:lineRule="exact"/>
              <w:contextualSpacing/>
              <w:jc w:val="left"/>
              <w:rPr>
                <w:rFonts w:hint="eastAsia" w:ascii="宋体" w:hAnsi="宋体" w:eastAsia="宋体" w:cs="宋体"/>
                <w:kern w:val="0"/>
                <w:sz w:val="21"/>
                <w:szCs w:val="21"/>
                <w:highlight w:val="none"/>
              </w:rPr>
            </w:pPr>
          </w:p>
        </w:tc>
      </w:tr>
      <w:tr w14:paraId="68E3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restart"/>
            <w:vAlign w:val="center"/>
          </w:tcPr>
          <w:p w14:paraId="758B12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Merge w:val="restart"/>
            <w:vAlign w:val="center"/>
          </w:tcPr>
          <w:p w14:paraId="2EE882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运维岗位人员数量要求</w:t>
            </w:r>
          </w:p>
        </w:tc>
        <w:tc>
          <w:tcPr>
            <w:tcW w:w="4713" w:type="dxa"/>
            <w:vAlign w:val="center"/>
          </w:tcPr>
          <w:p w14:paraId="13ADBC42">
            <w:pPr>
              <w:widowControl w:val="0"/>
              <w:spacing w:before="0" w:after="0" w:afterAutospacing="0" w:line="400" w:lineRule="exact"/>
              <w:contextualSpacing/>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项目经理1人，现场服务</w:t>
            </w:r>
          </w:p>
        </w:tc>
        <w:tc>
          <w:tcPr>
            <w:tcW w:w="1156" w:type="dxa"/>
            <w:vMerge w:val="restart"/>
            <w:vAlign w:val="center"/>
          </w:tcPr>
          <w:p w14:paraId="523181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Merge w:val="restart"/>
            <w:vAlign w:val="center"/>
          </w:tcPr>
          <w:p w14:paraId="508FB5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投标人应提供上述参与项目的人员名单、简历及合同存续期内的劳动合同复印件（盖投标人公章）；并提供承诺书（格式自拟），承诺书内容包括：</w:t>
            </w:r>
          </w:p>
          <w:p w14:paraId="7938FA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①上述人员均为投标人单位正式员工；</w:t>
            </w:r>
          </w:p>
          <w:p w14:paraId="5ED90E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②针对本项目所派遣员工无犯罪记录；</w:t>
            </w:r>
          </w:p>
          <w:p w14:paraId="6E2B69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③进场时提供人员简历所涉及证书的原件备查。</w:t>
            </w:r>
          </w:p>
        </w:tc>
      </w:tr>
      <w:tr w14:paraId="3683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3FBF57FE">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7E7974A5">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0FAAC6EE">
            <w:pPr>
              <w:widowControl w:val="0"/>
              <w:spacing w:before="0" w:after="0" w:afterAutospacing="0" w:line="400" w:lineRule="exact"/>
              <w:contextualSpacing/>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强电经理1人，现场服务</w:t>
            </w:r>
          </w:p>
        </w:tc>
        <w:tc>
          <w:tcPr>
            <w:tcW w:w="1156" w:type="dxa"/>
            <w:vMerge w:val="continue"/>
            <w:vAlign w:val="center"/>
          </w:tcPr>
          <w:p w14:paraId="0C8C17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Merge w:val="continue"/>
            <w:vAlign w:val="center"/>
          </w:tcPr>
          <w:p w14:paraId="5AD631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r>
      <w:tr w14:paraId="5236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509A74CE">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0B11C385">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0389C843">
            <w:pPr>
              <w:widowControl w:val="0"/>
              <w:spacing w:before="0" w:after="0" w:afterAutospacing="0" w:line="400" w:lineRule="exact"/>
              <w:contextualSpacing/>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驻场经理1人，驻场服务</w:t>
            </w:r>
          </w:p>
        </w:tc>
        <w:tc>
          <w:tcPr>
            <w:tcW w:w="1156" w:type="dxa"/>
            <w:vMerge w:val="continue"/>
            <w:vAlign w:val="center"/>
          </w:tcPr>
          <w:p w14:paraId="2F11B5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Merge w:val="continue"/>
            <w:vAlign w:val="center"/>
          </w:tcPr>
          <w:p w14:paraId="02EE69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r>
      <w:tr w14:paraId="0DAE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61D3E3EE">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40068E03">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7193911C">
            <w:pPr>
              <w:widowControl w:val="0"/>
              <w:spacing w:before="0" w:after="0" w:afterAutospacing="0" w:line="400" w:lineRule="exact"/>
              <w:contextualSpacing/>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供配电技术支持人员至少1名，驻场服务</w:t>
            </w:r>
          </w:p>
        </w:tc>
        <w:tc>
          <w:tcPr>
            <w:tcW w:w="1156" w:type="dxa"/>
            <w:vMerge w:val="continue"/>
            <w:vAlign w:val="center"/>
          </w:tcPr>
          <w:p w14:paraId="12879B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Merge w:val="continue"/>
            <w:vAlign w:val="center"/>
          </w:tcPr>
          <w:p w14:paraId="4FA555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r>
      <w:tr w14:paraId="614C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07B4CC39">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540AA078">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0583A2A1">
            <w:pPr>
              <w:widowControl w:val="0"/>
              <w:spacing w:before="0" w:after="0" w:afterAutospacing="0" w:line="400" w:lineRule="exact"/>
              <w:contextualSpacing/>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UPS技术支持人员至少2名，驻场服务</w:t>
            </w:r>
          </w:p>
        </w:tc>
        <w:tc>
          <w:tcPr>
            <w:tcW w:w="1156" w:type="dxa"/>
            <w:vMerge w:val="continue"/>
            <w:vAlign w:val="center"/>
          </w:tcPr>
          <w:p w14:paraId="357FE9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Merge w:val="continue"/>
            <w:vAlign w:val="center"/>
          </w:tcPr>
          <w:p w14:paraId="07D48D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r>
      <w:tr w14:paraId="4474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407FD816">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33F3831B">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2BD0F2E1">
            <w:pPr>
              <w:widowControl w:val="0"/>
              <w:spacing w:before="0" w:after="0" w:afterAutospacing="0" w:line="400" w:lineRule="exact"/>
              <w:contextualSpacing/>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精密空调技术支持人员至少2名，驻场服务</w:t>
            </w:r>
          </w:p>
        </w:tc>
        <w:tc>
          <w:tcPr>
            <w:tcW w:w="1156" w:type="dxa"/>
            <w:vMerge w:val="continue"/>
            <w:vAlign w:val="center"/>
          </w:tcPr>
          <w:p w14:paraId="2C9898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Merge w:val="continue"/>
            <w:vAlign w:val="center"/>
          </w:tcPr>
          <w:p w14:paraId="466258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r>
      <w:tr w14:paraId="7992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701C99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97" w:type="dxa"/>
            <w:vMerge w:val="continue"/>
            <w:vAlign w:val="center"/>
          </w:tcPr>
          <w:p w14:paraId="65B19BF4">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24A897EE">
            <w:pPr>
              <w:widowControl w:val="0"/>
              <w:spacing w:before="0" w:after="0" w:afterAutospacing="0" w:line="400" w:lineRule="exact"/>
              <w:contextualSpacing/>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安防监控技术支持人员至少1名，现场服务</w:t>
            </w:r>
          </w:p>
        </w:tc>
        <w:tc>
          <w:tcPr>
            <w:tcW w:w="1156" w:type="dxa"/>
            <w:vAlign w:val="center"/>
          </w:tcPr>
          <w:p w14:paraId="188982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Merge w:val="continue"/>
            <w:vAlign w:val="center"/>
          </w:tcPr>
          <w:p w14:paraId="303794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r>
      <w:tr w14:paraId="3CD4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restart"/>
            <w:vAlign w:val="center"/>
          </w:tcPr>
          <w:p w14:paraId="76E0AE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97" w:type="dxa"/>
            <w:vMerge w:val="continue"/>
            <w:vAlign w:val="center"/>
          </w:tcPr>
          <w:p w14:paraId="0D3B3AC3">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424B0090">
            <w:pPr>
              <w:widowControl w:val="0"/>
              <w:spacing w:before="0" w:after="0" w:afterAutospacing="0" w:line="400" w:lineRule="exact"/>
              <w:contextualSpacing/>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服务器及负载均衡设备技术支持人员至少1名，驻场服务</w:t>
            </w:r>
          </w:p>
        </w:tc>
        <w:tc>
          <w:tcPr>
            <w:tcW w:w="1156" w:type="dxa"/>
            <w:vMerge w:val="restart"/>
            <w:vAlign w:val="center"/>
          </w:tcPr>
          <w:p w14:paraId="48493F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Merge w:val="continue"/>
            <w:vAlign w:val="center"/>
          </w:tcPr>
          <w:p w14:paraId="7A2E86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r>
      <w:tr w14:paraId="100A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7C46803B">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5F03EB0B">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2A59719A">
            <w:pPr>
              <w:widowControl w:val="0"/>
              <w:spacing w:before="0" w:after="0" w:afterAutospacing="0" w:line="400" w:lineRule="exact"/>
              <w:contextualSpacing/>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阿里云技术支持人员至少1名，驻场服务</w:t>
            </w:r>
          </w:p>
        </w:tc>
        <w:tc>
          <w:tcPr>
            <w:tcW w:w="1156" w:type="dxa"/>
            <w:vMerge w:val="continue"/>
            <w:vAlign w:val="center"/>
          </w:tcPr>
          <w:p w14:paraId="6A6DDAD7">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40AE6463">
            <w:pPr>
              <w:widowControl/>
              <w:spacing w:line="400" w:lineRule="exact"/>
              <w:contextualSpacing/>
              <w:jc w:val="left"/>
              <w:rPr>
                <w:rFonts w:hint="eastAsia" w:ascii="宋体" w:hAnsi="宋体" w:eastAsia="宋体" w:cs="宋体"/>
                <w:kern w:val="0"/>
                <w:sz w:val="21"/>
                <w:szCs w:val="21"/>
                <w:highlight w:val="none"/>
              </w:rPr>
            </w:pPr>
          </w:p>
        </w:tc>
      </w:tr>
      <w:tr w14:paraId="69C2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27C6BA8C">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4EE6DB3C">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7E4A94EE">
            <w:pPr>
              <w:widowControl w:val="0"/>
              <w:spacing w:before="0" w:after="0" w:afterAutospacing="0" w:line="400" w:lineRule="exact"/>
              <w:contextualSpacing/>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虚拟化技术支持人员至少1名，驻场服务</w:t>
            </w:r>
          </w:p>
        </w:tc>
        <w:tc>
          <w:tcPr>
            <w:tcW w:w="1156" w:type="dxa"/>
            <w:vMerge w:val="continue"/>
            <w:vAlign w:val="center"/>
          </w:tcPr>
          <w:p w14:paraId="33AE59C0">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197F77B4">
            <w:pPr>
              <w:widowControl/>
              <w:spacing w:line="400" w:lineRule="exact"/>
              <w:contextualSpacing/>
              <w:jc w:val="left"/>
              <w:rPr>
                <w:rFonts w:hint="eastAsia" w:ascii="宋体" w:hAnsi="宋体" w:eastAsia="宋体" w:cs="宋体"/>
                <w:kern w:val="0"/>
                <w:sz w:val="21"/>
                <w:szCs w:val="21"/>
                <w:highlight w:val="none"/>
              </w:rPr>
            </w:pPr>
          </w:p>
        </w:tc>
      </w:tr>
      <w:tr w14:paraId="340C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285881E2">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255CBF62">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30539D68">
            <w:pPr>
              <w:widowControl w:val="0"/>
              <w:spacing w:before="0" w:after="0" w:afterAutospacing="0" w:line="400" w:lineRule="exact"/>
              <w:contextualSpacing/>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存储技术支持人员至少1名，驻场服务</w:t>
            </w:r>
          </w:p>
        </w:tc>
        <w:tc>
          <w:tcPr>
            <w:tcW w:w="1156" w:type="dxa"/>
            <w:vMerge w:val="continue"/>
            <w:vAlign w:val="center"/>
          </w:tcPr>
          <w:p w14:paraId="0FD54A78">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60EE1C03">
            <w:pPr>
              <w:widowControl/>
              <w:spacing w:line="400" w:lineRule="exact"/>
              <w:contextualSpacing/>
              <w:jc w:val="left"/>
              <w:rPr>
                <w:rFonts w:hint="eastAsia" w:ascii="宋体" w:hAnsi="宋体" w:eastAsia="宋体" w:cs="宋体"/>
                <w:kern w:val="0"/>
                <w:sz w:val="21"/>
                <w:szCs w:val="21"/>
                <w:highlight w:val="none"/>
              </w:rPr>
            </w:pPr>
          </w:p>
        </w:tc>
      </w:tr>
      <w:tr w14:paraId="68A0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3" w:type="dxa"/>
            <w:vMerge w:val="continue"/>
            <w:vAlign w:val="center"/>
          </w:tcPr>
          <w:p w14:paraId="0EF4D571">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44546168">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61488235">
            <w:pPr>
              <w:widowControl w:val="0"/>
              <w:spacing w:before="0" w:after="0" w:afterAutospacing="0" w:line="400" w:lineRule="exact"/>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数据备份技术支持人员至少1名，驻场服务</w:t>
            </w:r>
          </w:p>
        </w:tc>
        <w:tc>
          <w:tcPr>
            <w:tcW w:w="1156" w:type="dxa"/>
            <w:vMerge w:val="continue"/>
            <w:vAlign w:val="center"/>
          </w:tcPr>
          <w:p w14:paraId="476B304F">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0A1CAA60">
            <w:pPr>
              <w:widowControl/>
              <w:spacing w:line="400" w:lineRule="exact"/>
              <w:contextualSpacing/>
              <w:jc w:val="left"/>
              <w:rPr>
                <w:rFonts w:hint="eastAsia" w:ascii="宋体" w:hAnsi="宋体" w:eastAsia="宋体" w:cs="宋体"/>
                <w:kern w:val="0"/>
                <w:sz w:val="21"/>
                <w:szCs w:val="21"/>
                <w:highlight w:val="none"/>
              </w:rPr>
            </w:pPr>
          </w:p>
        </w:tc>
      </w:tr>
      <w:tr w14:paraId="7E14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7F500255">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3F64802F">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7596B4AC">
            <w:pPr>
              <w:widowControl w:val="0"/>
              <w:spacing w:before="0" w:after="0" w:afterAutospacing="0" w:line="400" w:lineRule="exact"/>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小型机技术支持人员至少1名，驻场服务</w:t>
            </w:r>
          </w:p>
        </w:tc>
        <w:tc>
          <w:tcPr>
            <w:tcW w:w="1156" w:type="dxa"/>
            <w:vMerge w:val="continue"/>
            <w:vAlign w:val="center"/>
          </w:tcPr>
          <w:p w14:paraId="1F66EAB6">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78E865B8">
            <w:pPr>
              <w:widowControl/>
              <w:spacing w:line="400" w:lineRule="exact"/>
              <w:contextualSpacing/>
              <w:jc w:val="left"/>
              <w:rPr>
                <w:rFonts w:hint="eastAsia" w:ascii="宋体" w:hAnsi="宋体" w:eastAsia="宋体" w:cs="宋体"/>
                <w:kern w:val="0"/>
                <w:sz w:val="21"/>
                <w:szCs w:val="21"/>
                <w:highlight w:val="none"/>
              </w:rPr>
            </w:pPr>
          </w:p>
        </w:tc>
      </w:tr>
      <w:tr w14:paraId="4944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1F4B35D5">
            <w:pPr>
              <w:widowControl/>
              <w:spacing w:line="400" w:lineRule="exact"/>
              <w:contextualSpacing/>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4</w:t>
            </w:r>
          </w:p>
        </w:tc>
        <w:tc>
          <w:tcPr>
            <w:tcW w:w="1197" w:type="dxa"/>
            <w:vAlign w:val="center"/>
          </w:tcPr>
          <w:p w14:paraId="69F4F527">
            <w:pPr>
              <w:widowControl/>
              <w:spacing w:line="400" w:lineRule="exact"/>
              <w:contextualSpacing/>
              <w:jc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人员要求</w:t>
            </w:r>
          </w:p>
        </w:tc>
        <w:tc>
          <w:tcPr>
            <w:tcW w:w="4713" w:type="dxa"/>
            <w:vAlign w:val="center"/>
          </w:tcPr>
          <w:p w14:paraId="3467C851">
            <w:pPr>
              <w:widowControl w:val="0"/>
              <w:spacing w:before="0" w:after="0" w:afterAutospacing="0" w:line="400" w:lineRule="exact"/>
              <w:contextualSpacing/>
              <w:jc w:val="both"/>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拟派驻场服务人员不得兼任其他岗位</w:t>
            </w:r>
          </w:p>
        </w:tc>
        <w:tc>
          <w:tcPr>
            <w:tcW w:w="1156" w:type="dxa"/>
            <w:shd w:val="clear" w:color="auto" w:fill="auto"/>
            <w:vAlign w:val="center"/>
          </w:tcPr>
          <w:p w14:paraId="005589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w:t>
            </w:r>
          </w:p>
        </w:tc>
        <w:tc>
          <w:tcPr>
            <w:tcW w:w="1189" w:type="dxa"/>
            <w:shd w:val="clear" w:color="auto" w:fill="auto"/>
            <w:vAlign w:val="center"/>
          </w:tcPr>
          <w:p w14:paraId="7E6288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zh-CN" w:eastAsia="zh-CN"/>
              </w:rPr>
              <w:t>承诺</w:t>
            </w:r>
            <w:r>
              <w:rPr>
                <w:rFonts w:hint="eastAsia" w:ascii="宋体" w:hAnsi="宋体" w:eastAsia="宋体" w:cs="宋体"/>
                <w:sz w:val="21"/>
                <w:szCs w:val="21"/>
                <w:highlight w:val="none"/>
                <w:lang w:val="en-US" w:eastAsia="zh-CN"/>
              </w:rPr>
              <w:t>函</w:t>
            </w:r>
            <w:r>
              <w:rPr>
                <w:rFonts w:hint="eastAsia" w:ascii="宋体" w:hAnsi="宋体" w:eastAsia="宋体" w:cs="宋体"/>
                <w:sz w:val="21"/>
                <w:szCs w:val="21"/>
                <w:highlight w:val="none"/>
                <w:lang w:val="zh-CN" w:eastAsia="zh-CN"/>
              </w:rPr>
              <w:t>并盖投标人公章</w:t>
            </w:r>
          </w:p>
        </w:tc>
      </w:tr>
      <w:tr w14:paraId="0185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8" w:type="dxa"/>
            <w:gridSpan w:val="5"/>
            <w:vAlign w:val="center"/>
          </w:tcPr>
          <w:p w14:paraId="1B581F28">
            <w:pPr>
              <w:widowControl/>
              <w:spacing w:line="400" w:lineRule="exact"/>
              <w:contextualSpacing/>
              <w:jc w:val="left"/>
              <w:rPr>
                <w:rFonts w:hint="eastAsia" w:ascii="宋体" w:hAnsi="宋体" w:eastAsia="宋体" w:cs="宋体"/>
                <w:kern w:val="0"/>
                <w:sz w:val="21"/>
                <w:szCs w:val="21"/>
                <w:highlight w:val="none"/>
              </w:rPr>
            </w:pPr>
          </w:p>
        </w:tc>
      </w:tr>
      <w:tr w14:paraId="269D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7D77CE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Merge w:val="restart"/>
            <w:vAlign w:val="center"/>
          </w:tcPr>
          <w:p w14:paraId="41E0C5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人员管理要求</w:t>
            </w:r>
          </w:p>
        </w:tc>
        <w:tc>
          <w:tcPr>
            <w:tcW w:w="4713" w:type="dxa"/>
            <w:vAlign w:val="center"/>
          </w:tcPr>
          <w:p w14:paraId="3AFBE7F9">
            <w:pPr>
              <w:widowControl w:val="0"/>
              <w:spacing w:before="0" w:after="0" w:afterAutospacing="0" w:line="400" w:lineRule="exact"/>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所有运维团队成员必须遵守国家的法律法规，遵守社会公序良俗。</w:t>
            </w:r>
          </w:p>
        </w:tc>
        <w:tc>
          <w:tcPr>
            <w:tcW w:w="1156" w:type="dxa"/>
            <w:vAlign w:val="center"/>
          </w:tcPr>
          <w:p w14:paraId="5B4AFB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05E892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1010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33FF9F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97" w:type="dxa"/>
            <w:vMerge w:val="continue"/>
            <w:vAlign w:val="center"/>
          </w:tcPr>
          <w:p w14:paraId="77A83D64">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3C94E0DE">
            <w:pPr>
              <w:widowControl w:val="0"/>
              <w:spacing w:before="0" w:after="0" w:afterAutospacing="0" w:line="400" w:lineRule="exact"/>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工作期间，必须服从采购人的统一管理，遵守采购人的各项规章制度。</w:t>
            </w:r>
          </w:p>
        </w:tc>
        <w:tc>
          <w:tcPr>
            <w:tcW w:w="1156" w:type="dxa"/>
            <w:vAlign w:val="center"/>
          </w:tcPr>
          <w:p w14:paraId="66AA3B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7A4800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7423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384EDA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97" w:type="dxa"/>
            <w:vMerge w:val="continue"/>
            <w:vAlign w:val="center"/>
          </w:tcPr>
          <w:p w14:paraId="50333133">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0661D7D6">
            <w:pPr>
              <w:widowControl w:val="0"/>
              <w:spacing w:before="0" w:after="0" w:afterAutospacing="0" w:line="400" w:lineRule="exact"/>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进入数据中心服务时，必须统一着装（中标人统一制作服装，费用由中标人负担）上岗，工作期间应精神饱满，仪表整洁。</w:t>
            </w:r>
          </w:p>
        </w:tc>
        <w:tc>
          <w:tcPr>
            <w:tcW w:w="1156" w:type="dxa"/>
            <w:vAlign w:val="center"/>
          </w:tcPr>
          <w:p w14:paraId="7E7AF0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28B5AB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7890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4FD34D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97" w:type="dxa"/>
            <w:vMerge w:val="continue"/>
            <w:vAlign w:val="center"/>
          </w:tcPr>
          <w:p w14:paraId="51177A92">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3B59CFC1">
            <w:pPr>
              <w:widowControl w:val="0"/>
              <w:spacing w:before="0" w:after="0" w:afterAutospacing="0" w:line="400" w:lineRule="exact"/>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必须遵守采购人办公区人员出入规定，不得擅自带领无关人员进入办公区，必须文明服务，不得与省局机关工作人员发生争执。</w:t>
            </w:r>
          </w:p>
        </w:tc>
        <w:tc>
          <w:tcPr>
            <w:tcW w:w="1156" w:type="dxa"/>
            <w:vAlign w:val="center"/>
          </w:tcPr>
          <w:p w14:paraId="6CE77C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340B06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2F4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36C019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197" w:type="dxa"/>
            <w:vMerge w:val="continue"/>
            <w:vAlign w:val="center"/>
          </w:tcPr>
          <w:p w14:paraId="650313FE">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4AB74C10">
            <w:pPr>
              <w:widowControl w:val="0"/>
              <w:spacing w:before="0" w:after="0" w:afterAutospacing="0" w:line="400" w:lineRule="exact"/>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对强电设备提供现场服务时，对应的设备要由对应岗位的人员持证上岗，安全操作。</w:t>
            </w:r>
          </w:p>
        </w:tc>
        <w:tc>
          <w:tcPr>
            <w:tcW w:w="1156" w:type="dxa"/>
            <w:vAlign w:val="center"/>
          </w:tcPr>
          <w:p w14:paraId="1D6A5C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633AF8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580F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52AA55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197" w:type="dxa"/>
            <w:vMerge w:val="continue"/>
            <w:vAlign w:val="center"/>
          </w:tcPr>
          <w:p w14:paraId="66F60CA3">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23C396EC">
            <w:pPr>
              <w:widowControl w:val="0"/>
              <w:spacing w:before="0" w:after="0" w:afterAutospacing="0" w:line="400" w:lineRule="exact"/>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驻场人员应严格按时上下班，不得无故旷工，工作时间不得随意离开工作岗位，请假必须亲自向采购人办理请假手续。</w:t>
            </w:r>
          </w:p>
        </w:tc>
        <w:tc>
          <w:tcPr>
            <w:tcW w:w="1156" w:type="dxa"/>
            <w:vAlign w:val="center"/>
          </w:tcPr>
          <w:p w14:paraId="06E4B8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667BA7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75A7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785BD5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197" w:type="dxa"/>
            <w:vMerge w:val="continue"/>
            <w:vAlign w:val="center"/>
          </w:tcPr>
          <w:p w14:paraId="07FFFA85">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6C5CC86B">
            <w:pPr>
              <w:widowControl w:val="0"/>
              <w:spacing w:before="0" w:after="0" w:afterAutospacing="0" w:line="400" w:lineRule="exact"/>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驻场人员需要承担数据中心7×24值班工作，工作内容和时间服从采购人的统一管理和安排。</w:t>
            </w:r>
          </w:p>
        </w:tc>
        <w:tc>
          <w:tcPr>
            <w:tcW w:w="1156" w:type="dxa"/>
            <w:vAlign w:val="center"/>
          </w:tcPr>
          <w:p w14:paraId="0AB27D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27CD84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6414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673073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197" w:type="dxa"/>
            <w:vMerge w:val="continue"/>
            <w:vAlign w:val="center"/>
          </w:tcPr>
          <w:p w14:paraId="2B1DED5B">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4B78443C">
            <w:pPr>
              <w:spacing w:line="400" w:lineRule="exact"/>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未经采购人允许，中标人</w:t>
            </w:r>
            <w:r>
              <w:rPr>
                <w:rFonts w:hint="eastAsia" w:ascii="宋体" w:hAnsi="宋体" w:eastAsia="宋体" w:cs="宋体"/>
                <w:sz w:val="21"/>
                <w:szCs w:val="21"/>
                <w:highlight w:val="none"/>
              </w:rPr>
              <w:t>不得安排驻场运维人员参与本项目内容之外的其他工作</w:t>
            </w:r>
            <w:r>
              <w:rPr>
                <w:rFonts w:hint="eastAsia" w:ascii="宋体" w:hAnsi="宋体" w:eastAsia="宋体" w:cs="宋体"/>
                <w:sz w:val="21"/>
                <w:szCs w:val="21"/>
                <w:highlight w:val="none"/>
                <w:lang w:eastAsia="zh-CN"/>
              </w:rPr>
              <w:t>。当数据中心运维工作有实际需求、采购人有重大或紧急任务时，中标人必须按照采购人的要求提供不限于</w:t>
            </w:r>
            <w:r>
              <w:rPr>
                <w:rFonts w:hint="eastAsia" w:ascii="宋体" w:hAnsi="宋体" w:eastAsia="宋体" w:cs="宋体"/>
                <w:sz w:val="21"/>
                <w:szCs w:val="21"/>
                <w:highlight w:val="none"/>
                <w:lang w:val="en-US" w:eastAsia="zh-CN"/>
              </w:rPr>
              <w:t>本</w:t>
            </w:r>
            <w:r>
              <w:rPr>
                <w:rFonts w:hint="eastAsia" w:ascii="宋体" w:hAnsi="宋体" w:eastAsia="宋体" w:cs="宋体"/>
                <w:sz w:val="21"/>
                <w:szCs w:val="21"/>
                <w:highlight w:val="none"/>
                <w:lang w:eastAsia="zh-CN"/>
              </w:rPr>
              <w:t>表</w:t>
            </w:r>
            <w:r>
              <w:rPr>
                <w:rFonts w:hint="eastAsia" w:ascii="宋体" w:hAnsi="宋体" w:eastAsia="宋体" w:cs="宋体"/>
                <w:sz w:val="21"/>
                <w:szCs w:val="21"/>
                <w:highlight w:val="none"/>
                <w:lang w:val="en-US" w:eastAsia="zh-CN"/>
              </w:rPr>
              <w:t>所列</w:t>
            </w:r>
            <w:r>
              <w:rPr>
                <w:rFonts w:hint="eastAsia" w:ascii="宋体" w:hAnsi="宋体" w:eastAsia="宋体" w:cs="宋体"/>
                <w:sz w:val="21"/>
                <w:szCs w:val="21"/>
                <w:highlight w:val="none"/>
                <w:lang w:eastAsia="zh-CN"/>
              </w:rPr>
              <w:t>的充足的运维人员保证。</w:t>
            </w:r>
          </w:p>
        </w:tc>
        <w:tc>
          <w:tcPr>
            <w:tcW w:w="1156" w:type="dxa"/>
            <w:vAlign w:val="center"/>
          </w:tcPr>
          <w:p w14:paraId="63614A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598A5E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zh-CN" w:eastAsia="zh-CN"/>
              </w:rPr>
              <w:t>承诺</w:t>
            </w:r>
            <w:r>
              <w:rPr>
                <w:rFonts w:hint="eastAsia" w:ascii="宋体" w:hAnsi="宋体" w:eastAsia="宋体" w:cs="宋体"/>
                <w:sz w:val="21"/>
                <w:szCs w:val="21"/>
                <w:highlight w:val="none"/>
                <w:lang w:val="en-US" w:eastAsia="zh-CN"/>
              </w:rPr>
              <w:t>函</w:t>
            </w:r>
            <w:r>
              <w:rPr>
                <w:rFonts w:hint="eastAsia" w:ascii="宋体" w:hAnsi="宋体" w:eastAsia="宋体" w:cs="宋体"/>
                <w:sz w:val="21"/>
                <w:szCs w:val="21"/>
                <w:highlight w:val="none"/>
                <w:lang w:val="zh-CN" w:eastAsia="zh-CN"/>
              </w:rPr>
              <w:t>并盖投标人公章</w:t>
            </w:r>
          </w:p>
        </w:tc>
      </w:tr>
    </w:tbl>
    <w:p w14:paraId="7620A4F8">
      <w:pPr>
        <w:widowControl/>
        <w:overflowPunct/>
        <w:autoSpaceDE/>
        <w:autoSpaceDN/>
        <w:adjustRightInd/>
        <w:spacing w:line="400" w:lineRule="exact"/>
        <w:ind w:firstLine="630" w:firstLineChars="300"/>
        <w:contextualSpacing/>
        <w:jc w:val="left"/>
        <w:textAlignment w:val="auto"/>
        <w:outlineLvl w:val="9"/>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val="0"/>
          <w:w w:val="100"/>
          <w:sz w:val="21"/>
          <w:szCs w:val="21"/>
          <w:highlight w:val="none"/>
          <w:shd w:val="clear" w:color="auto" w:fill="auto"/>
          <w:lang w:val="en-US" w:eastAsia="zh-CN"/>
        </w:rPr>
        <w:t xml:space="preserve"> </w:t>
      </w:r>
    </w:p>
    <w:p w14:paraId="0F457127">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SA"/>
        </w:rPr>
        <w:t>4.2服务方案要求</w:t>
      </w:r>
    </w:p>
    <w:p w14:paraId="6ABDC5D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投标人在</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sz w:val="21"/>
          <w:szCs w:val="21"/>
          <w:highlight w:val="none"/>
        </w:rPr>
        <w:t>时需提供相关的数据中心运维服务方案，包括总体服务方案、日常运维管理方案、故障处置方案、服务团队管理方案等。</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97"/>
        <w:gridCol w:w="4713"/>
        <w:gridCol w:w="1156"/>
        <w:gridCol w:w="1189"/>
      </w:tblGrid>
      <w:tr w14:paraId="56F9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77261C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97" w:type="dxa"/>
            <w:vAlign w:val="center"/>
          </w:tcPr>
          <w:p w14:paraId="16688F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713" w:type="dxa"/>
            <w:vAlign w:val="center"/>
          </w:tcPr>
          <w:p w14:paraId="5A0C94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156" w:type="dxa"/>
            <w:vAlign w:val="center"/>
          </w:tcPr>
          <w:p w14:paraId="743653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46B76F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1967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024304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Align w:val="center"/>
          </w:tcPr>
          <w:p w14:paraId="18ABC9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总体服务要求</w:t>
            </w:r>
          </w:p>
          <w:p w14:paraId="3CB2A9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43CCC901">
            <w:pPr>
              <w:widowControl w:val="0"/>
              <w:spacing w:line="400" w:lineRule="exact"/>
              <w:ind w:firstLine="0" w:firstLineChars="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应制定数据中心运维服务的总体服务方案。方案至少应包括总体服务目标和安排、服务内容、服务标准、服务保障、人员安排、安全规范、文档资料管理、验收标准、交接方案（如有）等整体服务方案。总体服务方案应服务内容详细、安排合理、保障充分，服务方案符合用户需求。</w:t>
            </w:r>
          </w:p>
        </w:tc>
        <w:tc>
          <w:tcPr>
            <w:tcW w:w="1156" w:type="dxa"/>
            <w:vAlign w:val="center"/>
          </w:tcPr>
          <w:p w14:paraId="09250E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5D739D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4528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8" w:type="dxa"/>
            <w:gridSpan w:val="5"/>
            <w:vAlign w:val="center"/>
          </w:tcPr>
          <w:p w14:paraId="3DE3CAE3">
            <w:pPr>
              <w:widowControl/>
              <w:spacing w:line="400" w:lineRule="exact"/>
              <w:contextualSpacing/>
              <w:jc w:val="left"/>
              <w:rPr>
                <w:rFonts w:hint="eastAsia" w:ascii="宋体" w:hAnsi="宋体" w:eastAsia="宋体" w:cs="宋体"/>
                <w:kern w:val="0"/>
                <w:sz w:val="21"/>
                <w:szCs w:val="21"/>
                <w:highlight w:val="none"/>
              </w:rPr>
            </w:pPr>
          </w:p>
        </w:tc>
      </w:tr>
      <w:tr w14:paraId="1854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28A0BC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Align w:val="center"/>
          </w:tcPr>
          <w:p w14:paraId="390FA8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日常运维管理方案</w:t>
            </w:r>
          </w:p>
        </w:tc>
        <w:tc>
          <w:tcPr>
            <w:tcW w:w="4713" w:type="dxa"/>
            <w:vAlign w:val="center"/>
          </w:tcPr>
          <w:p w14:paraId="1F416CC7">
            <w:pPr>
              <w:spacing w:line="400" w:lineRule="exact"/>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日常运维管理方案应包括值班管理、日常维护、巡检策略、监控管理、准入准出管理、实物管理、资源管理、重要时期保障措施等内容。方案应完整、详细，内容符合用户需求。</w:t>
            </w:r>
          </w:p>
        </w:tc>
        <w:tc>
          <w:tcPr>
            <w:tcW w:w="1156" w:type="dxa"/>
            <w:vAlign w:val="center"/>
          </w:tcPr>
          <w:p w14:paraId="67303C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371459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48AF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8" w:type="dxa"/>
            <w:gridSpan w:val="5"/>
            <w:vAlign w:val="center"/>
          </w:tcPr>
          <w:p w14:paraId="50E559F3">
            <w:pPr>
              <w:widowControl/>
              <w:spacing w:line="400" w:lineRule="exact"/>
              <w:contextualSpacing/>
              <w:jc w:val="left"/>
              <w:rPr>
                <w:rFonts w:hint="eastAsia" w:ascii="宋体" w:hAnsi="宋体" w:eastAsia="宋体" w:cs="宋体"/>
                <w:kern w:val="0"/>
                <w:sz w:val="21"/>
                <w:szCs w:val="21"/>
                <w:highlight w:val="none"/>
              </w:rPr>
            </w:pPr>
          </w:p>
        </w:tc>
      </w:tr>
      <w:tr w14:paraId="12D3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6C16A4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Merge w:val="restart"/>
            <w:vAlign w:val="center"/>
          </w:tcPr>
          <w:p w14:paraId="7DB471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b w:val="0"/>
                <w:bCs w:val="0"/>
                <w:sz w:val="21"/>
                <w:szCs w:val="21"/>
                <w:highlight w:val="none"/>
              </w:rPr>
              <w:t>故障处置方案</w:t>
            </w:r>
          </w:p>
        </w:tc>
        <w:tc>
          <w:tcPr>
            <w:tcW w:w="4713" w:type="dxa"/>
            <w:vAlign w:val="center"/>
          </w:tcPr>
          <w:p w14:paraId="6512EE94">
            <w:pPr>
              <w:spacing w:line="400" w:lineRule="exact"/>
              <w:contextualSpacing/>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rPr>
              <w:t>故障管理。故障管理方案应包括：故障发现、故障排查、故障处理、总结改进等。方案要包含概括性的通用的方案，又要有具体的实际案例。案例既要有多发的常规性故障，又要有偶发的疑难故障。故障发现部分要突出如何利用各种监控手段及时发现问题；故障排查部分要突出如何快速定位故障；故障处理部分要突出如何规避故障处置时的各种风险；总结改进部分要突出如何改进故障管理的整体质量，如人员素质提升，备品备件的补充，故障处理流程的优化等。</w:t>
            </w:r>
          </w:p>
        </w:tc>
        <w:tc>
          <w:tcPr>
            <w:tcW w:w="1156" w:type="dxa"/>
            <w:vAlign w:val="center"/>
          </w:tcPr>
          <w:p w14:paraId="412939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2F76C3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0A46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33C8B9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97" w:type="dxa"/>
            <w:vMerge w:val="continue"/>
            <w:vAlign w:val="center"/>
          </w:tcPr>
          <w:p w14:paraId="1AF3A003">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1CF6F2D1">
            <w:pPr>
              <w:widowControl w:val="0"/>
              <w:spacing w:before="0" w:after="0" w:afterAutospacing="0" w:line="400" w:lineRule="exact"/>
              <w:contextualSpacing/>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应急处置。应急处置应包含人员保障策略、处置流程预案、事后剖析模板和流程。以上内容应结合设备场地情况、工具备品情况、人员素质和管理情况，针对重大或常见的紧急情况，提出完整、可行、有效的整体方案。</w:t>
            </w:r>
          </w:p>
        </w:tc>
        <w:tc>
          <w:tcPr>
            <w:tcW w:w="1156" w:type="dxa"/>
            <w:vAlign w:val="center"/>
          </w:tcPr>
          <w:p w14:paraId="66A4E3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5985B7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1CCE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8" w:type="dxa"/>
            <w:gridSpan w:val="5"/>
            <w:vAlign w:val="center"/>
          </w:tcPr>
          <w:p w14:paraId="682B921B">
            <w:pPr>
              <w:widowControl/>
              <w:spacing w:line="400" w:lineRule="exact"/>
              <w:contextualSpacing/>
              <w:jc w:val="left"/>
              <w:rPr>
                <w:rFonts w:hint="eastAsia" w:ascii="宋体" w:hAnsi="宋体" w:eastAsia="宋体" w:cs="宋体"/>
                <w:kern w:val="0"/>
                <w:sz w:val="21"/>
                <w:szCs w:val="21"/>
                <w:highlight w:val="none"/>
              </w:rPr>
            </w:pPr>
          </w:p>
        </w:tc>
      </w:tr>
      <w:tr w14:paraId="35BD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0D3AA8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Merge w:val="restart"/>
            <w:vAlign w:val="center"/>
          </w:tcPr>
          <w:p w14:paraId="211941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服务团队管理方案</w:t>
            </w:r>
          </w:p>
        </w:tc>
        <w:tc>
          <w:tcPr>
            <w:tcW w:w="4713" w:type="dxa"/>
            <w:vAlign w:val="center"/>
          </w:tcPr>
          <w:p w14:paraId="38A67829">
            <w:pPr>
              <w:widowControl w:val="0"/>
              <w:spacing w:before="0" w:after="0" w:afterAutospacing="0" w:line="400" w:lineRule="exact"/>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人员管理。应根据实际情况出具完整的组织构架，并说明所有岗位人员的岗位职责和工作方式，对人员稳定性、考核与激励政策、岗位准入机制、服务团队培训等完备的人员管理方案，人员管理方案应完整、详细、符合实际需求。</w:t>
            </w:r>
          </w:p>
        </w:tc>
        <w:tc>
          <w:tcPr>
            <w:tcW w:w="1156" w:type="dxa"/>
            <w:vAlign w:val="center"/>
          </w:tcPr>
          <w:p w14:paraId="7CE149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6FF32A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474A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367952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97" w:type="dxa"/>
            <w:vMerge w:val="continue"/>
            <w:vAlign w:val="center"/>
          </w:tcPr>
          <w:p w14:paraId="082B69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68DB3732">
            <w:pPr>
              <w:widowControl w:val="0"/>
              <w:spacing w:before="0" w:after="0" w:afterAutospacing="0" w:line="400" w:lineRule="exact"/>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人员变更流程。应提交完整的人员变更方案，包括后备人员力量，人员稳定过渡办法，人员补充交接方式等。人员变更方案应完整、详细，具有较强的可操作性。</w:t>
            </w:r>
          </w:p>
        </w:tc>
        <w:tc>
          <w:tcPr>
            <w:tcW w:w="1156" w:type="dxa"/>
            <w:vAlign w:val="center"/>
          </w:tcPr>
          <w:p w14:paraId="60472F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3662C6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bl>
    <w:p w14:paraId="39A00B8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w:t>
      </w:r>
    </w:p>
    <w:p w14:paraId="40A0312B">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4.3 服务时限要求</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97"/>
        <w:gridCol w:w="4713"/>
        <w:gridCol w:w="1156"/>
        <w:gridCol w:w="1189"/>
      </w:tblGrid>
      <w:tr w14:paraId="2C5C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558429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97" w:type="dxa"/>
            <w:vAlign w:val="center"/>
          </w:tcPr>
          <w:p w14:paraId="36B7A8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713" w:type="dxa"/>
            <w:vAlign w:val="center"/>
          </w:tcPr>
          <w:p w14:paraId="31914F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156" w:type="dxa"/>
            <w:vAlign w:val="center"/>
          </w:tcPr>
          <w:p w14:paraId="48BFCE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2D9E5B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12DC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100F89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Align w:val="center"/>
          </w:tcPr>
          <w:p w14:paraId="286499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一级故障</w:t>
            </w:r>
            <w:r>
              <w:rPr>
                <w:rFonts w:hint="eastAsia" w:ascii="宋体" w:hAnsi="宋体" w:eastAsia="宋体" w:cs="宋体"/>
                <w:sz w:val="21"/>
                <w:szCs w:val="21"/>
                <w:highlight w:val="none"/>
                <w:lang w:val="en-US" w:eastAsia="zh-CN"/>
              </w:rPr>
              <w:t>时限要求</w:t>
            </w:r>
          </w:p>
        </w:tc>
        <w:tc>
          <w:tcPr>
            <w:tcW w:w="4713" w:type="dxa"/>
            <w:vAlign w:val="center"/>
          </w:tcPr>
          <w:p w14:paraId="57C11D8B">
            <w:pPr>
              <w:spacing w:line="400" w:lineRule="exact"/>
              <w:contextualSpacing/>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生产设备出现系统瘫痪、宕机或服务中断；导致设备的基本功能不能实现或全面退化的故障。</w:t>
            </w:r>
            <w:r>
              <w:rPr>
                <w:rFonts w:hint="eastAsia" w:ascii="宋体" w:hAnsi="宋体" w:eastAsia="宋体" w:cs="宋体"/>
                <w:kern w:val="0"/>
                <w:sz w:val="21"/>
                <w:szCs w:val="21"/>
                <w:highlight w:val="none"/>
                <w:lang w:val="en-US" w:eastAsia="zh-CN"/>
              </w:rPr>
              <w:t>需</w:t>
            </w:r>
            <w:r>
              <w:rPr>
                <w:rFonts w:hint="eastAsia" w:ascii="宋体" w:hAnsi="宋体" w:eastAsia="宋体" w:cs="宋体"/>
                <w:kern w:val="0"/>
                <w:sz w:val="21"/>
                <w:szCs w:val="21"/>
                <w:highlight w:val="none"/>
                <w:lang w:val="zh-CN"/>
              </w:rPr>
              <w:t>10分钟响应，２小时</w:t>
            </w:r>
            <w:r>
              <w:rPr>
                <w:rFonts w:hint="eastAsia" w:ascii="宋体" w:hAnsi="宋体" w:eastAsia="宋体" w:cs="宋体"/>
                <w:kern w:val="0"/>
                <w:sz w:val="21"/>
                <w:szCs w:val="21"/>
                <w:highlight w:val="none"/>
              </w:rPr>
              <w:t>内</w:t>
            </w:r>
            <w:r>
              <w:rPr>
                <w:rFonts w:hint="eastAsia" w:ascii="宋体" w:hAnsi="宋体" w:eastAsia="宋体" w:cs="宋体"/>
                <w:kern w:val="0"/>
                <w:sz w:val="21"/>
                <w:szCs w:val="21"/>
                <w:highlight w:val="none"/>
                <w:lang w:val="zh-CN"/>
              </w:rPr>
              <w:t>修复。</w:t>
            </w:r>
          </w:p>
        </w:tc>
        <w:tc>
          <w:tcPr>
            <w:tcW w:w="1156" w:type="dxa"/>
            <w:vAlign w:val="center"/>
          </w:tcPr>
          <w:p w14:paraId="54BB5B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5F5AD6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2FD7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5FC661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97" w:type="dxa"/>
            <w:vAlign w:val="center"/>
          </w:tcPr>
          <w:p w14:paraId="4A7841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val="zh-CN" w:eastAsia="zh-CN"/>
              </w:rPr>
              <w:t>级故障</w:t>
            </w:r>
            <w:r>
              <w:rPr>
                <w:rFonts w:hint="eastAsia" w:ascii="宋体" w:hAnsi="宋体" w:eastAsia="宋体" w:cs="宋体"/>
                <w:sz w:val="21"/>
                <w:szCs w:val="21"/>
                <w:highlight w:val="none"/>
                <w:lang w:val="en-US" w:eastAsia="zh-CN"/>
              </w:rPr>
              <w:t>时限要求</w:t>
            </w:r>
          </w:p>
        </w:tc>
        <w:tc>
          <w:tcPr>
            <w:tcW w:w="4713" w:type="dxa"/>
            <w:vAlign w:val="center"/>
          </w:tcPr>
          <w:p w14:paraId="1259A43D">
            <w:pPr>
              <w:spacing w:line="400" w:lineRule="exact"/>
              <w:contextualSpacing/>
              <w:jc w:val="left"/>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zh-CN"/>
              </w:rPr>
              <w:t>生产设备出现直接影响服务，导致系统性能部分</w:t>
            </w:r>
            <w:r>
              <w:rPr>
                <w:rFonts w:hint="eastAsia" w:ascii="宋体" w:hAnsi="宋体" w:eastAsia="宋体" w:cs="宋体"/>
                <w:kern w:val="0"/>
                <w:sz w:val="21"/>
                <w:szCs w:val="21"/>
                <w:highlight w:val="none"/>
                <w:lang w:val="en-US" w:eastAsia="zh-CN"/>
              </w:rPr>
              <w:t>下降</w:t>
            </w:r>
            <w:r>
              <w:rPr>
                <w:rFonts w:hint="eastAsia" w:ascii="宋体" w:hAnsi="宋体" w:eastAsia="宋体" w:cs="宋体"/>
                <w:kern w:val="0"/>
                <w:sz w:val="21"/>
                <w:szCs w:val="21"/>
                <w:highlight w:val="none"/>
                <w:lang w:val="zh-CN"/>
              </w:rPr>
              <w:t>的故障；出现的故障具有潜在的系统瘫痪或服务中断的危险，并可导致基本功能不能实现或全面</w:t>
            </w:r>
            <w:r>
              <w:rPr>
                <w:rFonts w:hint="eastAsia" w:ascii="宋体" w:hAnsi="宋体" w:eastAsia="宋体" w:cs="宋体"/>
                <w:kern w:val="0"/>
                <w:sz w:val="21"/>
                <w:szCs w:val="21"/>
                <w:highlight w:val="none"/>
                <w:lang w:val="en-US" w:eastAsia="zh-CN"/>
              </w:rPr>
              <w:t>下降</w:t>
            </w:r>
            <w:r>
              <w:rPr>
                <w:rFonts w:hint="eastAsia" w:ascii="宋体" w:hAnsi="宋体" w:eastAsia="宋体" w:cs="宋体"/>
                <w:kern w:val="0"/>
                <w:sz w:val="21"/>
                <w:szCs w:val="21"/>
                <w:highlight w:val="none"/>
                <w:lang w:val="zh-CN"/>
              </w:rPr>
              <w:t>。生产冗余设备单侧故障；非生产系统宕机故障；导致一般数据丢失或损坏的。</w:t>
            </w:r>
            <w:r>
              <w:rPr>
                <w:rFonts w:hint="eastAsia" w:ascii="宋体" w:hAnsi="宋体" w:eastAsia="宋体" w:cs="宋体"/>
                <w:kern w:val="0"/>
                <w:sz w:val="21"/>
                <w:szCs w:val="21"/>
                <w:highlight w:val="none"/>
                <w:lang w:val="en-US" w:eastAsia="zh-CN"/>
              </w:rPr>
              <w:t>需</w:t>
            </w:r>
            <w:r>
              <w:rPr>
                <w:rFonts w:hint="eastAsia" w:ascii="宋体" w:hAnsi="宋体" w:eastAsia="宋体" w:cs="宋体"/>
                <w:kern w:val="0"/>
                <w:sz w:val="21"/>
                <w:szCs w:val="21"/>
                <w:highlight w:val="none"/>
                <w:lang w:val="zh-CN"/>
              </w:rPr>
              <w:t>20分钟响应，</w:t>
            </w:r>
            <w:r>
              <w:rPr>
                <w:rFonts w:hint="eastAsia" w:ascii="宋体" w:hAnsi="宋体" w:eastAsia="宋体" w:cs="宋体"/>
                <w:kern w:val="0"/>
                <w:sz w:val="21"/>
                <w:szCs w:val="21"/>
                <w:highlight w:val="none"/>
              </w:rPr>
              <w:t>6</w:t>
            </w:r>
            <w:r>
              <w:rPr>
                <w:rFonts w:hint="eastAsia" w:ascii="宋体" w:hAnsi="宋体" w:eastAsia="宋体" w:cs="宋体"/>
                <w:kern w:val="0"/>
                <w:sz w:val="21"/>
                <w:szCs w:val="21"/>
                <w:highlight w:val="none"/>
                <w:lang w:val="zh-CN"/>
              </w:rPr>
              <w:t>小时</w:t>
            </w:r>
            <w:r>
              <w:rPr>
                <w:rFonts w:hint="eastAsia" w:ascii="宋体" w:hAnsi="宋体" w:eastAsia="宋体" w:cs="宋体"/>
                <w:kern w:val="0"/>
                <w:sz w:val="21"/>
                <w:szCs w:val="21"/>
                <w:highlight w:val="none"/>
              </w:rPr>
              <w:t>内</w:t>
            </w:r>
            <w:r>
              <w:rPr>
                <w:rFonts w:hint="eastAsia" w:ascii="宋体" w:hAnsi="宋体" w:eastAsia="宋体" w:cs="宋体"/>
                <w:kern w:val="0"/>
                <w:sz w:val="21"/>
                <w:szCs w:val="21"/>
                <w:highlight w:val="none"/>
                <w:lang w:val="zh-CN"/>
              </w:rPr>
              <w:t>修复。</w:t>
            </w:r>
          </w:p>
        </w:tc>
        <w:tc>
          <w:tcPr>
            <w:tcW w:w="1156" w:type="dxa"/>
            <w:vAlign w:val="center"/>
          </w:tcPr>
          <w:p w14:paraId="15E675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269460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1C1C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23" w:type="dxa"/>
            <w:vAlign w:val="center"/>
          </w:tcPr>
          <w:p w14:paraId="3FC570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p w14:paraId="511A93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97" w:type="dxa"/>
            <w:vAlign w:val="center"/>
          </w:tcPr>
          <w:p w14:paraId="393959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val="zh-CN" w:eastAsia="zh-CN"/>
              </w:rPr>
              <w:t>级故障</w:t>
            </w:r>
            <w:r>
              <w:rPr>
                <w:rFonts w:hint="eastAsia" w:ascii="宋体" w:hAnsi="宋体" w:eastAsia="宋体" w:cs="宋体"/>
                <w:sz w:val="21"/>
                <w:szCs w:val="21"/>
                <w:highlight w:val="none"/>
                <w:lang w:val="en-US" w:eastAsia="zh-CN"/>
              </w:rPr>
              <w:t>时限要求</w:t>
            </w:r>
          </w:p>
        </w:tc>
        <w:tc>
          <w:tcPr>
            <w:tcW w:w="4713" w:type="dxa"/>
            <w:vAlign w:val="center"/>
          </w:tcPr>
          <w:p w14:paraId="407741D2">
            <w:pPr>
              <w:spacing w:line="400" w:lineRule="exact"/>
              <w:contextualSpacing/>
              <w:jc w:val="left"/>
              <w:rPr>
                <w:rFonts w:hint="eastAsia" w:ascii="宋体" w:hAnsi="宋体" w:eastAsia="宋体" w:cs="宋体"/>
                <w:b/>
                <w:bCs/>
                <w:sz w:val="21"/>
                <w:szCs w:val="21"/>
                <w:highlight w:val="none"/>
                <w:lang w:val="en-US" w:eastAsia="zh-CN"/>
              </w:rPr>
            </w:pPr>
            <w:r>
              <w:rPr>
                <w:rFonts w:hint="eastAsia" w:ascii="宋体" w:hAnsi="宋体" w:eastAsia="宋体" w:cs="宋体"/>
                <w:kern w:val="0"/>
                <w:sz w:val="21"/>
                <w:szCs w:val="21"/>
                <w:highlight w:val="none"/>
                <w:lang w:val="zh-CN"/>
              </w:rPr>
              <w:t>设备在运行中出现不直接影响服务，但会影响系统可靠性的；出现的故障会导致运行监控系统对业务系统监控失效的。</w:t>
            </w:r>
            <w:r>
              <w:rPr>
                <w:rFonts w:hint="eastAsia" w:ascii="宋体" w:hAnsi="宋体" w:eastAsia="宋体" w:cs="宋体"/>
                <w:kern w:val="0"/>
                <w:sz w:val="21"/>
                <w:szCs w:val="21"/>
                <w:highlight w:val="none"/>
                <w:lang w:val="en-US" w:eastAsia="zh-CN"/>
              </w:rPr>
              <w:t>需</w:t>
            </w:r>
            <w:r>
              <w:rPr>
                <w:rFonts w:hint="eastAsia" w:ascii="宋体" w:hAnsi="宋体" w:eastAsia="宋体" w:cs="宋体"/>
                <w:kern w:val="0"/>
                <w:sz w:val="21"/>
                <w:szCs w:val="21"/>
                <w:highlight w:val="none"/>
                <w:lang w:val="zh-CN"/>
              </w:rPr>
              <w:t>20分钟响应，</w:t>
            </w:r>
            <w:r>
              <w:rPr>
                <w:rFonts w:hint="eastAsia" w:ascii="宋体" w:hAnsi="宋体" w:eastAsia="宋体" w:cs="宋体"/>
                <w:kern w:val="0"/>
                <w:sz w:val="21"/>
                <w:szCs w:val="21"/>
                <w:highlight w:val="none"/>
              </w:rPr>
              <w:t>48</w:t>
            </w:r>
            <w:r>
              <w:rPr>
                <w:rFonts w:hint="eastAsia" w:ascii="宋体" w:hAnsi="宋体" w:eastAsia="宋体" w:cs="宋体"/>
                <w:kern w:val="0"/>
                <w:sz w:val="21"/>
                <w:szCs w:val="21"/>
                <w:highlight w:val="none"/>
                <w:lang w:val="zh-CN"/>
              </w:rPr>
              <w:t>小时内修复。</w:t>
            </w:r>
          </w:p>
        </w:tc>
        <w:tc>
          <w:tcPr>
            <w:tcW w:w="1156" w:type="dxa"/>
            <w:vAlign w:val="center"/>
          </w:tcPr>
          <w:p w14:paraId="590946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2AB679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6E78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601D40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97" w:type="dxa"/>
            <w:vAlign w:val="center"/>
          </w:tcPr>
          <w:p w14:paraId="403A1E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应急及故障升级时限要求</w:t>
            </w:r>
          </w:p>
        </w:tc>
        <w:tc>
          <w:tcPr>
            <w:tcW w:w="4713" w:type="dxa"/>
            <w:vAlign w:val="center"/>
          </w:tcPr>
          <w:p w14:paraId="07C19681">
            <w:pPr>
              <w:spacing w:before="0" w:after="0" w:afterAutospacing="0" w:line="400" w:lineRule="exact"/>
              <w:contextualSpacing/>
              <w:jc w:val="left"/>
              <w:rPr>
                <w:rFonts w:hint="eastAsia" w:ascii="宋体" w:hAnsi="宋体" w:eastAsia="宋体" w:cs="宋体"/>
                <w:b/>
                <w:bCs/>
                <w:sz w:val="21"/>
                <w:szCs w:val="21"/>
                <w:highlight w:val="none"/>
              </w:rPr>
            </w:pPr>
            <w:r>
              <w:rPr>
                <w:rFonts w:hint="eastAsia" w:ascii="宋体" w:hAnsi="宋体" w:eastAsia="宋体" w:cs="宋体"/>
                <w:kern w:val="0"/>
                <w:sz w:val="21"/>
                <w:szCs w:val="21"/>
                <w:highlight w:val="none"/>
                <w:lang w:val="zh-CN"/>
              </w:rPr>
              <w:t>机房动力环境类一级故障，中标人如果在故障发生后</w:t>
            </w:r>
            <w:r>
              <w:rPr>
                <w:rFonts w:hint="eastAsia" w:ascii="宋体" w:hAnsi="宋体" w:eastAsia="宋体" w:cs="宋体"/>
                <w:kern w:val="0"/>
                <w:sz w:val="21"/>
                <w:szCs w:val="21"/>
                <w:highlight w:val="none"/>
                <w:lang w:val="en-US" w:eastAsia="zh-CN"/>
              </w:rPr>
              <w:t>15</w:t>
            </w:r>
            <w:r>
              <w:rPr>
                <w:rFonts w:hint="eastAsia" w:ascii="宋体" w:hAnsi="宋体" w:eastAsia="宋体" w:cs="宋体"/>
                <w:kern w:val="0"/>
                <w:sz w:val="21"/>
                <w:szCs w:val="21"/>
                <w:highlight w:val="none"/>
              </w:rPr>
              <w:t>分钟内无法解决</w:t>
            </w:r>
            <w:r>
              <w:rPr>
                <w:rFonts w:hint="eastAsia" w:ascii="宋体" w:hAnsi="宋体" w:eastAsia="宋体" w:cs="宋体"/>
                <w:kern w:val="0"/>
                <w:sz w:val="21"/>
                <w:szCs w:val="21"/>
                <w:highlight w:val="none"/>
                <w:lang w:val="zh-CN"/>
              </w:rPr>
              <w:t>，立即启动应急预案；对计算存储类一级故障，中标人如果在故障发生后</w:t>
            </w:r>
            <w:r>
              <w:rPr>
                <w:rFonts w:hint="eastAsia" w:ascii="宋体" w:hAnsi="宋体" w:eastAsia="宋体" w:cs="宋体"/>
                <w:kern w:val="0"/>
                <w:sz w:val="21"/>
                <w:szCs w:val="21"/>
                <w:highlight w:val="none"/>
              </w:rPr>
              <w:t>30分钟内无法解决</w:t>
            </w:r>
            <w:r>
              <w:rPr>
                <w:rFonts w:hint="eastAsia" w:ascii="宋体" w:hAnsi="宋体" w:eastAsia="宋体" w:cs="宋体"/>
                <w:kern w:val="0"/>
                <w:sz w:val="21"/>
                <w:szCs w:val="21"/>
                <w:highlight w:val="none"/>
                <w:lang w:val="zh-CN"/>
              </w:rPr>
              <w:t>，需要立即调集同档次或更高配置的设备对故障设备进行替换，顶替运行，并完成原设备上系统及应用的迁移工作。严重影响用户应用系统运行的二级故障，视同一级故障处理。</w:t>
            </w:r>
          </w:p>
        </w:tc>
        <w:tc>
          <w:tcPr>
            <w:tcW w:w="1156" w:type="dxa"/>
            <w:vAlign w:val="center"/>
          </w:tcPr>
          <w:p w14:paraId="48AAD0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5AAB26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19B8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8" w:type="dxa"/>
            <w:gridSpan w:val="5"/>
            <w:vAlign w:val="center"/>
          </w:tcPr>
          <w:p w14:paraId="3B2FA814">
            <w:pPr>
              <w:widowControl/>
              <w:spacing w:line="400" w:lineRule="exact"/>
              <w:contextualSpacing/>
              <w:jc w:val="left"/>
              <w:rPr>
                <w:rFonts w:hint="eastAsia" w:ascii="宋体" w:hAnsi="宋体" w:eastAsia="宋体" w:cs="宋体"/>
                <w:kern w:val="0"/>
                <w:sz w:val="21"/>
                <w:szCs w:val="21"/>
                <w:highlight w:val="none"/>
              </w:rPr>
            </w:pPr>
          </w:p>
        </w:tc>
      </w:tr>
      <w:tr w14:paraId="181A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7A25D2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Merge w:val="restart"/>
            <w:vAlign w:val="center"/>
          </w:tcPr>
          <w:p w14:paraId="116C31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机房动力环境设施服务</w:t>
            </w:r>
          </w:p>
        </w:tc>
        <w:tc>
          <w:tcPr>
            <w:tcW w:w="4713" w:type="dxa"/>
            <w:vAlign w:val="center"/>
          </w:tcPr>
          <w:p w14:paraId="0A6AA304">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UPS转旁路工作，</w:t>
            </w:r>
            <w:r>
              <w:rPr>
                <w:rFonts w:hint="eastAsia" w:ascii="宋体" w:hAnsi="宋体" w:eastAsia="宋体" w:cs="宋体"/>
                <w:kern w:val="0"/>
                <w:sz w:val="21"/>
                <w:szCs w:val="21"/>
                <w:highlight w:val="none"/>
                <w:lang w:val="zh-CN" w:eastAsia="zh-CN" w:bidi="ar-SA"/>
              </w:rPr>
              <w:t>一级故障</w:t>
            </w:r>
          </w:p>
        </w:tc>
        <w:tc>
          <w:tcPr>
            <w:tcW w:w="1156" w:type="dxa"/>
            <w:vAlign w:val="center"/>
          </w:tcPr>
          <w:p w14:paraId="4F4902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3FF7DA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041F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60AF48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97" w:type="dxa"/>
            <w:vMerge w:val="continue"/>
            <w:vAlign w:val="center"/>
          </w:tcPr>
          <w:p w14:paraId="5707F1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38E341B0">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UPS转电池工作，</w:t>
            </w:r>
            <w:r>
              <w:rPr>
                <w:rFonts w:hint="eastAsia" w:ascii="宋体" w:hAnsi="宋体" w:eastAsia="宋体" w:cs="宋体"/>
                <w:kern w:val="0"/>
                <w:sz w:val="21"/>
                <w:szCs w:val="21"/>
                <w:highlight w:val="none"/>
                <w:lang w:val="zh-CN" w:eastAsia="zh-CN" w:bidi="ar-SA"/>
              </w:rPr>
              <w:t>一级故障</w:t>
            </w:r>
          </w:p>
        </w:tc>
        <w:tc>
          <w:tcPr>
            <w:tcW w:w="1156" w:type="dxa"/>
            <w:vAlign w:val="center"/>
          </w:tcPr>
          <w:p w14:paraId="33E2A7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345634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65C6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3702CD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p w14:paraId="3A8E92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97" w:type="dxa"/>
            <w:vMerge w:val="continue"/>
            <w:vAlign w:val="center"/>
          </w:tcPr>
          <w:p w14:paraId="37CB56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5CFF8F43">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UPS逆变器、主控板、并机板等核心部件故障</w:t>
            </w:r>
          </w:p>
          <w:p w14:paraId="6AC541E1">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1组（含）以上电池故障，</w:t>
            </w:r>
            <w:r>
              <w:rPr>
                <w:rFonts w:hint="eastAsia" w:ascii="宋体" w:hAnsi="宋体" w:eastAsia="宋体" w:cs="宋体"/>
                <w:kern w:val="0"/>
                <w:sz w:val="21"/>
                <w:szCs w:val="21"/>
                <w:highlight w:val="none"/>
                <w:lang w:val="zh-CN" w:eastAsia="zh-CN" w:bidi="ar-SA"/>
              </w:rPr>
              <w:t>一级故障</w:t>
            </w:r>
          </w:p>
        </w:tc>
        <w:tc>
          <w:tcPr>
            <w:tcW w:w="1156" w:type="dxa"/>
            <w:vAlign w:val="center"/>
          </w:tcPr>
          <w:p w14:paraId="613BCC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38948D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3B35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47D890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97" w:type="dxa"/>
            <w:vMerge w:val="continue"/>
            <w:vAlign w:val="center"/>
          </w:tcPr>
          <w:p w14:paraId="092120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361F4C3D">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单个配电柜整体故障，或3台（含）以上空调供配电受影响，</w:t>
            </w:r>
            <w:r>
              <w:rPr>
                <w:rFonts w:hint="eastAsia" w:ascii="宋体" w:hAnsi="宋体" w:eastAsia="宋体" w:cs="宋体"/>
                <w:kern w:val="0"/>
                <w:sz w:val="21"/>
                <w:szCs w:val="21"/>
                <w:highlight w:val="none"/>
                <w:lang w:val="zh-CN" w:eastAsia="zh-CN" w:bidi="ar-SA"/>
              </w:rPr>
              <w:t>一级故障</w:t>
            </w:r>
          </w:p>
        </w:tc>
        <w:tc>
          <w:tcPr>
            <w:tcW w:w="1156" w:type="dxa"/>
            <w:vAlign w:val="center"/>
          </w:tcPr>
          <w:p w14:paraId="25EC96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223ECB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057A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78DC62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197" w:type="dxa"/>
            <w:vMerge w:val="continue"/>
            <w:vAlign w:val="center"/>
          </w:tcPr>
          <w:p w14:paraId="59F90D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4A3C49B4">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配电柜故障，导致2台（含）以下空调供配电受影响，二</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146411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317956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2B22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5891C0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197" w:type="dxa"/>
            <w:vMerge w:val="continue"/>
            <w:vAlign w:val="center"/>
          </w:tcPr>
          <w:p w14:paraId="2775AF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37C5EBF9">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列头柜故障，导致机柜双路PDU回路跳闸，</w:t>
            </w:r>
            <w:r>
              <w:rPr>
                <w:rFonts w:hint="eastAsia" w:ascii="宋体" w:hAnsi="宋体" w:eastAsia="宋体" w:cs="宋体"/>
                <w:kern w:val="0"/>
                <w:sz w:val="21"/>
                <w:szCs w:val="21"/>
                <w:highlight w:val="none"/>
                <w:lang w:val="zh-CN" w:eastAsia="zh-CN" w:bidi="ar-SA"/>
              </w:rPr>
              <w:t>一级故障</w:t>
            </w:r>
          </w:p>
        </w:tc>
        <w:tc>
          <w:tcPr>
            <w:tcW w:w="1156" w:type="dxa"/>
            <w:vAlign w:val="center"/>
          </w:tcPr>
          <w:p w14:paraId="13519B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0B79A6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75BE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52D6DF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197" w:type="dxa"/>
            <w:vMerge w:val="continue"/>
            <w:vAlign w:val="center"/>
          </w:tcPr>
          <w:p w14:paraId="791CB8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4005EE27">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列头柜故障，导致机柜单路PDU回路跳闸，</w:t>
            </w:r>
            <w:r>
              <w:rPr>
                <w:rFonts w:hint="eastAsia" w:ascii="宋体" w:hAnsi="宋体" w:eastAsia="宋体" w:cs="宋体"/>
                <w:kern w:val="0"/>
                <w:sz w:val="21"/>
                <w:szCs w:val="21"/>
                <w:highlight w:val="none"/>
                <w:lang w:val="en-US" w:eastAsia="zh-CN" w:bidi="ar-SA"/>
              </w:rPr>
              <w:t>二</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3C6BD2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302036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6D3B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71CA49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197" w:type="dxa"/>
            <w:vMerge w:val="continue"/>
            <w:vAlign w:val="center"/>
          </w:tcPr>
          <w:p w14:paraId="4565C6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19B86C3B">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列头柜故障，导致配电开关检测模块故障，</w:t>
            </w:r>
            <w:r>
              <w:rPr>
                <w:rFonts w:hint="eastAsia" w:ascii="宋体" w:hAnsi="宋体" w:eastAsia="宋体" w:cs="宋体"/>
                <w:kern w:val="0"/>
                <w:sz w:val="21"/>
                <w:szCs w:val="21"/>
                <w:highlight w:val="none"/>
                <w:lang w:val="en-US" w:eastAsia="zh-CN" w:bidi="ar-SA"/>
              </w:rPr>
              <w:t>二</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1F0D46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3F4C6E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6D5D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7C9A8B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1197" w:type="dxa"/>
            <w:vMerge w:val="continue"/>
            <w:vAlign w:val="center"/>
          </w:tcPr>
          <w:p w14:paraId="256F0F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6844524E">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列头柜故障，导致配电显示屏故障，</w:t>
            </w:r>
            <w:r>
              <w:rPr>
                <w:rFonts w:hint="eastAsia" w:ascii="宋体" w:hAnsi="宋体" w:eastAsia="宋体" w:cs="宋体"/>
                <w:kern w:val="0"/>
                <w:sz w:val="21"/>
                <w:szCs w:val="21"/>
                <w:highlight w:val="none"/>
                <w:lang w:val="en-US" w:eastAsia="zh-CN" w:bidi="ar-SA"/>
              </w:rPr>
              <w:t>二</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4DCB80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14C1DA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795E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348E74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197" w:type="dxa"/>
            <w:vMerge w:val="continue"/>
            <w:vAlign w:val="center"/>
          </w:tcPr>
          <w:p w14:paraId="7FD7FB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30FA5C16">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空调故障，导致整体机房或机柜模组全部空调制冷功能故障、高压/低压告警等，一</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7C7138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3D532A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2495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1245E5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1197" w:type="dxa"/>
            <w:vMerge w:val="continue"/>
            <w:vAlign w:val="center"/>
          </w:tcPr>
          <w:p w14:paraId="1FEFF5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7B40AAB4">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空调故障，导致单个房间或机柜模组内多台空调制冷功能故障、高压/低压告警等、机房或模组内温度超过32摄氏度，</w:t>
            </w:r>
            <w:r>
              <w:rPr>
                <w:rFonts w:hint="eastAsia" w:ascii="宋体" w:hAnsi="宋体" w:eastAsia="宋体" w:cs="宋体"/>
                <w:kern w:val="0"/>
                <w:sz w:val="21"/>
                <w:szCs w:val="21"/>
                <w:highlight w:val="none"/>
                <w:lang w:val="en-US" w:eastAsia="zh-CN" w:bidi="ar-SA"/>
              </w:rPr>
              <w:t>二</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17EADB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714116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5D56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489317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1197" w:type="dxa"/>
            <w:vMerge w:val="continue"/>
            <w:vAlign w:val="center"/>
          </w:tcPr>
          <w:p w14:paraId="3999A3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66D76232">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空调故障，导致单个房间内单台空调制冷功能故障或单个模组内单台空调制冷功能故障，系统失去冗余能力但温度未超过32摄氏度，三</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4D4845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799ED8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7564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0B8A05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1197" w:type="dxa"/>
            <w:vMerge w:val="continue"/>
            <w:vAlign w:val="center"/>
          </w:tcPr>
          <w:p w14:paraId="2743F7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647BBAB8">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空调排水故障，导致出现冷凝水，</w:t>
            </w:r>
            <w:r>
              <w:rPr>
                <w:rFonts w:hint="eastAsia" w:ascii="宋体" w:hAnsi="宋体" w:eastAsia="宋体" w:cs="宋体"/>
                <w:kern w:val="0"/>
                <w:sz w:val="21"/>
                <w:szCs w:val="21"/>
                <w:highlight w:val="none"/>
                <w:lang w:val="en-US" w:eastAsia="zh-CN" w:bidi="ar-SA"/>
              </w:rPr>
              <w:t>二</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7D8F97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0D3716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4A37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32065B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1197" w:type="dxa"/>
            <w:vMerge w:val="continue"/>
            <w:vAlign w:val="center"/>
          </w:tcPr>
          <w:p w14:paraId="424A71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3F073C35">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空调排水故障，导致冷冻水管道漏水影响机房设备正常运行，一</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1FFEA3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59B66D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47C2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7EE97D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1197" w:type="dxa"/>
            <w:vMerge w:val="continue"/>
            <w:vAlign w:val="center"/>
          </w:tcPr>
          <w:p w14:paraId="5DE16F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6151326B">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机房出现漏水影响机房设备正常运行，一</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293F01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20F115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5500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7F8ADC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1197" w:type="dxa"/>
            <w:vMerge w:val="continue"/>
            <w:vAlign w:val="center"/>
          </w:tcPr>
          <w:p w14:paraId="4E3229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008AC206">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空调故障，导致除湿功能失效，三</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4F035E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0024C1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5DAE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78D624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w:t>
            </w:r>
          </w:p>
        </w:tc>
        <w:tc>
          <w:tcPr>
            <w:tcW w:w="1197" w:type="dxa"/>
            <w:vMerge w:val="continue"/>
            <w:vAlign w:val="center"/>
          </w:tcPr>
          <w:p w14:paraId="6E6727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7625F836">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环境动力监控系统监控发现漏水事件，影响设备正常运行，</w:t>
            </w:r>
            <w:r>
              <w:rPr>
                <w:rFonts w:hint="eastAsia" w:ascii="宋体" w:hAnsi="宋体" w:eastAsia="宋体" w:cs="宋体"/>
                <w:kern w:val="0"/>
                <w:sz w:val="21"/>
                <w:szCs w:val="21"/>
                <w:highlight w:val="none"/>
                <w:lang w:val="en-US" w:eastAsia="zh-CN" w:bidi="ar-SA"/>
              </w:rPr>
              <w:t>二</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1F1D66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441395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0CBB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199E5F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w:t>
            </w:r>
          </w:p>
        </w:tc>
        <w:tc>
          <w:tcPr>
            <w:tcW w:w="1197" w:type="dxa"/>
            <w:vMerge w:val="continue"/>
            <w:vAlign w:val="center"/>
          </w:tcPr>
          <w:p w14:paraId="29BD22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428DA2A2">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环境动力监控系统监控温湿度异常，系统报警，</w:t>
            </w:r>
            <w:r>
              <w:rPr>
                <w:rFonts w:hint="eastAsia" w:ascii="宋体" w:hAnsi="宋体" w:eastAsia="宋体" w:cs="宋体"/>
                <w:kern w:val="0"/>
                <w:sz w:val="21"/>
                <w:szCs w:val="21"/>
                <w:highlight w:val="none"/>
                <w:lang w:val="en-US" w:eastAsia="zh-CN" w:bidi="ar-SA"/>
              </w:rPr>
              <w:t>二</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0356A0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2B5FA6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2E90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4DBACF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19</w:t>
            </w:r>
          </w:p>
        </w:tc>
        <w:tc>
          <w:tcPr>
            <w:tcW w:w="1197" w:type="dxa"/>
            <w:vMerge w:val="continue"/>
            <w:vAlign w:val="center"/>
          </w:tcPr>
          <w:p w14:paraId="55C6D7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3F142300">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环境动力监控系统监控发现通讯中断系统故障，功能无法使用，</w:t>
            </w:r>
            <w:r>
              <w:rPr>
                <w:rFonts w:hint="eastAsia" w:ascii="宋体" w:hAnsi="宋体" w:eastAsia="宋体" w:cs="宋体"/>
                <w:kern w:val="0"/>
                <w:sz w:val="21"/>
                <w:szCs w:val="21"/>
                <w:highlight w:val="none"/>
                <w:lang w:val="en-US" w:eastAsia="zh-CN" w:bidi="ar-SA"/>
              </w:rPr>
              <w:t>二</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7442A3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0EBD02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48C3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0FCA86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w:t>
            </w:r>
          </w:p>
        </w:tc>
        <w:tc>
          <w:tcPr>
            <w:tcW w:w="1197" w:type="dxa"/>
            <w:vMerge w:val="continue"/>
            <w:vAlign w:val="center"/>
          </w:tcPr>
          <w:p w14:paraId="4C8D73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258E7D3E">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其它系统组件或设备故障，影响系统正常使用的任何异常，</w:t>
            </w:r>
            <w:r>
              <w:rPr>
                <w:rFonts w:hint="eastAsia" w:ascii="宋体" w:hAnsi="宋体" w:eastAsia="宋体" w:cs="宋体"/>
                <w:kern w:val="0"/>
                <w:sz w:val="21"/>
                <w:szCs w:val="21"/>
                <w:highlight w:val="none"/>
                <w:lang w:val="en-US" w:eastAsia="zh-CN" w:bidi="ar-SA"/>
              </w:rPr>
              <w:t>二</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7517E7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0A125B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329D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178" w:type="dxa"/>
            <w:gridSpan w:val="5"/>
            <w:vAlign w:val="center"/>
          </w:tcPr>
          <w:p w14:paraId="29BBEA3A">
            <w:pPr>
              <w:widowControl/>
              <w:spacing w:line="400" w:lineRule="exact"/>
              <w:contextualSpacing/>
              <w:jc w:val="left"/>
              <w:rPr>
                <w:rFonts w:hint="eastAsia" w:ascii="宋体" w:hAnsi="宋体" w:eastAsia="宋体" w:cs="宋体"/>
                <w:kern w:val="0"/>
                <w:sz w:val="21"/>
                <w:szCs w:val="21"/>
                <w:highlight w:val="none"/>
              </w:rPr>
            </w:pPr>
          </w:p>
        </w:tc>
      </w:tr>
      <w:tr w14:paraId="0821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3DFB0E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Merge w:val="restart"/>
            <w:vAlign w:val="center"/>
          </w:tcPr>
          <w:p w14:paraId="09D5EA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计算存储设施服务</w:t>
            </w:r>
          </w:p>
        </w:tc>
        <w:tc>
          <w:tcPr>
            <w:tcW w:w="4713" w:type="dxa"/>
            <w:vAlign w:val="center"/>
          </w:tcPr>
          <w:p w14:paraId="7627775A">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CPU、控制器、主控板等核心控制模块</w:t>
            </w:r>
            <w:r>
              <w:rPr>
                <w:rFonts w:hint="eastAsia" w:ascii="宋体" w:hAnsi="宋体" w:eastAsia="宋体" w:cs="宋体"/>
                <w:kern w:val="2"/>
                <w:sz w:val="21"/>
                <w:szCs w:val="21"/>
                <w:highlight w:val="none"/>
                <w:lang w:val="zh-CN" w:eastAsia="zh-CN" w:bidi="ar-SA"/>
              </w:rPr>
              <w:t>组件不可用，功能完全失效，</w:t>
            </w:r>
            <w:r>
              <w:rPr>
                <w:rFonts w:hint="eastAsia" w:ascii="宋体" w:hAnsi="宋体" w:eastAsia="宋体" w:cs="宋体"/>
                <w:kern w:val="2"/>
                <w:sz w:val="21"/>
                <w:szCs w:val="21"/>
                <w:highlight w:val="none"/>
                <w:lang w:val="en-US" w:eastAsia="zh-CN" w:bidi="ar-SA"/>
              </w:rPr>
              <w:t>一</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1D9193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49F3B0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021D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1FECDC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97" w:type="dxa"/>
            <w:vMerge w:val="continue"/>
            <w:vAlign w:val="center"/>
          </w:tcPr>
          <w:p w14:paraId="72217E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361568E9">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CPU、控制器、主控板等核心控制模块</w:t>
            </w:r>
            <w:r>
              <w:rPr>
                <w:rFonts w:hint="eastAsia" w:ascii="宋体" w:hAnsi="宋体" w:eastAsia="宋体" w:cs="宋体"/>
                <w:kern w:val="2"/>
                <w:sz w:val="21"/>
                <w:szCs w:val="21"/>
                <w:highlight w:val="none"/>
                <w:lang w:val="zh-CN" w:eastAsia="zh-CN" w:bidi="ar-SA"/>
              </w:rPr>
              <w:t>性能下降或功能异常，但不影响系统对外提供服务</w:t>
            </w:r>
            <w:r>
              <w:rPr>
                <w:rFonts w:hint="eastAsia" w:ascii="宋体" w:hAnsi="宋体" w:eastAsia="宋体" w:cs="宋体"/>
                <w:kern w:val="2"/>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二</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43E656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3AA0A4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5DE7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32A819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97" w:type="dxa"/>
            <w:vMerge w:val="continue"/>
            <w:vAlign w:val="center"/>
          </w:tcPr>
          <w:p w14:paraId="15DE8C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3A8F5208">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zh-CN" w:eastAsia="zh-CN" w:bidi="ar-SA"/>
              </w:rPr>
              <w:t>内存、主板等关键部件组件或关键芯片出现问题，导致整体功能失效，</w:t>
            </w:r>
            <w:r>
              <w:rPr>
                <w:rFonts w:hint="eastAsia" w:ascii="宋体" w:hAnsi="宋体" w:eastAsia="宋体" w:cs="宋体"/>
                <w:kern w:val="2"/>
                <w:sz w:val="21"/>
                <w:szCs w:val="21"/>
                <w:highlight w:val="none"/>
                <w:lang w:val="en-US" w:eastAsia="zh-CN" w:bidi="ar-SA"/>
              </w:rPr>
              <w:t>一</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1991B0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7332DC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530B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047C73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97" w:type="dxa"/>
            <w:vMerge w:val="continue"/>
            <w:vAlign w:val="center"/>
          </w:tcPr>
          <w:p w14:paraId="68764B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66483CB8">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zh-CN" w:eastAsia="zh-CN" w:bidi="ar-SA"/>
              </w:rPr>
              <w:t>内存、主板等关键部件组件或关键芯片出现问题，导致整体功能失效</w:t>
            </w:r>
            <w:r>
              <w:rPr>
                <w:rFonts w:hint="eastAsia" w:ascii="宋体" w:hAnsi="宋体" w:eastAsia="宋体" w:cs="宋体"/>
                <w:kern w:val="2"/>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二</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62F50E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472B2D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13A1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4AA490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197" w:type="dxa"/>
            <w:vMerge w:val="continue"/>
            <w:vAlign w:val="center"/>
          </w:tcPr>
          <w:p w14:paraId="199D9C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128AF6C7">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zh-CN" w:eastAsia="zh-CN" w:bidi="ar-SA"/>
              </w:rPr>
              <w:t>硬盘、</w:t>
            </w:r>
            <w:r>
              <w:rPr>
                <w:rFonts w:hint="eastAsia" w:ascii="宋体" w:hAnsi="宋体" w:eastAsia="宋体" w:cs="宋体"/>
                <w:kern w:val="2"/>
                <w:sz w:val="21"/>
                <w:szCs w:val="21"/>
                <w:highlight w:val="none"/>
                <w:lang w:val="en-US" w:eastAsia="zh-CN" w:bidi="ar-SA"/>
              </w:rPr>
              <w:t>IO模块、IO</w:t>
            </w:r>
            <w:r>
              <w:rPr>
                <w:rFonts w:hint="eastAsia" w:ascii="宋体" w:hAnsi="宋体" w:eastAsia="宋体" w:cs="宋体"/>
                <w:kern w:val="2"/>
                <w:sz w:val="21"/>
                <w:szCs w:val="21"/>
                <w:highlight w:val="none"/>
                <w:lang w:val="zh-CN" w:eastAsia="zh-CN" w:bidi="ar-SA"/>
              </w:rPr>
              <w:t>扩展卡</w:t>
            </w:r>
            <w:r>
              <w:rPr>
                <w:rFonts w:hint="eastAsia" w:ascii="宋体" w:hAnsi="宋体" w:eastAsia="宋体" w:cs="宋体"/>
                <w:kern w:val="0"/>
                <w:sz w:val="21"/>
                <w:szCs w:val="21"/>
                <w:highlight w:val="none"/>
                <w:lang w:val="zh-CN" w:eastAsia="zh-CN" w:bidi="ar-SA"/>
              </w:rPr>
              <w:t>非冗余部件或冗余系统不可用</w:t>
            </w: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一</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42D8F3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5C4D1C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12E8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34FAFB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197" w:type="dxa"/>
            <w:vMerge w:val="continue"/>
            <w:vAlign w:val="center"/>
          </w:tcPr>
          <w:p w14:paraId="33C9B4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7BDDB569">
            <w:pPr>
              <w:widowControl w:val="0"/>
              <w:spacing w:line="400" w:lineRule="exact"/>
              <w:contextualSpacing/>
              <w:jc w:val="left"/>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硬盘、</w:t>
            </w:r>
            <w:r>
              <w:rPr>
                <w:rFonts w:hint="eastAsia" w:ascii="宋体" w:hAnsi="宋体" w:eastAsia="宋体" w:cs="宋体"/>
                <w:kern w:val="2"/>
                <w:sz w:val="21"/>
                <w:szCs w:val="21"/>
                <w:highlight w:val="none"/>
                <w:lang w:val="en-US" w:eastAsia="zh-CN" w:bidi="ar-SA"/>
              </w:rPr>
              <w:t>IO模块、IO</w:t>
            </w:r>
            <w:r>
              <w:rPr>
                <w:rFonts w:hint="eastAsia" w:ascii="宋体" w:hAnsi="宋体" w:eastAsia="宋体" w:cs="宋体"/>
                <w:kern w:val="2"/>
                <w:sz w:val="21"/>
                <w:szCs w:val="21"/>
                <w:highlight w:val="none"/>
                <w:lang w:val="zh-CN" w:eastAsia="zh-CN" w:bidi="ar-SA"/>
              </w:rPr>
              <w:t>扩展卡</w:t>
            </w:r>
            <w:r>
              <w:rPr>
                <w:rFonts w:hint="eastAsia" w:ascii="宋体" w:hAnsi="宋体" w:eastAsia="宋体" w:cs="宋体"/>
                <w:kern w:val="0"/>
                <w:sz w:val="21"/>
                <w:szCs w:val="21"/>
                <w:highlight w:val="none"/>
                <w:lang w:val="zh-CN" w:eastAsia="zh-CN" w:bidi="ar-SA"/>
              </w:rPr>
              <w:t>冗余系统中，部件出现问题，导致冗余性能降低或失效</w:t>
            </w:r>
            <w:r>
              <w:rPr>
                <w:rFonts w:hint="eastAsia" w:ascii="宋体" w:hAnsi="宋体" w:eastAsia="宋体" w:cs="宋体"/>
                <w:kern w:val="2"/>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二</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1F74A7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5BDB72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2648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170A8C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197" w:type="dxa"/>
            <w:vMerge w:val="continue"/>
            <w:vAlign w:val="center"/>
          </w:tcPr>
          <w:p w14:paraId="04EF7E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5A4E1E35">
            <w:pPr>
              <w:widowControl w:val="0"/>
              <w:spacing w:line="400" w:lineRule="exact"/>
              <w:contextualSpacing/>
              <w:jc w:val="left"/>
              <w:rPr>
                <w:rFonts w:hint="eastAsia" w:ascii="宋体" w:hAnsi="宋体" w:eastAsia="宋体" w:cs="宋体"/>
                <w:kern w:val="2"/>
                <w:sz w:val="21"/>
                <w:szCs w:val="21"/>
                <w:highlight w:val="none"/>
                <w:lang w:val="zh-CN" w:eastAsia="zh-CN" w:bidi="ar-SA"/>
              </w:rPr>
            </w:pPr>
            <w:r>
              <w:rPr>
                <w:rFonts w:hint="eastAsia" w:ascii="宋体" w:hAnsi="宋体" w:eastAsia="宋体" w:cs="宋体"/>
                <w:kern w:val="0"/>
                <w:sz w:val="21"/>
                <w:szCs w:val="21"/>
                <w:highlight w:val="none"/>
                <w:lang w:val="en-US" w:eastAsia="zh-CN" w:bidi="ar-SA"/>
              </w:rPr>
              <w:t>FSP模块全部</w:t>
            </w:r>
            <w:r>
              <w:rPr>
                <w:rFonts w:hint="eastAsia" w:ascii="宋体" w:hAnsi="宋体" w:eastAsia="宋体" w:cs="宋体"/>
                <w:kern w:val="0"/>
                <w:sz w:val="21"/>
                <w:szCs w:val="21"/>
                <w:highlight w:val="none"/>
                <w:lang w:val="zh-CN" w:eastAsia="zh-CN" w:bidi="ar-SA"/>
              </w:rPr>
              <w:t>不可用、</w:t>
            </w:r>
            <w:r>
              <w:rPr>
                <w:rFonts w:hint="eastAsia" w:ascii="宋体" w:hAnsi="宋体" w:eastAsia="宋体" w:cs="宋体"/>
                <w:kern w:val="0"/>
                <w:sz w:val="21"/>
                <w:szCs w:val="21"/>
                <w:highlight w:val="none"/>
                <w:lang w:val="en-US" w:eastAsia="zh-CN" w:bidi="ar-SA"/>
              </w:rPr>
              <w:t>FSP模块失去冗余且HMC不可用，</w:t>
            </w:r>
            <w:r>
              <w:rPr>
                <w:rFonts w:hint="eastAsia" w:ascii="宋体" w:hAnsi="宋体" w:eastAsia="宋体" w:cs="宋体"/>
                <w:kern w:val="2"/>
                <w:sz w:val="21"/>
                <w:szCs w:val="21"/>
                <w:highlight w:val="none"/>
                <w:lang w:val="en-US" w:eastAsia="zh-CN" w:bidi="ar-SA"/>
              </w:rPr>
              <w:t>一</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06AD1B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3D4262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643C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3C198F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197" w:type="dxa"/>
            <w:vMerge w:val="continue"/>
            <w:vAlign w:val="center"/>
          </w:tcPr>
          <w:p w14:paraId="6753DF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4E3E4D73">
            <w:pPr>
              <w:widowControl w:val="0"/>
              <w:spacing w:line="400" w:lineRule="exact"/>
              <w:contextualSpacing/>
              <w:jc w:val="left"/>
              <w:rPr>
                <w:rFonts w:hint="eastAsia" w:ascii="宋体" w:hAnsi="宋体" w:eastAsia="宋体" w:cs="宋体"/>
                <w:kern w:val="2"/>
                <w:sz w:val="21"/>
                <w:szCs w:val="21"/>
                <w:highlight w:val="none"/>
                <w:lang w:val="zh-CN" w:eastAsia="zh-CN" w:bidi="ar-SA"/>
              </w:rPr>
            </w:pPr>
            <w:r>
              <w:rPr>
                <w:rFonts w:hint="eastAsia" w:ascii="宋体" w:hAnsi="宋体" w:eastAsia="宋体" w:cs="宋体"/>
                <w:kern w:val="0"/>
                <w:sz w:val="21"/>
                <w:szCs w:val="21"/>
                <w:highlight w:val="none"/>
                <w:lang w:val="en-US" w:eastAsia="zh-CN" w:bidi="ar-SA"/>
              </w:rPr>
              <w:t>FSP模块失去冗余；HMC不可用</w:t>
            </w:r>
            <w:r>
              <w:rPr>
                <w:rFonts w:hint="eastAsia" w:ascii="宋体" w:hAnsi="宋体" w:eastAsia="宋体" w:cs="宋体"/>
                <w:kern w:val="2"/>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二</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29DFF8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3D4EF0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6BE6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2185E5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1197" w:type="dxa"/>
            <w:vMerge w:val="continue"/>
            <w:vAlign w:val="center"/>
          </w:tcPr>
          <w:p w14:paraId="377DD3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0172FD88">
            <w:pPr>
              <w:spacing w:line="400" w:lineRule="exact"/>
              <w:contextualSpacing/>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rPr>
              <w:t>电源</w:t>
            </w:r>
            <w:r>
              <w:rPr>
                <w:rFonts w:hint="eastAsia" w:ascii="宋体" w:hAnsi="宋体" w:eastAsia="宋体" w:cs="宋体"/>
                <w:kern w:val="0"/>
                <w:sz w:val="21"/>
                <w:szCs w:val="21"/>
                <w:highlight w:val="none"/>
                <w:lang w:val="zh-CN"/>
              </w:rPr>
              <w:t>导致整机无法正常工作</w:t>
            </w:r>
            <w:r>
              <w:rPr>
                <w:rFonts w:hint="eastAsia" w:ascii="宋体" w:hAnsi="宋体" w:eastAsia="宋体" w:cs="宋体"/>
                <w:kern w:val="0"/>
                <w:sz w:val="21"/>
                <w:szCs w:val="21"/>
                <w:highlight w:val="none"/>
                <w:lang w:eastAsia="zh-CN"/>
              </w:rPr>
              <w:t>，</w:t>
            </w:r>
            <w:r>
              <w:rPr>
                <w:rFonts w:hint="eastAsia" w:ascii="宋体" w:hAnsi="宋体" w:eastAsia="宋体" w:cs="宋体"/>
                <w:sz w:val="21"/>
                <w:szCs w:val="21"/>
                <w:highlight w:val="none"/>
                <w:lang w:val="en-US" w:eastAsia="zh-CN"/>
              </w:rPr>
              <w:t>一</w:t>
            </w:r>
            <w:r>
              <w:rPr>
                <w:rFonts w:hint="eastAsia" w:ascii="宋体" w:hAnsi="宋体" w:eastAsia="宋体" w:cs="宋体"/>
                <w:kern w:val="0"/>
                <w:sz w:val="21"/>
                <w:szCs w:val="21"/>
                <w:highlight w:val="none"/>
                <w:lang w:val="zh-CN"/>
              </w:rPr>
              <w:t>级故障</w:t>
            </w:r>
          </w:p>
        </w:tc>
        <w:tc>
          <w:tcPr>
            <w:tcW w:w="1156" w:type="dxa"/>
            <w:vAlign w:val="center"/>
          </w:tcPr>
          <w:p w14:paraId="25A450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527F7B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3EC2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793985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197" w:type="dxa"/>
            <w:vMerge w:val="continue"/>
            <w:vAlign w:val="center"/>
          </w:tcPr>
          <w:p w14:paraId="554D3A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3B3D39A1">
            <w:pPr>
              <w:spacing w:line="400" w:lineRule="exact"/>
              <w:contextualSpacing/>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电源</w:t>
            </w:r>
            <w:r>
              <w:rPr>
                <w:rFonts w:hint="eastAsia" w:ascii="宋体" w:hAnsi="宋体" w:eastAsia="宋体" w:cs="宋体"/>
                <w:kern w:val="0"/>
                <w:sz w:val="21"/>
                <w:szCs w:val="21"/>
                <w:highlight w:val="none"/>
                <w:lang w:val="zh-CN"/>
              </w:rPr>
              <w:t>故障导致电源系统失去冗余</w:t>
            </w:r>
            <w:r>
              <w:rPr>
                <w:rFonts w:hint="eastAsia" w:ascii="宋体" w:hAnsi="宋体" w:eastAsia="宋体" w:cs="宋体"/>
                <w:sz w:val="21"/>
                <w:szCs w:val="21"/>
                <w:highlight w:val="none"/>
                <w:lang w:val="en-US" w:eastAsia="zh-CN"/>
              </w:rPr>
              <w:t>，</w:t>
            </w:r>
            <w:r>
              <w:rPr>
                <w:rFonts w:hint="eastAsia" w:ascii="宋体" w:hAnsi="宋体" w:eastAsia="宋体" w:cs="宋体"/>
                <w:kern w:val="0"/>
                <w:sz w:val="21"/>
                <w:szCs w:val="21"/>
                <w:highlight w:val="none"/>
                <w:lang w:val="en-US" w:eastAsia="zh-CN"/>
              </w:rPr>
              <w:t>二</w:t>
            </w:r>
            <w:r>
              <w:rPr>
                <w:rFonts w:hint="eastAsia" w:ascii="宋体" w:hAnsi="宋体" w:eastAsia="宋体" w:cs="宋体"/>
                <w:kern w:val="0"/>
                <w:sz w:val="21"/>
                <w:szCs w:val="21"/>
                <w:highlight w:val="none"/>
                <w:lang w:val="zh-CN"/>
              </w:rPr>
              <w:t>级故障</w:t>
            </w:r>
          </w:p>
        </w:tc>
        <w:tc>
          <w:tcPr>
            <w:tcW w:w="1156" w:type="dxa"/>
            <w:vAlign w:val="center"/>
          </w:tcPr>
          <w:p w14:paraId="043851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11D335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36B1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75949C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1197" w:type="dxa"/>
            <w:vMerge w:val="continue"/>
            <w:vAlign w:val="center"/>
          </w:tcPr>
          <w:p w14:paraId="270EE3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7D8F0C7C">
            <w:pPr>
              <w:spacing w:line="400" w:lineRule="exact"/>
              <w:contextualSpacing/>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电源</w:t>
            </w:r>
            <w:r>
              <w:rPr>
                <w:rFonts w:hint="eastAsia" w:ascii="宋体" w:hAnsi="宋体" w:eastAsia="宋体" w:cs="宋体"/>
                <w:color w:val="000000"/>
                <w:kern w:val="0"/>
                <w:sz w:val="21"/>
                <w:szCs w:val="21"/>
                <w:highlight w:val="none"/>
                <w:lang w:val="zh-CN"/>
              </w:rPr>
              <w:t>故障导致电源系统可靠性降低</w:t>
            </w:r>
            <w:r>
              <w:rPr>
                <w:rFonts w:hint="eastAsia" w:ascii="宋体" w:hAnsi="宋体" w:eastAsia="宋体" w:cs="宋体"/>
                <w:sz w:val="21"/>
                <w:szCs w:val="21"/>
                <w:highlight w:val="none"/>
                <w:lang w:val="en-US" w:eastAsia="zh-CN"/>
              </w:rPr>
              <w:t>，</w:t>
            </w:r>
            <w:r>
              <w:rPr>
                <w:rFonts w:hint="eastAsia" w:ascii="宋体" w:hAnsi="宋体" w:eastAsia="宋体" w:cs="宋体"/>
                <w:kern w:val="0"/>
                <w:sz w:val="21"/>
                <w:szCs w:val="21"/>
                <w:highlight w:val="none"/>
                <w:lang w:val="en-US" w:eastAsia="zh-CN"/>
              </w:rPr>
              <w:t>三</w:t>
            </w:r>
            <w:r>
              <w:rPr>
                <w:rFonts w:hint="eastAsia" w:ascii="宋体" w:hAnsi="宋体" w:eastAsia="宋体" w:cs="宋体"/>
                <w:kern w:val="0"/>
                <w:sz w:val="21"/>
                <w:szCs w:val="21"/>
                <w:highlight w:val="none"/>
                <w:lang w:val="zh-CN"/>
              </w:rPr>
              <w:t>级故障</w:t>
            </w:r>
          </w:p>
        </w:tc>
        <w:tc>
          <w:tcPr>
            <w:tcW w:w="1156" w:type="dxa"/>
            <w:vAlign w:val="center"/>
          </w:tcPr>
          <w:p w14:paraId="70902B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7E225B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3B2F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7F960E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1197" w:type="dxa"/>
            <w:vMerge w:val="continue"/>
            <w:vAlign w:val="center"/>
          </w:tcPr>
          <w:p w14:paraId="65E2DF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77F13585">
            <w:pPr>
              <w:spacing w:line="400" w:lineRule="exact"/>
              <w:contextualSpacing/>
              <w:jc w:val="left"/>
              <w:rPr>
                <w:rFonts w:hint="eastAsia" w:ascii="宋体" w:hAnsi="宋体" w:eastAsia="宋体" w:cs="宋体"/>
                <w:sz w:val="21"/>
                <w:szCs w:val="21"/>
                <w:highlight w:val="none"/>
                <w:lang w:val="zh-CN"/>
              </w:rPr>
            </w:pPr>
            <w:r>
              <w:rPr>
                <w:rFonts w:hint="eastAsia" w:ascii="宋体" w:hAnsi="宋体" w:eastAsia="宋体" w:cs="宋体"/>
                <w:color w:val="000000"/>
                <w:sz w:val="21"/>
                <w:szCs w:val="21"/>
                <w:highlight w:val="none"/>
                <w:lang w:val="zh-CN"/>
              </w:rPr>
              <w:t>风扇、散热模块</w:t>
            </w:r>
            <w:r>
              <w:rPr>
                <w:rFonts w:hint="eastAsia" w:ascii="宋体" w:hAnsi="宋体" w:eastAsia="宋体" w:cs="宋体"/>
                <w:color w:val="000000"/>
                <w:kern w:val="0"/>
                <w:sz w:val="21"/>
                <w:szCs w:val="21"/>
                <w:highlight w:val="none"/>
              </w:rPr>
              <w:t>50%及以上散热风扇失效</w:t>
            </w:r>
            <w:r>
              <w:rPr>
                <w:rFonts w:hint="eastAsia" w:ascii="宋体" w:hAnsi="宋体" w:eastAsia="宋体" w:cs="宋体"/>
                <w:kern w:val="0"/>
                <w:sz w:val="21"/>
                <w:szCs w:val="21"/>
                <w:highlight w:val="none"/>
                <w:lang w:eastAsia="zh-CN"/>
              </w:rPr>
              <w:t>，</w:t>
            </w:r>
            <w:r>
              <w:rPr>
                <w:rFonts w:hint="eastAsia" w:ascii="宋体" w:hAnsi="宋体" w:eastAsia="宋体" w:cs="宋体"/>
                <w:sz w:val="21"/>
                <w:szCs w:val="21"/>
                <w:highlight w:val="none"/>
                <w:lang w:val="en-US" w:eastAsia="zh-CN"/>
              </w:rPr>
              <w:t>一</w:t>
            </w:r>
            <w:r>
              <w:rPr>
                <w:rFonts w:hint="eastAsia" w:ascii="宋体" w:hAnsi="宋体" w:eastAsia="宋体" w:cs="宋体"/>
                <w:kern w:val="0"/>
                <w:sz w:val="21"/>
                <w:szCs w:val="21"/>
                <w:highlight w:val="none"/>
                <w:lang w:val="zh-CN"/>
              </w:rPr>
              <w:t>级故障</w:t>
            </w:r>
          </w:p>
        </w:tc>
        <w:tc>
          <w:tcPr>
            <w:tcW w:w="1156" w:type="dxa"/>
            <w:vAlign w:val="center"/>
          </w:tcPr>
          <w:p w14:paraId="41D92F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5D5A41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3B8A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346217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1197" w:type="dxa"/>
            <w:vMerge w:val="continue"/>
            <w:vAlign w:val="center"/>
          </w:tcPr>
          <w:p w14:paraId="438F4A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7BB8B185">
            <w:pPr>
              <w:spacing w:line="400" w:lineRule="exact"/>
              <w:contextualSpacing/>
              <w:jc w:val="left"/>
              <w:rPr>
                <w:rFonts w:hint="eastAsia" w:ascii="宋体" w:hAnsi="宋体" w:eastAsia="宋体" w:cs="宋体"/>
                <w:sz w:val="21"/>
                <w:szCs w:val="21"/>
                <w:highlight w:val="none"/>
                <w:lang w:val="zh-CN"/>
              </w:rPr>
            </w:pPr>
            <w:r>
              <w:rPr>
                <w:rFonts w:hint="eastAsia" w:ascii="宋体" w:hAnsi="宋体" w:eastAsia="宋体" w:cs="宋体"/>
                <w:color w:val="000000"/>
                <w:sz w:val="21"/>
                <w:szCs w:val="21"/>
                <w:highlight w:val="none"/>
                <w:lang w:val="zh-CN"/>
              </w:rPr>
              <w:t>风扇、散热模块</w:t>
            </w:r>
            <w:r>
              <w:rPr>
                <w:rFonts w:hint="eastAsia" w:ascii="宋体" w:hAnsi="宋体" w:eastAsia="宋体" w:cs="宋体"/>
                <w:color w:val="000000"/>
                <w:kern w:val="0"/>
                <w:sz w:val="21"/>
                <w:szCs w:val="21"/>
                <w:highlight w:val="none"/>
              </w:rPr>
              <w:t>50%-25%风扇失效</w:t>
            </w:r>
            <w:r>
              <w:rPr>
                <w:rFonts w:hint="eastAsia" w:ascii="宋体" w:hAnsi="宋体" w:eastAsia="宋体" w:cs="宋体"/>
                <w:sz w:val="21"/>
                <w:szCs w:val="21"/>
                <w:highlight w:val="none"/>
                <w:lang w:val="en-US" w:eastAsia="zh-CN"/>
              </w:rPr>
              <w:t>，</w:t>
            </w:r>
            <w:r>
              <w:rPr>
                <w:rFonts w:hint="eastAsia" w:ascii="宋体" w:hAnsi="宋体" w:eastAsia="宋体" w:cs="宋体"/>
                <w:kern w:val="0"/>
                <w:sz w:val="21"/>
                <w:szCs w:val="21"/>
                <w:highlight w:val="none"/>
                <w:lang w:val="en-US" w:eastAsia="zh-CN"/>
              </w:rPr>
              <w:t>二</w:t>
            </w:r>
            <w:r>
              <w:rPr>
                <w:rFonts w:hint="eastAsia" w:ascii="宋体" w:hAnsi="宋体" w:eastAsia="宋体" w:cs="宋体"/>
                <w:kern w:val="0"/>
                <w:sz w:val="21"/>
                <w:szCs w:val="21"/>
                <w:highlight w:val="none"/>
                <w:lang w:val="zh-CN"/>
              </w:rPr>
              <w:t>级故障</w:t>
            </w:r>
          </w:p>
        </w:tc>
        <w:tc>
          <w:tcPr>
            <w:tcW w:w="1156" w:type="dxa"/>
            <w:vAlign w:val="center"/>
          </w:tcPr>
          <w:p w14:paraId="4DDA55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33F3D2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7212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3B4CD2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1197" w:type="dxa"/>
            <w:vMerge w:val="continue"/>
            <w:vAlign w:val="center"/>
          </w:tcPr>
          <w:p w14:paraId="3BBF7C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4F148F36">
            <w:pPr>
              <w:spacing w:line="400" w:lineRule="exact"/>
              <w:contextualSpacing/>
              <w:jc w:val="left"/>
              <w:rPr>
                <w:rFonts w:hint="eastAsia" w:ascii="宋体" w:hAnsi="宋体" w:eastAsia="宋体" w:cs="宋体"/>
                <w:sz w:val="21"/>
                <w:szCs w:val="21"/>
                <w:highlight w:val="none"/>
                <w:lang w:val="zh-CN"/>
              </w:rPr>
            </w:pPr>
            <w:r>
              <w:rPr>
                <w:rFonts w:hint="eastAsia" w:ascii="宋体" w:hAnsi="宋体" w:eastAsia="宋体" w:cs="宋体"/>
                <w:color w:val="000000"/>
                <w:sz w:val="21"/>
                <w:szCs w:val="21"/>
                <w:highlight w:val="none"/>
                <w:lang w:val="zh-CN"/>
              </w:rPr>
              <w:t>风扇、散热模块</w:t>
            </w:r>
            <w:r>
              <w:rPr>
                <w:rFonts w:hint="eastAsia" w:ascii="宋体" w:hAnsi="宋体" w:eastAsia="宋体" w:cs="宋体"/>
                <w:color w:val="000000"/>
                <w:kern w:val="0"/>
                <w:sz w:val="21"/>
                <w:szCs w:val="21"/>
                <w:highlight w:val="none"/>
              </w:rPr>
              <w:t>25%及以下风扇失效</w:t>
            </w:r>
            <w:r>
              <w:rPr>
                <w:rFonts w:hint="eastAsia" w:ascii="宋体" w:hAnsi="宋体" w:eastAsia="宋体" w:cs="宋体"/>
                <w:sz w:val="21"/>
                <w:szCs w:val="21"/>
                <w:highlight w:val="none"/>
                <w:lang w:val="en-US" w:eastAsia="zh-CN"/>
              </w:rPr>
              <w:t>，</w:t>
            </w:r>
            <w:r>
              <w:rPr>
                <w:rFonts w:hint="eastAsia" w:ascii="宋体" w:hAnsi="宋体" w:eastAsia="宋体" w:cs="宋体"/>
                <w:kern w:val="0"/>
                <w:sz w:val="21"/>
                <w:szCs w:val="21"/>
                <w:highlight w:val="none"/>
                <w:lang w:val="en-US" w:eastAsia="zh-CN"/>
              </w:rPr>
              <w:t>三</w:t>
            </w:r>
            <w:r>
              <w:rPr>
                <w:rFonts w:hint="eastAsia" w:ascii="宋体" w:hAnsi="宋体" w:eastAsia="宋体" w:cs="宋体"/>
                <w:kern w:val="0"/>
                <w:sz w:val="21"/>
                <w:szCs w:val="21"/>
                <w:highlight w:val="none"/>
                <w:lang w:val="zh-CN"/>
              </w:rPr>
              <w:t>级故障</w:t>
            </w:r>
          </w:p>
        </w:tc>
        <w:tc>
          <w:tcPr>
            <w:tcW w:w="1156" w:type="dxa"/>
            <w:vAlign w:val="center"/>
          </w:tcPr>
          <w:p w14:paraId="552086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090A93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2514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21561B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1197" w:type="dxa"/>
            <w:vMerge w:val="continue"/>
            <w:vAlign w:val="center"/>
          </w:tcPr>
          <w:p w14:paraId="480C56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49387113">
            <w:pPr>
              <w:spacing w:line="400" w:lineRule="exact"/>
              <w:contextualSpacing/>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zh-CN"/>
              </w:rPr>
              <w:t>虚拟化管理软件不可用</w:t>
            </w:r>
            <w:r>
              <w:rPr>
                <w:rFonts w:hint="eastAsia" w:ascii="宋体" w:hAnsi="宋体" w:eastAsia="宋体" w:cs="宋体"/>
                <w:kern w:val="0"/>
                <w:sz w:val="21"/>
                <w:szCs w:val="21"/>
                <w:highlight w:val="none"/>
                <w:lang w:eastAsia="zh-CN"/>
              </w:rPr>
              <w:t>，</w:t>
            </w:r>
            <w:r>
              <w:rPr>
                <w:rFonts w:hint="eastAsia" w:ascii="宋体" w:hAnsi="宋体" w:eastAsia="宋体" w:cs="宋体"/>
                <w:sz w:val="21"/>
                <w:szCs w:val="21"/>
                <w:highlight w:val="none"/>
                <w:lang w:val="en-US" w:eastAsia="zh-CN"/>
              </w:rPr>
              <w:t>一</w:t>
            </w:r>
            <w:r>
              <w:rPr>
                <w:rFonts w:hint="eastAsia" w:ascii="宋体" w:hAnsi="宋体" w:eastAsia="宋体" w:cs="宋体"/>
                <w:kern w:val="0"/>
                <w:sz w:val="21"/>
                <w:szCs w:val="21"/>
                <w:highlight w:val="none"/>
                <w:lang w:val="zh-CN"/>
              </w:rPr>
              <w:t>级故障</w:t>
            </w:r>
          </w:p>
        </w:tc>
        <w:tc>
          <w:tcPr>
            <w:tcW w:w="1156" w:type="dxa"/>
            <w:vAlign w:val="center"/>
          </w:tcPr>
          <w:p w14:paraId="602127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548D59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7C47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050AB6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1197" w:type="dxa"/>
            <w:vMerge w:val="continue"/>
            <w:vAlign w:val="center"/>
          </w:tcPr>
          <w:p w14:paraId="008E82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282348E3">
            <w:pPr>
              <w:spacing w:line="400" w:lineRule="exact"/>
              <w:contextualSpacing/>
              <w:jc w:val="left"/>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rPr>
              <w:t>操作系统内核</w:t>
            </w:r>
            <w:r>
              <w:rPr>
                <w:rFonts w:hint="eastAsia" w:ascii="宋体" w:hAnsi="宋体" w:eastAsia="宋体" w:cs="宋体"/>
                <w:color w:val="000000"/>
                <w:sz w:val="21"/>
                <w:szCs w:val="21"/>
                <w:highlight w:val="none"/>
                <w:lang w:val="en-US" w:eastAsia="zh-CN"/>
              </w:rPr>
              <w:t>故障</w:t>
            </w:r>
            <w:r>
              <w:rPr>
                <w:rFonts w:hint="eastAsia" w:ascii="宋体" w:hAnsi="宋体" w:eastAsia="宋体" w:cs="宋体"/>
                <w:kern w:val="0"/>
                <w:sz w:val="21"/>
                <w:szCs w:val="21"/>
                <w:highlight w:val="none"/>
                <w:lang w:eastAsia="zh-CN"/>
              </w:rPr>
              <w:t>，</w:t>
            </w:r>
            <w:r>
              <w:rPr>
                <w:rFonts w:hint="eastAsia" w:ascii="宋体" w:hAnsi="宋体" w:eastAsia="宋体" w:cs="宋体"/>
                <w:sz w:val="21"/>
                <w:szCs w:val="21"/>
                <w:highlight w:val="none"/>
                <w:lang w:val="en-US" w:eastAsia="zh-CN"/>
              </w:rPr>
              <w:t>一</w:t>
            </w:r>
            <w:r>
              <w:rPr>
                <w:rFonts w:hint="eastAsia" w:ascii="宋体" w:hAnsi="宋体" w:eastAsia="宋体" w:cs="宋体"/>
                <w:kern w:val="0"/>
                <w:sz w:val="21"/>
                <w:szCs w:val="21"/>
                <w:highlight w:val="none"/>
                <w:lang w:val="zh-CN"/>
              </w:rPr>
              <w:t>级故障</w:t>
            </w:r>
          </w:p>
        </w:tc>
        <w:tc>
          <w:tcPr>
            <w:tcW w:w="1156" w:type="dxa"/>
            <w:vAlign w:val="center"/>
          </w:tcPr>
          <w:p w14:paraId="1D5837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1EA7F3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0696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06EB26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w:t>
            </w:r>
          </w:p>
        </w:tc>
        <w:tc>
          <w:tcPr>
            <w:tcW w:w="1197" w:type="dxa"/>
            <w:vMerge w:val="continue"/>
            <w:vAlign w:val="center"/>
          </w:tcPr>
          <w:p w14:paraId="2B0705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00082FC0">
            <w:pPr>
              <w:spacing w:line="400" w:lineRule="exact"/>
              <w:contextualSpacing/>
              <w:jc w:val="left"/>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rPr>
              <w:t>备份系统暂时无法备份</w:t>
            </w:r>
            <w:r>
              <w:rPr>
                <w:rFonts w:hint="eastAsia" w:ascii="宋体" w:hAnsi="宋体" w:eastAsia="宋体" w:cs="宋体"/>
                <w:sz w:val="21"/>
                <w:szCs w:val="21"/>
                <w:highlight w:val="none"/>
                <w:lang w:val="en-US" w:eastAsia="zh-CN"/>
              </w:rPr>
              <w:t>，</w:t>
            </w:r>
            <w:r>
              <w:rPr>
                <w:rFonts w:hint="eastAsia" w:ascii="宋体" w:hAnsi="宋体" w:eastAsia="宋体" w:cs="宋体"/>
                <w:kern w:val="0"/>
                <w:sz w:val="21"/>
                <w:szCs w:val="21"/>
                <w:highlight w:val="none"/>
                <w:lang w:val="en-US" w:eastAsia="zh-CN"/>
              </w:rPr>
              <w:t>二</w:t>
            </w:r>
            <w:r>
              <w:rPr>
                <w:rFonts w:hint="eastAsia" w:ascii="宋体" w:hAnsi="宋体" w:eastAsia="宋体" w:cs="宋体"/>
                <w:kern w:val="0"/>
                <w:sz w:val="21"/>
                <w:szCs w:val="21"/>
                <w:highlight w:val="none"/>
                <w:lang w:val="zh-CN"/>
              </w:rPr>
              <w:t>级故障</w:t>
            </w:r>
          </w:p>
        </w:tc>
        <w:tc>
          <w:tcPr>
            <w:tcW w:w="1156" w:type="dxa"/>
            <w:vAlign w:val="center"/>
          </w:tcPr>
          <w:p w14:paraId="680486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1CB4BD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48CF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7362ED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w:t>
            </w:r>
          </w:p>
        </w:tc>
        <w:tc>
          <w:tcPr>
            <w:tcW w:w="1197" w:type="dxa"/>
            <w:vMerge w:val="continue"/>
            <w:vAlign w:val="center"/>
          </w:tcPr>
          <w:p w14:paraId="50EBEC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64E68098">
            <w:pPr>
              <w:spacing w:line="400" w:lineRule="exact"/>
              <w:contextualSpacing/>
              <w:jc w:val="left"/>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rPr>
              <w:t>爱数云文档不可用</w:t>
            </w:r>
            <w:r>
              <w:rPr>
                <w:rFonts w:hint="eastAsia" w:ascii="宋体" w:hAnsi="宋体" w:eastAsia="宋体" w:cs="宋体"/>
                <w:sz w:val="21"/>
                <w:szCs w:val="21"/>
                <w:highlight w:val="none"/>
                <w:lang w:val="en-US" w:eastAsia="zh-CN"/>
              </w:rPr>
              <w:t>，</w:t>
            </w:r>
            <w:r>
              <w:rPr>
                <w:rFonts w:hint="eastAsia" w:ascii="宋体" w:hAnsi="宋体" w:eastAsia="宋体" w:cs="宋体"/>
                <w:kern w:val="0"/>
                <w:sz w:val="21"/>
                <w:szCs w:val="21"/>
                <w:highlight w:val="none"/>
                <w:lang w:val="en-US" w:eastAsia="zh-CN"/>
              </w:rPr>
              <w:t>二</w:t>
            </w:r>
            <w:r>
              <w:rPr>
                <w:rFonts w:hint="eastAsia" w:ascii="宋体" w:hAnsi="宋体" w:eastAsia="宋体" w:cs="宋体"/>
                <w:kern w:val="0"/>
                <w:sz w:val="21"/>
                <w:szCs w:val="21"/>
                <w:highlight w:val="none"/>
                <w:lang w:val="zh-CN"/>
              </w:rPr>
              <w:t>级故障</w:t>
            </w:r>
          </w:p>
        </w:tc>
        <w:tc>
          <w:tcPr>
            <w:tcW w:w="1156" w:type="dxa"/>
            <w:vAlign w:val="center"/>
          </w:tcPr>
          <w:p w14:paraId="6618E9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3E08E4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01E4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22EC8D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19</w:t>
            </w:r>
          </w:p>
        </w:tc>
        <w:tc>
          <w:tcPr>
            <w:tcW w:w="1197" w:type="dxa"/>
            <w:vMerge w:val="continue"/>
            <w:vAlign w:val="center"/>
          </w:tcPr>
          <w:p w14:paraId="3218C8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4DC750D1">
            <w:pPr>
              <w:widowControl w:val="0"/>
              <w:spacing w:line="400" w:lineRule="exact"/>
              <w:contextualSpacing/>
              <w:jc w:val="left"/>
              <w:rPr>
                <w:rFonts w:hint="eastAsia" w:ascii="宋体" w:hAnsi="宋体" w:eastAsia="宋体" w:cs="宋体"/>
                <w:kern w:val="2"/>
                <w:sz w:val="21"/>
                <w:szCs w:val="21"/>
                <w:highlight w:val="none"/>
                <w:lang w:val="zh-CN" w:eastAsia="zh-CN" w:bidi="ar-SA"/>
              </w:rPr>
            </w:pPr>
            <w:r>
              <w:rPr>
                <w:rFonts w:hint="eastAsia" w:ascii="宋体" w:hAnsi="宋体" w:eastAsia="宋体" w:cs="宋体"/>
                <w:color w:val="000000"/>
                <w:kern w:val="2"/>
                <w:sz w:val="21"/>
                <w:szCs w:val="21"/>
                <w:highlight w:val="none"/>
                <w:lang w:val="zh-CN" w:eastAsia="zh-CN" w:bidi="ar-SA"/>
              </w:rPr>
              <w:t>运行监控系统不可用，</w:t>
            </w:r>
            <w:r>
              <w:rPr>
                <w:rFonts w:hint="eastAsia" w:ascii="宋体" w:hAnsi="宋体" w:eastAsia="宋体" w:cs="宋体"/>
                <w:kern w:val="0"/>
                <w:sz w:val="21"/>
                <w:szCs w:val="21"/>
                <w:highlight w:val="none"/>
                <w:lang w:val="en-US" w:eastAsia="zh-CN" w:bidi="ar-SA"/>
              </w:rPr>
              <w:t>二</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6A85D1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500BAB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4E44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Align w:val="center"/>
          </w:tcPr>
          <w:p w14:paraId="1D7115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w:t>
            </w:r>
          </w:p>
        </w:tc>
        <w:tc>
          <w:tcPr>
            <w:tcW w:w="1197" w:type="dxa"/>
            <w:vMerge w:val="continue"/>
            <w:vAlign w:val="center"/>
          </w:tcPr>
          <w:p w14:paraId="41D979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220FC5BB">
            <w:pPr>
              <w:widowControl w:val="0"/>
              <w:spacing w:line="400" w:lineRule="exact"/>
              <w:contextualSpacing/>
              <w:jc w:val="left"/>
              <w:rPr>
                <w:rFonts w:hint="eastAsia" w:ascii="宋体" w:hAnsi="宋体" w:eastAsia="宋体" w:cs="宋体"/>
                <w:kern w:val="2"/>
                <w:sz w:val="21"/>
                <w:szCs w:val="21"/>
                <w:highlight w:val="none"/>
                <w:lang w:val="zh-CN" w:eastAsia="zh-CN" w:bidi="ar-SA"/>
              </w:rPr>
            </w:pPr>
            <w:r>
              <w:rPr>
                <w:rFonts w:hint="eastAsia" w:ascii="宋体" w:hAnsi="宋体" w:eastAsia="宋体" w:cs="宋体"/>
                <w:color w:val="000000"/>
                <w:kern w:val="2"/>
                <w:sz w:val="21"/>
                <w:szCs w:val="21"/>
                <w:highlight w:val="none"/>
                <w:lang w:val="zh-CN" w:eastAsia="zh-CN" w:bidi="ar-SA"/>
              </w:rPr>
              <w:t>运行监控系统失去部分监控功能，</w:t>
            </w:r>
            <w:r>
              <w:rPr>
                <w:rFonts w:hint="eastAsia" w:ascii="宋体" w:hAnsi="宋体" w:eastAsia="宋体" w:cs="宋体"/>
                <w:kern w:val="0"/>
                <w:sz w:val="21"/>
                <w:szCs w:val="21"/>
                <w:highlight w:val="none"/>
                <w:lang w:val="en-US" w:eastAsia="zh-CN" w:bidi="ar-SA"/>
              </w:rPr>
              <w:t>二</w:t>
            </w:r>
            <w:r>
              <w:rPr>
                <w:rFonts w:hint="eastAsia" w:ascii="宋体" w:hAnsi="宋体" w:eastAsia="宋体" w:cs="宋体"/>
                <w:kern w:val="0"/>
                <w:sz w:val="21"/>
                <w:szCs w:val="21"/>
                <w:highlight w:val="none"/>
                <w:lang w:val="zh-CN" w:eastAsia="zh-CN" w:bidi="ar-SA"/>
              </w:rPr>
              <w:t>级故障</w:t>
            </w:r>
          </w:p>
        </w:tc>
        <w:tc>
          <w:tcPr>
            <w:tcW w:w="1156" w:type="dxa"/>
            <w:vAlign w:val="center"/>
          </w:tcPr>
          <w:p w14:paraId="4B69D0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76C062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bl>
    <w:p w14:paraId="405222AE">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p>
    <w:p w14:paraId="18E7B295">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4.4 备品备件及维护工具要求</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97"/>
        <w:gridCol w:w="4713"/>
        <w:gridCol w:w="1156"/>
        <w:gridCol w:w="1189"/>
      </w:tblGrid>
      <w:tr w14:paraId="1349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195C26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97" w:type="dxa"/>
            <w:vAlign w:val="center"/>
          </w:tcPr>
          <w:p w14:paraId="168CE8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713" w:type="dxa"/>
            <w:vAlign w:val="center"/>
          </w:tcPr>
          <w:p w14:paraId="1107FF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156" w:type="dxa"/>
            <w:vAlign w:val="center"/>
          </w:tcPr>
          <w:p w14:paraId="541CDE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11A20A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743A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6A0EC6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Align w:val="center"/>
          </w:tcPr>
          <w:p w14:paraId="5F684B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维护工具和办公用品</w:t>
            </w:r>
            <w:r>
              <w:rPr>
                <w:rFonts w:hint="eastAsia" w:ascii="宋体" w:hAnsi="宋体" w:eastAsia="宋体" w:cs="宋体"/>
                <w:sz w:val="21"/>
                <w:szCs w:val="21"/>
                <w:highlight w:val="none"/>
                <w:lang w:val="en-US" w:eastAsia="zh-CN"/>
              </w:rPr>
              <w:t>要求</w:t>
            </w:r>
          </w:p>
        </w:tc>
        <w:tc>
          <w:tcPr>
            <w:tcW w:w="4713" w:type="dxa"/>
            <w:vAlign w:val="center"/>
          </w:tcPr>
          <w:p w14:paraId="42ABC11B">
            <w:pPr>
              <w:spacing w:line="400" w:lineRule="exact"/>
              <w:contextualSpacing/>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配备常用的维护工具和办公用品，包括但不限于：热成像设备，防雷检测设备，防静电检测设备，直流钳形电流表，相序表，数字式万用表，红外线测温仪，高低压气压表（双头表），检漏仪，专业大功率干湿两用吸尘器、地拖、平板拖、静电地板吸盘、鞋套、打印复印一体机、打印纸、打孔装订机、签字笔等。以上维护工具和办公用品，投标人必须承诺一旦中标，在合同签订之日起15个自然日内放置于采购人指定地点，否则采购人有权拒绝中标人进场开展运维服务，因此造成的所有损失由中标人承担。</w:t>
            </w:r>
          </w:p>
        </w:tc>
        <w:tc>
          <w:tcPr>
            <w:tcW w:w="1156" w:type="dxa"/>
            <w:vAlign w:val="center"/>
          </w:tcPr>
          <w:p w14:paraId="043A96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6F20FE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5A6C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78" w:type="dxa"/>
            <w:gridSpan w:val="5"/>
            <w:vAlign w:val="center"/>
          </w:tcPr>
          <w:p w14:paraId="5B37D825">
            <w:pPr>
              <w:widowControl/>
              <w:spacing w:line="400" w:lineRule="exact"/>
              <w:contextualSpacing/>
              <w:jc w:val="left"/>
              <w:textAlignment w:val="center"/>
              <w:rPr>
                <w:rFonts w:hint="eastAsia" w:ascii="宋体" w:hAnsi="宋体" w:eastAsia="宋体" w:cs="宋体"/>
                <w:sz w:val="21"/>
                <w:szCs w:val="21"/>
                <w:highlight w:val="none"/>
                <w:shd w:val="clear" w:color="auto" w:fill="FFFFFF"/>
              </w:rPr>
            </w:pPr>
          </w:p>
        </w:tc>
      </w:tr>
      <w:tr w14:paraId="2BD9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288639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Merge w:val="restart"/>
            <w:vAlign w:val="center"/>
          </w:tcPr>
          <w:p w14:paraId="3DADC0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备品备件</w:t>
            </w:r>
            <w:r>
              <w:rPr>
                <w:rFonts w:hint="eastAsia" w:ascii="宋体" w:hAnsi="宋体" w:eastAsia="宋体" w:cs="宋体"/>
                <w:sz w:val="21"/>
                <w:szCs w:val="21"/>
                <w:highlight w:val="none"/>
                <w:lang w:val="en-US" w:eastAsia="zh-CN"/>
              </w:rPr>
              <w:t>要求</w:t>
            </w:r>
          </w:p>
        </w:tc>
        <w:tc>
          <w:tcPr>
            <w:tcW w:w="4713" w:type="dxa"/>
            <w:vAlign w:val="center"/>
          </w:tcPr>
          <w:p w14:paraId="7CA195E3">
            <w:pPr>
              <w:spacing w:line="400" w:lineRule="exact"/>
              <w:contextualSpacing/>
              <w:jc w:val="left"/>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zh-CN"/>
              </w:rPr>
              <w:t>根据网络与数据安全工作要求，强化供应链安全管理，用于本项目的备品备件必须是全新合格的原厂备件产品，若原厂配件已停产,则提供的配件必须与原厂备件在技术参数和性能上相当，且须全部来自于合法渠道的合格产品。</w:t>
            </w:r>
          </w:p>
        </w:tc>
        <w:tc>
          <w:tcPr>
            <w:tcW w:w="1156" w:type="dxa"/>
            <w:vAlign w:val="center"/>
          </w:tcPr>
          <w:p w14:paraId="412B3E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w:t>
            </w:r>
          </w:p>
        </w:tc>
        <w:tc>
          <w:tcPr>
            <w:tcW w:w="1189" w:type="dxa"/>
            <w:vAlign w:val="center"/>
          </w:tcPr>
          <w:p w14:paraId="75C664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zh-CN" w:eastAsia="zh-CN"/>
              </w:rPr>
              <w:t>承诺</w:t>
            </w:r>
            <w:r>
              <w:rPr>
                <w:rFonts w:hint="eastAsia" w:ascii="宋体" w:hAnsi="宋体" w:eastAsia="宋体" w:cs="宋体"/>
                <w:sz w:val="21"/>
                <w:szCs w:val="21"/>
                <w:highlight w:val="none"/>
                <w:lang w:val="en-US" w:eastAsia="zh-CN"/>
              </w:rPr>
              <w:t>函</w:t>
            </w:r>
            <w:r>
              <w:rPr>
                <w:rFonts w:hint="eastAsia" w:ascii="宋体" w:hAnsi="宋体" w:eastAsia="宋体" w:cs="宋体"/>
                <w:sz w:val="21"/>
                <w:szCs w:val="21"/>
                <w:highlight w:val="none"/>
                <w:lang w:val="zh-CN" w:eastAsia="zh-CN"/>
              </w:rPr>
              <w:t>并盖投标人公章</w:t>
            </w:r>
          </w:p>
        </w:tc>
      </w:tr>
      <w:tr w14:paraId="61CC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923" w:type="dxa"/>
            <w:vMerge w:val="restart"/>
            <w:vAlign w:val="center"/>
          </w:tcPr>
          <w:p w14:paraId="5AF930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97" w:type="dxa"/>
            <w:vMerge w:val="continue"/>
            <w:vAlign w:val="center"/>
          </w:tcPr>
          <w:p w14:paraId="1920F6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0122AC03">
            <w:pPr>
              <w:spacing w:before="0" w:after="0" w:afterAutospacing="0" w:line="400" w:lineRule="exact"/>
              <w:contextualSpacing/>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合同期限内，存放在采购人仓库中的各类型备品备件必须随用随补，备品备件存放数量须始终与清单一致。</w:t>
            </w:r>
          </w:p>
        </w:tc>
        <w:tc>
          <w:tcPr>
            <w:tcW w:w="1156" w:type="dxa"/>
            <w:vMerge w:val="restart"/>
            <w:vAlign w:val="center"/>
          </w:tcPr>
          <w:p w14:paraId="768A29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Merge w:val="restart"/>
            <w:vAlign w:val="center"/>
          </w:tcPr>
          <w:p w14:paraId="5BEBA0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4DC7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42D4C470">
            <w:pPr>
              <w:widowControl w:val="0"/>
              <w:ind w:firstLine="420" w:firstLineChars="200"/>
              <w:jc w:val="both"/>
              <w:rPr>
                <w:rFonts w:hint="eastAsia" w:ascii="宋体" w:hAnsi="宋体" w:eastAsia="宋体" w:cs="宋体"/>
                <w:kern w:val="2"/>
                <w:sz w:val="21"/>
                <w:szCs w:val="21"/>
                <w:highlight w:val="none"/>
                <w:lang w:val="en-US" w:eastAsia="zh-CN" w:bidi="ar-SA"/>
              </w:rPr>
            </w:pPr>
          </w:p>
        </w:tc>
        <w:tc>
          <w:tcPr>
            <w:tcW w:w="1197" w:type="dxa"/>
            <w:vMerge w:val="continue"/>
            <w:vAlign w:val="center"/>
          </w:tcPr>
          <w:p w14:paraId="6E81054D">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72A348B0">
            <w:pPr>
              <w:spacing w:line="400" w:lineRule="exact"/>
              <w:contextualSpacing/>
              <w:jc w:val="left"/>
              <w:rPr>
                <w:rFonts w:hint="eastAsia" w:ascii="宋体" w:hAnsi="宋体" w:eastAsia="宋体" w:cs="宋体"/>
                <w:b/>
                <w:bCs/>
                <w:sz w:val="21"/>
                <w:szCs w:val="21"/>
                <w:highlight w:val="none"/>
              </w:rPr>
            </w:pPr>
            <w:r>
              <w:rPr>
                <w:rFonts w:hint="eastAsia" w:ascii="宋体" w:hAnsi="宋体" w:eastAsia="宋体" w:cs="宋体"/>
                <w:kern w:val="0"/>
                <w:sz w:val="21"/>
                <w:szCs w:val="21"/>
                <w:highlight w:val="none"/>
                <w:lang w:val="zh-CN"/>
              </w:rPr>
              <w:t>服务期内采购人每月将对仓库中所有备件进行盘点，盘点结果甲乙双方签字确认</w:t>
            </w:r>
            <w:r>
              <w:rPr>
                <w:rFonts w:hint="eastAsia" w:ascii="宋体" w:hAnsi="宋体" w:eastAsia="宋体" w:cs="宋体"/>
                <w:kern w:val="0"/>
                <w:sz w:val="21"/>
                <w:szCs w:val="21"/>
                <w:highlight w:val="none"/>
                <w:lang w:val="zh-CN" w:eastAsia="zh-CN"/>
              </w:rPr>
              <w:t>并作为项目验收的重要依据</w:t>
            </w:r>
            <w:r>
              <w:rPr>
                <w:rFonts w:hint="eastAsia" w:ascii="宋体" w:hAnsi="宋体" w:eastAsia="宋体" w:cs="宋体"/>
                <w:kern w:val="0"/>
                <w:sz w:val="21"/>
                <w:szCs w:val="21"/>
                <w:highlight w:val="none"/>
                <w:lang w:val="zh-CN"/>
              </w:rPr>
              <w:t>。</w:t>
            </w:r>
          </w:p>
        </w:tc>
        <w:tc>
          <w:tcPr>
            <w:tcW w:w="1156" w:type="dxa"/>
            <w:vMerge w:val="continue"/>
            <w:vAlign w:val="center"/>
          </w:tcPr>
          <w:p w14:paraId="6095D026">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4105296D">
            <w:pPr>
              <w:widowControl/>
              <w:spacing w:line="400" w:lineRule="exact"/>
              <w:contextualSpacing/>
              <w:jc w:val="left"/>
              <w:rPr>
                <w:rFonts w:hint="eastAsia" w:ascii="宋体" w:hAnsi="宋体" w:eastAsia="宋体" w:cs="宋体"/>
                <w:kern w:val="0"/>
                <w:sz w:val="21"/>
                <w:szCs w:val="21"/>
                <w:highlight w:val="none"/>
              </w:rPr>
            </w:pPr>
          </w:p>
        </w:tc>
      </w:tr>
      <w:tr w14:paraId="018A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2EC3A7F7">
            <w:pPr>
              <w:widowControl/>
              <w:spacing w:line="400" w:lineRule="exact"/>
              <w:contextualSpacing/>
              <w:jc w:val="center"/>
              <w:rPr>
                <w:rFonts w:hint="eastAsia" w:ascii="宋体" w:hAnsi="宋体" w:eastAsia="宋体" w:cs="宋体"/>
                <w:kern w:val="0"/>
                <w:sz w:val="21"/>
                <w:szCs w:val="21"/>
                <w:highlight w:val="none"/>
                <w:lang w:val="en-US" w:eastAsia="zh-CN" w:bidi="ar-SA"/>
              </w:rPr>
            </w:pPr>
          </w:p>
        </w:tc>
        <w:tc>
          <w:tcPr>
            <w:tcW w:w="1197" w:type="dxa"/>
            <w:vMerge w:val="continue"/>
            <w:vAlign w:val="center"/>
          </w:tcPr>
          <w:p w14:paraId="08E1FDE3">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713" w:type="dxa"/>
            <w:vAlign w:val="center"/>
          </w:tcPr>
          <w:p w14:paraId="72AA7243">
            <w:pPr>
              <w:spacing w:line="400" w:lineRule="exact"/>
              <w:contextualSpacing/>
              <w:jc w:val="left"/>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zh-CN"/>
              </w:rPr>
              <w:t>备件及消耗品包括：满足项目投标需求的备件和消耗品；投标人依据IT业界的标准、惯例以及以往的经验，增加用户未曾指定的备件和消耗品。</w:t>
            </w:r>
          </w:p>
        </w:tc>
        <w:tc>
          <w:tcPr>
            <w:tcW w:w="1156" w:type="dxa"/>
            <w:vMerge w:val="continue"/>
            <w:vAlign w:val="center"/>
          </w:tcPr>
          <w:p w14:paraId="757EDAEA">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51071983">
            <w:pPr>
              <w:widowControl/>
              <w:spacing w:line="400" w:lineRule="exact"/>
              <w:contextualSpacing/>
              <w:jc w:val="left"/>
              <w:rPr>
                <w:rFonts w:hint="eastAsia" w:ascii="宋体" w:hAnsi="宋体" w:eastAsia="宋体" w:cs="宋体"/>
                <w:kern w:val="0"/>
                <w:sz w:val="21"/>
                <w:szCs w:val="21"/>
                <w:highlight w:val="none"/>
              </w:rPr>
            </w:pPr>
          </w:p>
        </w:tc>
      </w:tr>
      <w:tr w14:paraId="3262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0D9D7FAA">
            <w:pPr>
              <w:widowControl/>
              <w:spacing w:line="400" w:lineRule="exact"/>
              <w:contextualSpacing/>
              <w:jc w:val="center"/>
              <w:rPr>
                <w:rFonts w:hint="eastAsia" w:ascii="宋体" w:hAnsi="宋体" w:eastAsia="宋体" w:cs="宋体"/>
                <w:kern w:val="0"/>
                <w:sz w:val="21"/>
                <w:szCs w:val="21"/>
                <w:highlight w:val="none"/>
                <w:lang w:val="en-US" w:eastAsia="zh-CN" w:bidi="ar-SA"/>
              </w:rPr>
            </w:pPr>
          </w:p>
        </w:tc>
        <w:tc>
          <w:tcPr>
            <w:tcW w:w="1197" w:type="dxa"/>
            <w:vMerge w:val="continue"/>
            <w:vAlign w:val="center"/>
          </w:tcPr>
          <w:p w14:paraId="6ED3C1A8">
            <w:pPr>
              <w:widowControl/>
              <w:spacing w:line="400" w:lineRule="exact"/>
              <w:contextualSpacing/>
              <w:jc w:val="left"/>
              <w:rPr>
                <w:rFonts w:hint="eastAsia" w:ascii="宋体" w:hAnsi="宋体" w:eastAsia="宋体" w:cs="宋体"/>
                <w:b w:val="0"/>
                <w:bCs w:val="0"/>
                <w:sz w:val="21"/>
                <w:szCs w:val="21"/>
                <w:highlight w:val="none"/>
              </w:rPr>
            </w:pPr>
          </w:p>
        </w:tc>
        <w:tc>
          <w:tcPr>
            <w:tcW w:w="4713" w:type="dxa"/>
            <w:vAlign w:val="center"/>
          </w:tcPr>
          <w:p w14:paraId="17D47C0B">
            <w:pPr>
              <w:spacing w:line="400" w:lineRule="exact"/>
              <w:contextualSpacing/>
              <w:jc w:val="left"/>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zh-CN"/>
              </w:rPr>
              <w:t>为了保证数据安全,硬盘等存储介质类损坏件不得回收。</w:t>
            </w:r>
          </w:p>
        </w:tc>
        <w:tc>
          <w:tcPr>
            <w:tcW w:w="1156" w:type="dxa"/>
            <w:vMerge w:val="continue"/>
            <w:vAlign w:val="center"/>
          </w:tcPr>
          <w:p w14:paraId="65AED79C">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290973D7">
            <w:pPr>
              <w:widowControl/>
              <w:spacing w:line="400" w:lineRule="exact"/>
              <w:contextualSpacing/>
              <w:jc w:val="left"/>
              <w:rPr>
                <w:rFonts w:hint="eastAsia" w:ascii="宋体" w:hAnsi="宋体" w:eastAsia="宋体" w:cs="宋体"/>
                <w:kern w:val="0"/>
                <w:sz w:val="21"/>
                <w:szCs w:val="21"/>
                <w:highlight w:val="none"/>
              </w:rPr>
            </w:pPr>
          </w:p>
        </w:tc>
      </w:tr>
      <w:tr w14:paraId="5256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Merge w:val="continue"/>
            <w:vAlign w:val="center"/>
          </w:tcPr>
          <w:p w14:paraId="3B69ABDC">
            <w:pPr>
              <w:widowControl w:val="0"/>
              <w:ind w:firstLine="420" w:firstLineChars="200"/>
              <w:jc w:val="both"/>
              <w:rPr>
                <w:rFonts w:hint="eastAsia" w:ascii="宋体" w:hAnsi="宋体" w:eastAsia="宋体" w:cs="宋体"/>
                <w:kern w:val="2"/>
                <w:sz w:val="21"/>
                <w:szCs w:val="21"/>
                <w:highlight w:val="none"/>
                <w:lang w:val="en-US" w:eastAsia="zh-CN" w:bidi="ar-SA"/>
              </w:rPr>
            </w:pPr>
          </w:p>
        </w:tc>
        <w:tc>
          <w:tcPr>
            <w:tcW w:w="1197" w:type="dxa"/>
            <w:vMerge w:val="continue"/>
            <w:vAlign w:val="center"/>
          </w:tcPr>
          <w:p w14:paraId="3FDD1734">
            <w:pPr>
              <w:widowControl/>
              <w:spacing w:line="400" w:lineRule="exact"/>
              <w:contextualSpacing/>
              <w:jc w:val="left"/>
              <w:rPr>
                <w:rFonts w:hint="eastAsia" w:ascii="宋体" w:hAnsi="宋体" w:eastAsia="宋体" w:cs="宋体"/>
                <w:b w:val="0"/>
                <w:bCs w:val="0"/>
                <w:sz w:val="21"/>
                <w:szCs w:val="21"/>
                <w:highlight w:val="none"/>
              </w:rPr>
            </w:pPr>
          </w:p>
        </w:tc>
        <w:tc>
          <w:tcPr>
            <w:tcW w:w="4713" w:type="dxa"/>
            <w:vAlign w:val="center"/>
          </w:tcPr>
          <w:p w14:paraId="1B81CB6D">
            <w:pPr>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zh-CN"/>
              </w:rPr>
              <w:t>提供或更换备品备件时，原则上要求新品，如经证明备品备件不能满足采购人关于备品备件的相关要求时，采购人有权要求中标人更换，直至提供满足要求的备品备件为止。</w:t>
            </w:r>
          </w:p>
        </w:tc>
        <w:tc>
          <w:tcPr>
            <w:tcW w:w="1156" w:type="dxa"/>
            <w:vMerge w:val="continue"/>
            <w:vAlign w:val="center"/>
          </w:tcPr>
          <w:p w14:paraId="0FE45C5C">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112210D3">
            <w:pPr>
              <w:widowControl/>
              <w:spacing w:line="400" w:lineRule="exact"/>
              <w:contextualSpacing/>
              <w:jc w:val="left"/>
              <w:rPr>
                <w:rFonts w:hint="eastAsia" w:ascii="宋体" w:hAnsi="宋体" w:eastAsia="宋体" w:cs="宋体"/>
                <w:kern w:val="0"/>
                <w:sz w:val="21"/>
                <w:szCs w:val="21"/>
                <w:highlight w:val="none"/>
              </w:rPr>
            </w:pPr>
          </w:p>
        </w:tc>
      </w:tr>
      <w:tr w14:paraId="2BFC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Merge w:val="continue"/>
            <w:vAlign w:val="center"/>
          </w:tcPr>
          <w:p w14:paraId="4604DEF4">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5D48F7D0">
            <w:pPr>
              <w:widowControl/>
              <w:spacing w:line="400" w:lineRule="exact"/>
              <w:contextualSpacing/>
              <w:jc w:val="left"/>
              <w:rPr>
                <w:rFonts w:hint="eastAsia" w:ascii="宋体" w:hAnsi="宋体" w:eastAsia="宋体" w:cs="宋体"/>
                <w:b w:val="0"/>
                <w:bCs w:val="0"/>
                <w:sz w:val="21"/>
                <w:szCs w:val="21"/>
                <w:highlight w:val="none"/>
              </w:rPr>
            </w:pPr>
          </w:p>
        </w:tc>
        <w:tc>
          <w:tcPr>
            <w:tcW w:w="4713" w:type="dxa"/>
            <w:vAlign w:val="center"/>
          </w:tcPr>
          <w:p w14:paraId="148C7A83">
            <w:pPr>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zh-CN"/>
              </w:rPr>
              <w:t>对于原厂商已经明确停止支持或服务的设备，中标人须提供这些设备的备件解决方案，为这些设备制定备件预留计划，确保服务期内备件的有效供应。</w:t>
            </w:r>
          </w:p>
        </w:tc>
        <w:tc>
          <w:tcPr>
            <w:tcW w:w="1156" w:type="dxa"/>
            <w:vMerge w:val="continue"/>
            <w:vAlign w:val="center"/>
          </w:tcPr>
          <w:p w14:paraId="340D9248">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01A0240E">
            <w:pPr>
              <w:widowControl/>
              <w:spacing w:line="400" w:lineRule="exact"/>
              <w:contextualSpacing/>
              <w:jc w:val="left"/>
              <w:rPr>
                <w:rFonts w:hint="eastAsia" w:ascii="宋体" w:hAnsi="宋体" w:eastAsia="宋体" w:cs="宋体"/>
                <w:kern w:val="0"/>
                <w:sz w:val="21"/>
                <w:szCs w:val="21"/>
                <w:highlight w:val="none"/>
              </w:rPr>
            </w:pPr>
          </w:p>
        </w:tc>
      </w:tr>
      <w:tr w14:paraId="3644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3" w:type="dxa"/>
            <w:vMerge w:val="continue"/>
            <w:vAlign w:val="center"/>
          </w:tcPr>
          <w:p w14:paraId="40A1F421">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5F8C549A">
            <w:pPr>
              <w:widowControl/>
              <w:spacing w:line="400" w:lineRule="exact"/>
              <w:contextualSpacing/>
              <w:jc w:val="left"/>
              <w:rPr>
                <w:rFonts w:hint="eastAsia" w:ascii="宋体" w:hAnsi="宋体" w:eastAsia="宋体" w:cs="宋体"/>
                <w:b w:val="0"/>
                <w:bCs w:val="0"/>
                <w:sz w:val="21"/>
                <w:szCs w:val="21"/>
                <w:highlight w:val="none"/>
              </w:rPr>
            </w:pPr>
          </w:p>
        </w:tc>
        <w:tc>
          <w:tcPr>
            <w:tcW w:w="4713" w:type="dxa"/>
            <w:vAlign w:val="center"/>
          </w:tcPr>
          <w:p w14:paraId="48A9AA5C">
            <w:pPr>
              <w:widowControl w:val="0"/>
              <w:spacing w:line="400" w:lineRule="exact"/>
              <w:contextualSpacing/>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zh-CN" w:eastAsia="zh-CN" w:bidi="ar-SA"/>
              </w:rPr>
              <w:t>投标人</w:t>
            </w:r>
            <w:r>
              <w:rPr>
                <w:rFonts w:hint="eastAsia" w:ascii="宋体" w:hAnsi="宋体" w:eastAsia="宋体" w:cs="宋体"/>
                <w:kern w:val="0"/>
                <w:sz w:val="21"/>
                <w:szCs w:val="21"/>
                <w:highlight w:val="none"/>
                <w:lang w:val="en-US" w:eastAsia="zh-CN" w:bidi="ar-SA"/>
              </w:rPr>
              <w:t>须</w:t>
            </w:r>
            <w:r>
              <w:rPr>
                <w:rFonts w:hint="eastAsia" w:ascii="宋体" w:hAnsi="宋体" w:eastAsia="宋体" w:cs="宋体"/>
                <w:kern w:val="0"/>
                <w:sz w:val="21"/>
                <w:szCs w:val="21"/>
                <w:highlight w:val="none"/>
                <w:lang w:val="zh-CN" w:eastAsia="zh-CN" w:bidi="ar-SA"/>
              </w:rPr>
              <w:t>承诺一旦中标，自合同签订之日起15个自然日内，按清单要求将备品备件存入采购人指定仓库，否则采购人有权拒绝中标人进场开展运维服务，因此造成的所有损失由中标人承担。</w:t>
            </w:r>
          </w:p>
        </w:tc>
        <w:tc>
          <w:tcPr>
            <w:tcW w:w="1156" w:type="dxa"/>
            <w:vMerge w:val="continue"/>
            <w:vAlign w:val="center"/>
          </w:tcPr>
          <w:p w14:paraId="718F2DC9">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31D11DBD">
            <w:pPr>
              <w:widowControl/>
              <w:spacing w:line="400" w:lineRule="exact"/>
              <w:contextualSpacing/>
              <w:jc w:val="left"/>
              <w:rPr>
                <w:rFonts w:hint="eastAsia" w:ascii="宋体" w:hAnsi="宋体" w:eastAsia="宋体" w:cs="宋体"/>
                <w:kern w:val="0"/>
                <w:sz w:val="21"/>
                <w:szCs w:val="21"/>
                <w:highlight w:val="none"/>
              </w:rPr>
            </w:pPr>
          </w:p>
        </w:tc>
      </w:tr>
    </w:tbl>
    <w:p w14:paraId="42A6A010">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p>
    <w:p w14:paraId="3F28CE71">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kern w:val="2"/>
          <w:sz w:val="21"/>
          <w:szCs w:val="21"/>
          <w:highlight w:val="none"/>
          <w:lang w:val="en-US" w:eastAsia="zh-CN" w:bidi="ar-SA"/>
        </w:rPr>
        <w:t>.5 安全</w:t>
      </w:r>
      <w:r>
        <w:rPr>
          <w:rFonts w:hint="eastAsia" w:ascii="宋体" w:hAnsi="宋体" w:eastAsia="宋体" w:cs="宋体"/>
          <w:b/>
          <w:bCs/>
          <w:color w:val="auto"/>
          <w:sz w:val="21"/>
          <w:szCs w:val="21"/>
          <w:highlight w:val="none"/>
          <w:lang w:val="en-US" w:eastAsia="zh-CN"/>
        </w:rPr>
        <w:t>保密</w:t>
      </w:r>
      <w:r>
        <w:rPr>
          <w:rFonts w:hint="eastAsia" w:ascii="宋体" w:hAnsi="宋体" w:eastAsia="宋体" w:cs="宋体"/>
          <w:b/>
          <w:kern w:val="2"/>
          <w:sz w:val="21"/>
          <w:szCs w:val="21"/>
          <w:highlight w:val="none"/>
          <w:lang w:val="en-US" w:eastAsia="zh-CN" w:bidi="ar-SA"/>
        </w:rPr>
        <w:t>要求</w:t>
      </w:r>
      <w:r>
        <w:rPr>
          <w:rFonts w:hint="eastAsia" w:ascii="宋体" w:hAnsi="宋体" w:eastAsia="宋体" w:cs="宋体"/>
          <w:b/>
          <w:color w:val="auto"/>
          <w:kern w:val="2"/>
          <w:sz w:val="21"/>
          <w:szCs w:val="21"/>
          <w:highlight w:val="none"/>
          <w:lang w:val="en-US" w:eastAsia="zh-CN" w:bidi="ar-SA"/>
        </w:rPr>
        <w:t xml:space="preserve"> </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97"/>
        <w:gridCol w:w="4713"/>
        <w:gridCol w:w="1156"/>
        <w:gridCol w:w="1189"/>
      </w:tblGrid>
      <w:tr w14:paraId="7DAC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923" w:type="dxa"/>
            <w:vAlign w:val="center"/>
          </w:tcPr>
          <w:p w14:paraId="3341B7F5">
            <w:pPr>
              <w:widowControl/>
              <w:spacing w:line="400" w:lineRule="exact"/>
              <w:contextualSpacing/>
              <w:jc w:val="center"/>
              <w:textAlignment w:val="center"/>
              <w:rPr>
                <w:rFonts w:hint="eastAsia" w:ascii="宋体" w:hAnsi="宋体" w:eastAsia="宋体" w:cs="宋体"/>
                <w:b/>
                <w:bCs/>
                <w:sz w:val="21"/>
                <w:szCs w:val="21"/>
                <w:highlight w:val="none"/>
              </w:rPr>
            </w:pPr>
            <w:r>
              <w:rPr>
                <w:rFonts w:hint="eastAsia" w:ascii="宋体" w:hAnsi="宋体" w:eastAsia="宋体" w:cs="宋体"/>
                <w:kern w:val="0"/>
                <w:sz w:val="21"/>
                <w:szCs w:val="21"/>
                <w:highlight w:val="none"/>
              </w:rPr>
              <w:t>序号</w:t>
            </w:r>
          </w:p>
        </w:tc>
        <w:tc>
          <w:tcPr>
            <w:tcW w:w="1197" w:type="dxa"/>
            <w:vAlign w:val="center"/>
          </w:tcPr>
          <w:p w14:paraId="7BDD734C">
            <w:pPr>
              <w:widowControl/>
              <w:spacing w:line="400" w:lineRule="exact"/>
              <w:contextualSpacing/>
              <w:jc w:val="center"/>
              <w:textAlignment w:val="center"/>
              <w:rPr>
                <w:rFonts w:hint="eastAsia" w:ascii="宋体" w:hAnsi="宋体" w:eastAsia="宋体" w:cs="宋体"/>
                <w:b/>
                <w:sz w:val="21"/>
                <w:szCs w:val="21"/>
                <w:highlight w:val="none"/>
              </w:rPr>
            </w:pPr>
            <w:r>
              <w:rPr>
                <w:rFonts w:hint="eastAsia" w:ascii="宋体" w:hAnsi="宋体" w:eastAsia="宋体" w:cs="宋体"/>
                <w:kern w:val="0"/>
                <w:sz w:val="21"/>
                <w:szCs w:val="21"/>
                <w:highlight w:val="none"/>
              </w:rPr>
              <w:t>指标名称</w:t>
            </w:r>
          </w:p>
        </w:tc>
        <w:tc>
          <w:tcPr>
            <w:tcW w:w="4713" w:type="dxa"/>
            <w:vAlign w:val="center"/>
          </w:tcPr>
          <w:p w14:paraId="22E0547B">
            <w:pPr>
              <w:widowControl/>
              <w:spacing w:line="400" w:lineRule="exact"/>
              <w:contextualSpacing/>
              <w:jc w:val="center"/>
              <w:textAlignment w:val="center"/>
              <w:rPr>
                <w:rFonts w:hint="eastAsia" w:ascii="宋体" w:hAnsi="宋体" w:eastAsia="宋体" w:cs="宋体"/>
                <w:b/>
                <w:bCs/>
                <w:kern w:val="0"/>
                <w:sz w:val="21"/>
                <w:szCs w:val="21"/>
                <w:highlight w:val="none"/>
              </w:rPr>
            </w:pPr>
            <w:r>
              <w:rPr>
                <w:rFonts w:hint="eastAsia" w:ascii="宋体" w:hAnsi="宋体" w:eastAsia="宋体" w:cs="宋体"/>
                <w:kern w:val="0"/>
                <w:sz w:val="21"/>
                <w:szCs w:val="21"/>
                <w:highlight w:val="none"/>
              </w:rPr>
              <w:t>指标内容</w:t>
            </w:r>
          </w:p>
        </w:tc>
        <w:tc>
          <w:tcPr>
            <w:tcW w:w="1156" w:type="dxa"/>
            <w:vAlign w:val="center"/>
          </w:tcPr>
          <w:p w14:paraId="463FC43D">
            <w:pPr>
              <w:widowControl/>
              <w:spacing w:line="400" w:lineRule="exact"/>
              <w:contextualSpacing/>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指标重要度</w:t>
            </w:r>
          </w:p>
        </w:tc>
        <w:tc>
          <w:tcPr>
            <w:tcW w:w="1189" w:type="dxa"/>
            <w:vAlign w:val="center"/>
          </w:tcPr>
          <w:p w14:paraId="3F9CA408">
            <w:pPr>
              <w:widowControl/>
              <w:spacing w:line="400" w:lineRule="exact"/>
              <w:contextualSpacing/>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是否需要证明材料</w:t>
            </w:r>
          </w:p>
        </w:tc>
      </w:tr>
      <w:tr w14:paraId="7313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41A468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Merge w:val="restart"/>
            <w:vAlign w:val="center"/>
          </w:tcPr>
          <w:p w14:paraId="56D601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安全保密要求</w:t>
            </w:r>
          </w:p>
          <w:p w14:paraId="1E1D67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59A5BEE4">
            <w:pPr>
              <w:widowControl w:val="0"/>
              <w:spacing w:line="400" w:lineRule="exact"/>
              <w:ind w:firstLine="0" w:firstLineChars="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zh-CN" w:eastAsia="zh-CN" w:bidi="ar-SA"/>
              </w:rPr>
              <w:t>合同签订时，中标人应与采购人签订安全保密承诺书，遵守安全管理要求，对本项目服务中涉及的信息系统的数据、设备使用情况和系统架构等必须严格保密。中标人拒签安全保密承诺书将视为投标人放弃中标资格。</w:t>
            </w:r>
          </w:p>
        </w:tc>
        <w:tc>
          <w:tcPr>
            <w:tcW w:w="1156" w:type="dxa"/>
            <w:vMerge w:val="restart"/>
            <w:vAlign w:val="center"/>
          </w:tcPr>
          <w:p w14:paraId="546E56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Merge w:val="restart"/>
            <w:vAlign w:val="center"/>
          </w:tcPr>
          <w:p w14:paraId="047644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zh-CN" w:eastAsia="zh-CN"/>
              </w:rPr>
              <w:t>承诺</w:t>
            </w:r>
            <w:r>
              <w:rPr>
                <w:rFonts w:hint="eastAsia" w:ascii="宋体" w:hAnsi="宋体" w:eastAsia="宋体" w:cs="宋体"/>
                <w:sz w:val="21"/>
                <w:szCs w:val="21"/>
                <w:highlight w:val="none"/>
                <w:lang w:val="en-US" w:eastAsia="zh-CN"/>
              </w:rPr>
              <w:t>函</w:t>
            </w:r>
            <w:r>
              <w:rPr>
                <w:rFonts w:hint="eastAsia" w:ascii="宋体" w:hAnsi="宋体" w:eastAsia="宋体" w:cs="宋体"/>
                <w:sz w:val="21"/>
                <w:szCs w:val="21"/>
                <w:highlight w:val="none"/>
                <w:lang w:val="zh-CN" w:eastAsia="zh-CN"/>
              </w:rPr>
              <w:t>并盖投标人公章</w:t>
            </w:r>
          </w:p>
        </w:tc>
      </w:tr>
      <w:tr w14:paraId="5A6A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3" w:type="dxa"/>
            <w:vAlign w:val="center"/>
          </w:tcPr>
          <w:p w14:paraId="4058B9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97" w:type="dxa"/>
            <w:vMerge w:val="continue"/>
            <w:vAlign w:val="center"/>
          </w:tcPr>
          <w:p w14:paraId="2E0A15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49C8D56A">
            <w:pPr>
              <w:spacing w:line="400" w:lineRule="exact"/>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对数据中心的所有数据、档案、文件、规划、设备的配置信息和参数、密码、系统架构等信息承担保密义务。涉及执行本项目所需一切资料均为用户的保密信息，未经采购人书面许可,不得向任何非本项目</w:t>
            </w:r>
            <w:r>
              <w:rPr>
                <w:rFonts w:hint="eastAsia" w:ascii="宋体" w:hAnsi="宋体" w:eastAsia="宋体" w:cs="宋体"/>
                <w:kern w:val="0"/>
                <w:sz w:val="21"/>
                <w:szCs w:val="21"/>
                <w:highlight w:val="none"/>
                <w:lang w:val="zh-CN"/>
              </w:rPr>
              <w:t>参与人</w:t>
            </w:r>
            <w:r>
              <w:rPr>
                <w:rFonts w:hint="eastAsia" w:ascii="宋体" w:hAnsi="宋体" w:eastAsia="宋体" w:cs="宋体"/>
                <w:sz w:val="21"/>
                <w:szCs w:val="21"/>
                <w:highlight w:val="none"/>
              </w:rPr>
              <w:t>和第三方透露任何保密信息，不得将保密信息用于本项目之外的任何其他用途。</w:t>
            </w:r>
          </w:p>
        </w:tc>
        <w:tc>
          <w:tcPr>
            <w:tcW w:w="1156" w:type="dxa"/>
            <w:vMerge w:val="continue"/>
            <w:vAlign w:val="center"/>
          </w:tcPr>
          <w:p w14:paraId="7F6B0A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Merge w:val="continue"/>
            <w:vAlign w:val="center"/>
          </w:tcPr>
          <w:p w14:paraId="5CEBD1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r>
      <w:tr w14:paraId="6086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3" w:type="dxa"/>
            <w:vAlign w:val="center"/>
          </w:tcPr>
          <w:p w14:paraId="716584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97" w:type="dxa"/>
            <w:vMerge w:val="continue"/>
            <w:vAlign w:val="center"/>
          </w:tcPr>
          <w:p w14:paraId="0132E6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713" w:type="dxa"/>
            <w:vAlign w:val="center"/>
          </w:tcPr>
          <w:p w14:paraId="4C416035">
            <w:pPr>
              <w:spacing w:line="400" w:lineRule="exact"/>
              <w:contextualSpacing/>
              <w:rPr>
                <w:rFonts w:hint="eastAsia" w:ascii="宋体" w:hAnsi="宋体" w:eastAsia="宋体" w:cs="宋体"/>
                <w:b/>
                <w:bCs/>
                <w:sz w:val="21"/>
                <w:szCs w:val="21"/>
                <w:highlight w:val="none"/>
                <w:lang w:val="en-US" w:eastAsia="zh-CN"/>
              </w:rPr>
            </w:pPr>
            <w:r>
              <w:rPr>
                <w:rFonts w:hint="eastAsia" w:ascii="宋体" w:hAnsi="宋体" w:eastAsia="宋体" w:cs="宋体"/>
                <w:b w:val="0"/>
                <w:sz w:val="21"/>
                <w:szCs w:val="21"/>
                <w:highlight w:val="none"/>
              </w:rPr>
              <w:t>在攻防演练或重大活动期间</w:t>
            </w:r>
            <w:r>
              <w:rPr>
                <w:rFonts w:hint="eastAsia" w:ascii="宋体" w:hAnsi="宋体" w:eastAsia="宋体" w:cs="宋体"/>
                <w:b w:val="0"/>
                <w:sz w:val="21"/>
                <w:szCs w:val="21"/>
                <w:highlight w:val="none"/>
                <w:lang w:eastAsia="zh-CN"/>
              </w:rPr>
              <w:t>，须遵守采购人相关安全保密规定，不得</w:t>
            </w:r>
            <w:r>
              <w:rPr>
                <w:rFonts w:hint="eastAsia" w:ascii="宋体" w:hAnsi="宋体" w:eastAsia="宋体" w:cs="宋体"/>
                <w:sz w:val="21"/>
                <w:szCs w:val="21"/>
                <w:highlight w:val="none"/>
              </w:rPr>
              <w:t>向第三方透露任何保密信息</w:t>
            </w:r>
            <w:r>
              <w:rPr>
                <w:rFonts w:hint="eastAsia" w:ascii="宋体" w:hAnsi="宋体" w:eastAsia="宋体" w:cs="宋体"/>
                <w:sz w:val="21"/>
                <w:szCs w:val="21"/>
                <w:highlight w:val="none"/>
                <w:lang w:eastAsia="zh-CN"/>
              </w:rPr>
              <w:t>；演练结束后，</w:t>
            </w:r>
            <w:r>
              <w:rPr>
                <w:rFonts w:hint="eastAsia" w:ascii="宋体" w:hAnsi="宋体" w:eastAsia="宋体" w:cs="宋体"/>
                <w:sz w:val="21"/>
                <w:szCs w:val="21"/>
                <w:highlight w:val="none"/>
              </w:rPr>
              <w:t>不得将</w:t>
            </w:r>
            <w:r>
              <w:rPr>
                <w:rFonts w:hint="eastAsia" w:ascii="宋体" w:hAnsi="宋体" w:eastAsia="宋体" w:cs="宋体"/>
                <w:sz w:val="21"/>
                <w:szCs w:val="21"/>
                <w:highlight w:val="none"/>
                <w:lang w:eastAsia="zh-CN"/>
              </w:rPr>
              <w:t>相关</w:t>
            </w:r>
            <w:r>
              <w:rPr>
                <w:rFonts w:hint="eastAsia" w:ascii="宋体" w:hAnsi="宋体" w:eastAsia="宋体" w:cs="宋体"/>
                <w:sz w:val="21"/>
                <w:szCs w:val="21"/>
                <w:highlight w:val="none"/>
              </w:rPr>
              <w:t>保密信息用于任何其他用途。</w:t>
            </w:r>
          </w:p>
        </w:tc>
        <w:tc>
          <w:tcPr>
            <w:tcW w:w="1156" w:type="dxa"/>
            <w:vMerge w:val="continue"/>
            <w:vAlign w:val="center"/>
          </w:tcPr>
          <w:p w14:paraId="2DEC3D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Merge w:val="continue"/>
            <w:vAlign w:val="center"/>
          </w:tcPr>
          <w:p w14:paraId="747557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r>
    </w:tbl>
    <w:p w14:paraId="6BD83867">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2"/>
          <w:sz w:val="21"/>
          <w:szCs w:val="21"/>
          <w:highlight w:val="none"/>
          <w:lang w:val="en-US" w:eastAsia="zh-CN" w:bidi="ar-SA"/>
        </w:rPr>
      </w:pPr>
    </w:p>
    <w:p w14:paraId="3E213923">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4.6 服务文档要求</w:t>
      </w:r>
    </w:p>
    <w:p w14:paraId="4903504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val="0"/>
          <w:bCs/>
          <w:kern w:val="2"/>
          <w:sz w:val="21"/>
          <w:szCs w:val="21"/>
          <w:highlight w:val="none"/>
          <w:lang w:val="zh-CN" w:eastAsia="zh-CN" w:bidi="ar-SA"/>
        </w:rPr>
        <w:t>为了实现数据中心的规范化管理，做到运维工作的“任务清单化、记录台账化、总结报告化、资料档案化”，中标人需要对所有运维工作实行痕迹化管理并提供文档记录。这些文档是验收资料的重要组成部分。服务文档包括但不限于以下内容：</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97"/>
        <w:gridCol w:w="4847"/>
        <w:gridCol w:w="1022"/>
        <w:gridCol w:w="1189"/>
      </w:tblGrid>
      <w:tr w14:paraId="5931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4F1376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97" w:type="dxa"/>
            <w:vAlign w:val="center"/>
          </w:tcPr>
          <w:p w14:paraId="53A97F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847" w:type="dxa"/>
            <w:vAlign w:val="center"/>
          </w:tcPr>
          <w:p w14:paraId="15D5EF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022" w:type="dxa"/>
            <w:vAlign w:val="center"/>
          </w:tcPr>
          <w:p w14:paraId="29D02A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72A263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03BE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Merge w:val="restart"/>
            <w:vAlign w:val="center"/>
          </w:tcPr>
          <w:p w14:paraId="628992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Merge w:val="restart"/>
            <w:vAlign w:val="center"/>
          </w:tcPr>
          <w:p w14:paraId="03D616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服务文档要求</w:t>
            </w:r>
          </w:p>
        </w:tc>
        <w:tc>
          <w:tcPr>
            <w:tcW w:w="4847" w:type="dxa"/>
            <w:vAlign w:val="center"/>
          </w:tcPr>
          <w:p w14:paraId="5F2A4606">
            <w:pPr>
              <w:spacing w:line="400" w:lineRule="exact"/>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值班交接登记表</w:t>
            </w:r>
          </w:p>
          <w:p w14:paraId="6AC9221B">
            <w:pPr>
              <w:widowControl w:val="0"/>
              <w:spacing w:line="400" w:lineRule="exact"/>
              <w:ind w:firstLine="0" w:firstLineChars="0"/>
              <w:contextualSpacing/>
              <w:jc w:val="both"/>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运维人员在进行值班交接的时候须登记交接人姓名、交接时间、交接的工作。</w:t>
            </w:r>
          </w:p>
        </w:tc>
        <w:tc>
          <w:tcPr>
            <w:tcW w:w="1022" w:type="dxa"/>
            <w:vMerge w:val="restart"/>
            <w:vAlign w:val="center"/>
          </w:tcPr>
          <w:p w14:paraId="083747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72400D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71F4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2428D015">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32EA218E">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center"/>
          </w:tcPr>
          <w:p w14:paraId="2E399CD3">
            <w:pPr>
              <w:spacing w:line="400" w:lineRule="exact"/>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值班情况表</w:t>
            </w:r>
          </w:p>
          <w:p w14:paraId="1437000B">
            <w:pPr>
              <w:spacing w:line="400" w:lineRule="exact"/>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值班人员须填写值班期间的数据中心运行情况、工作内容。</w:t>
            </w:r>
          </w:p>
        </w:tc>
        <w:tc>
          <w:tcPr>
            <w:tcW w:w="1022" w:type="dxa"/>
            <w:vMerge w:val="continue"/>
            <w:vAlign w:val="center"/>
          </w:tcPr>
          <w:p w14:paraId="712830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Align w:val="center"/>
          </w:tcPr>
          <w:p w14:paraId="297996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1D1B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18E64DBB">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057D6032">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center"/>
          </w:tcPr>
          <w:p w14:paraId="0C4AAD91">
            <w:pPr>
              <w:spacing w:line="400" w:lineRule="exact"/>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巡检记录</w:t>
            </w:r>
          </w:p>
          <w:p w14:paraId="28C7FCA3">
            <w:pPr>
              <w:spacing w:line="400" w:lineRule="exact"/>
              <w:contextualSpacing/>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rPr>
              <w:t>记录通过人工或监控工具对数据中心所有设备和系统的巡检情况，每天一次</w:t>
            </w:r>
            <w:r>
              <w:rPr>
                <w:rFonts w:hint="eastAsia" w:ascii="宋体" w:hAnsi="宋体" w:eastAsia="宋体" w:cs="宋体"/>
                <w:sz w:val="21"/>
                <w:szCs w:val="21"/>
                <w:highlight w:val="none"/>
                <w:lang w:eastAsia="zh-CN"/>
              </w:rPr>
              <w:t>。</w:t>
            </w:r>
          </w:p>
        </w:tc>
        <w:tc>
          <w:tcPr>
            <w:tcW w:w="1022" w:type="dxa"/>
            <w:vMerge w:val="restart"/>
            <w:vAlign w:val="center"/>
          </w:tcPr>
          <w:p w14:paraId="617807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26A724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54F3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3D1ED1C4">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55D318C9">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center"/>
          </w:tcPr>
          <w:p w14:paraId="6F5FE665">
            <w:pPr>
              <w:spacing w:line="400" w:lineRule="exact"/>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配置管理记录</w:t>
            </w:r>
          </w:p>
          <w:p w14:paraId="07295CBC">
            <w:pPr>
              <w:spacing w:line="400" w:lineRule="exact"/>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记录内容包括设备信息、变更内容、操作人、变更时间等。</w:t>
            </w:r>
          </w:p>
        </w:tc>
        <w:tc>
          <w:tcPr>
            <w:tcW w:w="1022" w:type="dxa"/>
            <w:vMerge w:val="continue"/>
            <w:vAlign w:val="center"/>
          </w:tcPr>
          <w:p w14:paraId="0AD1F9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Align w:val="center"/>
          </w:tcPr>
          <w:p w14:paraId="615AB6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4D7E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0BAC2124">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66ADA359">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center"/>
          </w:tcPr>
          <w:p w14:paraId="697BE0E7">
            <w:pPr>
              <w:spacing w:line="400" w:lineRule="exact"/>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故障处理记录</w:t>
            </w:r>
          </w:p>
          <w:p w14:paraId="6F323FD5">
            <w:pPr>
              <w:spacing w:line="400" w:lineRule="exact"/>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对数据中心的设备和系统发生的故障及处理情况进行记录，包含设备信息、故障描述、故障发生时间、故障修复时间、报修人、处理方式和结果等。</w:t>
            </w:r>
          </w:p>
        </w:tc>
        <w:tc>
          <w:tcPr>
            <w:tcW w:w="1022" w:type="dxa"/>
            <w:vMerge w:val="continue"/>
            <w:vAlign w:val="center"/>
          </w:tcPr>
          <w:p w14:paraId="15ABC6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Align w:val="center"/>
          </w:tcPr>
          <w:p w14:paraId="79F66B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5C8B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355EA6DB">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62691AB3">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center"/>
          </w:tcPr>
          <w:p w14:paraId="0F63D791">
            <w:pPr>
              <w:spacing w:line="400" w:lineRule="exact"/>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健康检查报告</w:t>
            </w:r>
          </w:p>
          <w:p w14:paraId="487D0827">
            <w:pPr>
              <w:spacing w:line="400" w:lineRule="exact"/>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根据健康检查方案，依照检查周期、检查范围、检查方法、具体指标、参与人员和检查流程等，组织开展健康性检查，记录健康检查结果，提出改进建议，编制健康检查报告。</w:t>
            </w:r>
          </w:p>
        </w:tc>
        <w:tc>
          <w:tcPr>
            <w:tcW w:w="1022" w:type="dxa"/>
            <w:vMerge w:val="restart"/>
            <w:vAlign w:val="center"/>
          </w:tcPr>
          <w:p w14:paraId="2CF280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5E8CC9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7A9D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2635B5A3">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5049A554">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center"/>
          </w:tcPr>
          <w:p w14:paraId="5436D7AF">
            <w:pPr>
              <w:spacing w:line="400" w:lineRule="exact"/>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配件更换记录</w:t>
            </w:r>
          </w:p>
          <w:p w14:paraId="3CCB50A2">
            <w:pPr>
              <w:spacing w:line="400" w:lineRule="exact"/>
              <w:contextualSpacing/>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rPr>
              <w:t>记录内容包括设备信息、配件信息、配件提供人、更换时间等。</w:t>
            </w:r>
          </w:p>
        </w:tc>
        <w:tc>
          <w:tcPr>
            <w:tcW w:w="1022" w:type="dxa"/>
            <w:vMerge w:val="continue"/>
            <w:vAlign w:val="center"/>
          </w:tcPr>
          <w:p w14:paraId="286238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Align w:val="center"/>
          </w:tcPr>
          <w:p w14:paraId="682D37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5FF8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588E4564">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68E09083">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center"/>
          </w:tcPr>
          <w:p w14:paraId="47D7E6DE">
            <w:pPr>
              <w:spacing w:line="400" w:lineRule="exact"/>
              <w:contextualSpacing/>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月度总结报告</w:t>
            </w:r>
          </w:p>
          <w:p w14:paraId="56DDD76D">
            <w:pPr>
              <w:spacing w:line="400" w:lineRule="exact"/>
              <w:contextualSpacing/>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rPr>
              <w:t>月度终了后的3个工作日内，提交该月数据中心总体运行情况报告。</w:t>
            </w:r>
            <w:r>
              <w:rPr>
                <w:rFonts w:hint="eastAsia" w:ascii="宋体" w:hAnsi="宋体" w:eastAsia="宋体" w:cs="宋体"/>
                <w:sz w:val="21"/>
                <w:szCs w:val="21"/>
                <w:highlight w:val="none"/>
              </w:rPr>
              <w:t>通过对日常运行监控、健康检查、例行维护和故障处理等运维记录的收集、整理、汇总，形成最终月报。月报根据系统分为不同章节，详细描述每月的总体情况、变更情况、故障处理情况等。</w:t>
            </w:r>
          </w:p>
        </w:tc>
        <w:tc>
          <w:tcPr>
            <w:tcW w:w="1022" w:type="dxa"/>
            <w:vMerge w:val="restart"/>
            <w:vAlign w:val="center"/>
          </w:tcPr>
          <w:p w14:paraId="592CA7FC">
            <w:pPr>
              <w:widowControl/>
              <w:spacing w:line="400" w:lineRule="exact"/>
              <w:contextualSpacing/>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lang w:val="en-US" w:eastAsia="zh-CN"/>
              </w:rPr>
              <w:t>△</w:t>
            </w:r>
          </w:p>
        </w:tc>
        <w:tc>
          <w:tcPr>
            <w:tcW w:w="1189" w:type="dxa"/>
            <w:vAlign w:val="center"/>
          </w:tcPr>
          <w:p w14:paraId="0443AD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59E7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4D289E00">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67E2D6E0">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center"/>
          </w:tcPr>
          <w:p w14:paraId="4A44586D">
            <w:pPr>
              <w:spacing w:line="400" w:lineRule="exact"/>
              <w:contextualSpacing/>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年度总结报告</w:t>
            </w:r>
          </w:p>
          <w:p w14:paraId="2BDFFAF7">
            <w:pPr>
              <w:spacing w:line="400" w:lineRule="exact"/>
              <w:contextualSpacing/>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rPr>
              <w:t>年度终了和服务期满的10个工作日内，提交本年度/服务期的运行维护报告，内容包括数据中心总体运行情况、资源使用情况、</w:t>
            </w:r>
            <w:r>
              <w:rPr>
                <w:rFonts w:hint="eastAsia" w:ascii="宋体" w:hAnsi="宋体" w:eastAsia="宋体" w:cs="宋体"/>
                <w:sz w:val="21"/>
                <w:szCs w:val="21"/>
                <w:highlight w:val="none"/>
                <w:lang w:val="zh-CN" w:eastAsia="zh-CN"/>
              </w:rPr>
              <w:t>运维工作情况、故障统计、</w:t>
            </w:r>
            <w:r>
              <w:rPr>
                <w:rFonts w:hint="eastAsia" w:ascii="宋体" w:hAnsi="宋体" w:eastAsia="宋体" w:cs="宋体"/>
                <w:kern w:val="0"/>
                <w:sz w:val="21"/>
                <w:szCs w:val="21"/>
                <w:highlight w:val="none"/>
                <w:lang w:val="zh-CN"/>
              </w:rPr>
              <w:t>风险评估、优化建议等，以便采购人了解设备运行和维护情况，总结经验查漏补缺。</w:t>
            </w:r>
          </w:p>
        </w:tc>
        <w:tc>
          <w:tcPr>
            <w:tcW w:w="1022" w:type="dxa"/>
            <w:vMerge w:val="continue"/>
            <w:vAlign w:val="center"/>
          </w:tcPr>
          <w:p w14:paraId="0FA9569B">
            <w:pPr>
              <w:widowControl/>
              <w:spacing w:line="400" w:lineRule="exact"/>
              <w:contextualSpacing/>
              <w:jc w:val="center"/>
              <w:rPr>
                <w:rFonts w:hint="eastAsia" w:ascii="宋体" w:hAnsi="宋体" w:eastAsia="宋体" w:cs="宋体"/>
                <w:kern w:val="0"/>
                <w:sz w:val="21"/>
                <w:szCs w:val="21"/>
                <w:highlight w:val="none"/>
              </w:rPr>
            </w:pPr>
          </w:p>
        </w:tc>
        <w:tc>
          <w:tcPr>
            <w:tcW w:w="1189" w:type="dxa"/>
            <w:vAlign w:val="center"/>
          </w:tcPr>
          <w:p w14:paraId="0A3FBB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shd w:val="clear" w:color="auto" w:fill="FFFFFF"/>
                <w:lang w:val="en-US" w:eastAsia="zh-CN"/>
              </w:rPr>
              <w:t>否</w:t>
            </w:r>
          </w:p>
        </w:tc>
      </w:tr>
    </w:tbl>
    <w:p w14:paraId="7A93C928">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2"/>
          <w:sz w:val="21"/>
          <w:szCs w:val="21"/>
          <w:highlight w:val="none"/>
          <w:lang w:val="en-US" w:eastAsia="zh-CN" w:bidi="ar-SA"/>
        </w:rPr>
      </w:pPr>
    </w:p>
    <w:p w14:paraId="128E0CBF">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4.7 项目安全管理要求</w:t>
      </w:r>
    </w:p>
    <w:p w14:paraId="18A0216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kern w:val="2"/>
          <w:sz w:val="21"/>
          <w:szCs w:val="21"/>
          <w:highlight w:val="none"/>
          <w:lang w:val="en-US" w:eastAsia="zh-CN" w:bidi="ar-SA"/>
        </w:rPr>
      </w:pPr>
      <w:r>
        <w:rPr>
          <w:rFonts w:hint="eastAsia" w:ascii="宋体" w:hAnsi="宋体" w:cs="宋体"/>
          <w:b w:val="0"/>
          <w:bCs/>
          <w:kern w:val="2"/>
          <w:sz w:val="21"/>
          <w:szCs w:val="21"/>
          <w:highlight w:val="none"/>
          <w:lang w:val="zh-CN" w:eastAsia="zh-CN" w:bidi="ar-SA"/>
        </w:rPr>
        <w:t>中标人</w:t>
      </w:r>
      <w:r>
        <w:rPr>
          <w:rFonts w:hint="eastAsia" w:ascii="宋体" w:hAnsi="宋体" w:eastAsia="宋体" w:cs="宋体"/>
          <w:b w:val="0"/>
          <w:bCs/>
          <w:kern w:val="2"/>
          <w:sz w:val="21"/>
          <w:szCs w:val="21"/>
          <w:highlight w:val="none"/>
          <w:lang w:val="zh-CN" w:eastAsia="zh-CN" w:bidi="ar-SA"/>
        </w:rPr>
        <w:t>应遵守采购人相关网络安全和数据安全要求，避免造成数据失窃或丢失、敏感信息泄露、主要业务系统瘫痪等威胁网络安全的事件。包括以下内容：</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97"/>
        <w:gridCol w:w="4847"/>
        <w:gridCol w:w="1022"/>
        <w:gridCol w:w="1189"/>
      </w:tblGrid>
      <w:tr w14:paraId="27B1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1E32FF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97" w:type="dxa"/>
            <w:vAlign w:val="center"/>
          </w:tcPr>
          <w:p w14:paraId="423715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847" w:type="dxa"/>
            <w:vAlign w:val="center"/>
          </w:tcPr>
          <w:p w14:paraId="7E578C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022" w:type="dxa"/>
            <w:vAlign w:val="center"/>
          </w:tcPr>
          <w:p w14:paraId="361B27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4A2D13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243B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Merge w:val="restart"/>
            <w:vAlign w:val="center"/>
          </w:tcPr>
          <w:p w14:paraId="19F20E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Merge w:val="restart"/>
            <w:vAlign w:val="center"/>
          </w:tcPr>
          <w:p w14:paraId="187EEE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安全管理要求</w:t>
            </w:r>
          </w:p>
        </w:tc>
        <w:tc>
          <w:tcPr>
            <w:tcW w:w="4847" w:type="dxa"/>
            <w:vAlign w:val="top"/>
          </w:tcPr>
          <w:p w14:paraId="0685CBEE">
            <w:pPr>
              <w:spacing w:line="400" w:lineRule="exact"/>
              <w:contextualSpacing/>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针对本项目，中标人建立网络安全负责人制度，并配备一名具备独立决策能力并保持相对稳定的负责人，在项目实施的全过程负责网络安全工作，组织落实各项网络安全要求。</w:t>
            </w:r>
          </w:p>
        </w:tc>
        <w:tc>
          <w:tcPr>
            <w:tcW w:w="1022" w:type="dxa"/>
            <w:vMerge w:val="restart"/>
            <w:vAlign w:val="center"/>
          </w:tcPr>
          <w:p w14:paraId="51D3DC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052FEB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2484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36E3199D">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456EE986">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top"/>
          </w:tcPr>
          <w:p w14:paraId="00A7C8EA">
            <w:pPr>
              <w:spacing w:line="400" w:lineRule="exact"/>
              <w:contextualSpacing/>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在项目实施前制定基于项目场景的供应链安全事件应急响应预案，明确相关职责和应急处置流程；定期开展应急演练的记录，确保快速有效处置供应链安全事件。</w:t>
            </w:r>
          </w:p>
        </w:tc>
        <w:tc>
          <w:tcPr>
            <w:tcW w:w="1022" w:type="dxa"/>
            <w:vMerge w:val="continue"/>
            <w:vAlign w:val="center"/>
          </w:tcPr>
          <w:p w14:paraId="6626F4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Align w:val="center"/>
          </w:tcPr>
          <w:p w14:paraId="324B0C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273C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0AAB3D62">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6E9C9BDB">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top"/>
          </w:tcPr>
          <w:p w14:paraId="6336273B">
            <w:pPr>
              <w:spacing w:line="400" w:lineRule="exact"/>
              <w:contextualSpacing/>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本项目运维人员上岗前，中标人应按照采购人要求对所有人员开展背景审查，并向采购人提交背景审查结果材料；中标人和采购人签订网络安全承诺书，运维人员人员向采购人提交个人网络安全承诺书及无犯罪记录证明。</w:t>
            </w:r>
          </w:p>
        </w:tc>
        <w:tc>
          <w:tcPr>
            <w:tcW w:w="1022" w:type="dxa"/>
            <w:vMerge w:val="continue"/>
            <w:vAlign w:val="center"/>
          </w:tcPr>
          <w:p w14:paraId="23C89F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Align w:val="center"/>
          </w:tcPr>
          <w:p w14:paraId="07BF24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225F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133424B1">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603E3ED8">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top"/>
          </w:tcPr>
          <w:p w14:paraId="057AD4AA">
            <w:pPr>
              <w:spacing w:line="400" w:lineRule="exact"/>
              <w:contextualSpacing/>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中标人在项目实施前，对本项目运维人员开展网络和数据安全法律法规、税务系统网络和数据安全相关规定要求、安全技能、保密常识等方面的教育培训并考核合格；在项目开展期间，中标人应再次对本项目运维人员开展相关培训、考核及警示教育情况，考试不通过的人员不得上岗。</w:t>
            </w:r>
          </w:p>
        </w:tc>
        <w:tc>
          <w:tcPr>
            <w:tcW w:w="1022" w:type="dxa"/>
            <w:vMerge w:val="continue"/>
            <w:vAlign w:val="center"/>
          </w:tcPr>
          <w:p w14:paraId="069BD4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Align w:val="center"/>
          </w:tcPr>
          <w:p w14:paraId="5F0BCE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2B15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05225EFE">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41DD8C55">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top"/>
          </w:tcPr>
          <w:p w14:paraId="68CC5B93">
            <w:pPr>
              <w:spacing w:line="400" w:lineRule="exact"/>
              <w:contextualSpacing/>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中标人发生可能影响网络安全的重大事项，包括负责人及重要工作人员变更、业务转型、合并重组、投资并购等。应及时向采购人报告。</w:t>
            </w:r>
          </w:p>
        </w:tc>
        <w:tc>
          <w:tcPr>
            <w:tcW w:w="1022" w:type="dxa"/>
            <w:vMerge w:val="continue"/>
            <w:vAlign w:val="center"/>
          </w:tcPr>
          <w:p w14:paraId="3DA7A4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Align w:val="center"/>
          </w:tcPr>
          <w:p w14:paraId="0A6EB3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4CCD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4FE59D03">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362D238B">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top"/>
          </w:tcPr>
          <w:p w14:paraId="19547274">
            <w:pPr>
              <w:spacing w:line="400" w:lineRule="exact"/>
              <w:contextualSpacing/>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中标人向采购人提供承诺书,承诺不利用提供产品和服务的便利条件非法获取数据、非法控制和操纵设备，无正当理由不中断产品供应或必要的技术支持服务等。</w:t>
            </w:r>
          </w:p>
          <w:p w14:paraId="3F943BDF">
            <w:pPr>
              <w:spacing w:line="400" w:lineRule="exact"/>
              <w:contextualSpacing/>
              <w:rPr>
                <w:rFonts w:hint="default" w:eastAsia="宋体"/>
                <w:highlight w:val="none"/>
                <w:lang w:val="en-US" w:eastAsia="zh-CN"/>
              </w:rPr>
            </w:pPr>
            <w:r>
              <w:rPr>
                <w:rFonts w:hint="eastAsia" w:ascii="宋体" w:hAnsi="宋体" w:eastAsia="宋体" w:cs="宋体"/>
                <w:kern w:val="0"/>
                <w:sz w:val="21"/>
                <w:szCs w:val="21"/>
                <w:highlight w:val="none"/>
                <w:lang w:val="en-US" w:eastAsia="zh-CN" w:bidi="ar-SA"/>
              </w:rPr>
              <w:t>中标人应采取安全可控的方式、渠道，交付产品或开展服务</w:t>
            </w:r>
            <w:r>
              <w:rPr>
                <w:rFonts w:hint="eastAsia" w:ascii="宋体" w:hAnsi="宋体" w:cs="宋体"/>
                <w:kern w:val="0"/>
                <w:sz w:val="21"/>
                <w:szCs w:val="21"/>
                <w:highlight w:val="none"/>
                <w:lang w:val="en-US" w:eastAsia="zh-CN" w:bidi="ar-SA"/>
              </w:rPr>
              <w:t>。</w:t>
            </w:r>
          </w:p>
        </w:tc>
        <w:tc>
          <w:tcPr>
            <w:tcW w:w="1022" w:type="dxa"/>
            <w:vMerge w:val="continue"/>
            <w:vAlign w:val="center"/>
          </w:tcPr>
          <w:p w14:paraId="44ED1B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Align w:val="center"/>
          </w:tcPr>
          <w:p w14:paraId="2D8BF8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450D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52B97D62">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2FBCA5D1">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top"/>
          </w:tcPr>
          <w:p w14:paraId="60400491">
            <w:pPr>
              <w:spacing w:line="400" w:lineRule="exact"/>
              <w:contextualSpacing/>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中标人应对照采购人的相关要求，撰写年度供应链安全自查报告并提交采购人。与采购人建立信息共享机制，及时共享其生产、质量、交货等方面的信息，发现存在潜在风险，及时向采购人报告并协助解决。</w:t>
            </w:r>
          </w:p>
        </w:tc>
        <w:tc>
          <w:tcPr>
            <w:tcW w:w="1022" w:type="dxa"/>
            <w:vMerge w:val="continue"/>
            <w:vAlign w:val="center"/>
          </w:tcPr>
          <w:p w14:paraId="22C088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Align w:val="center"/>
          </w:tcPr>
          <w:p w14:paraId="3ACBDC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7A6F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34368300">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2BF7EC6A">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top"/>
          </w:tcPr>
          <w:p w14:paraId="64BF58D5">
            <w:pPr>
              <w:spacing w:line="400" w:lineRule="exact"/>
              <w:contextualSpacing/>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具有下列情形之一的人员，不得参加该项目：</w:t>
            </w:r>
          </w:p>
          <w:p w14:paraId="1FCD25DD">
            <w:pPr>
              <w:spacing w:line="400" w:lineRule="exact"/>
              <w:contextualSpacing/>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 xml:space="preserve">a.拥有外国国籍、取得国（境）外永久居留权、长期居留许可。 </w:t>
            </w:r>
          </w:p>
          <w:p w14:paraId="0A94A83E">
            <w:pPr>
              <w:spacing w:line="400" w:lineRule="exact"/>
              <w:contextualSpacing/>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 xml:space="preserve">b.曾因编造、散布有损党和国家声誉的言论，组织、领导或者参加旨在反对党和国家的集会、游行、示威、静坐、绝食、罢工、罢课等活动以及其他违反政治纪律的行为，受到处分或者处罚。 </w:t>
            </w:r>
          </w:p>
          <w:p w14:paraId="19B10E5E">
            <w:pPr>
              <w:spacing w:line="400" w:lineRule="exact"/>
              <w:contextualSpacing/>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 xml:space="preserve">c.与国（境）外政治背景复杂的组织或者人员关系密切，政治上可疑，被有关部门记录在案。 </w:t>
            </w:r>
          </w:p>
          <w:p w14:paraId="6CF2D552">
            <w:pPr>
              <w:spacing w:line="400" w:lineRule="exact"/>
              <w:contextualSpacing/>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d.因犯罪受过刑事处罚，以及因犯罪情节轻微被人民检察院依法作出不起诉决定或者被人民法院依法免予刑事处罚。</w:t>
            </w:r>
          </w:p>
          <w:p w14:paraId="5A4AB6BA">
            <w:pPr>
              <w:spacing w:line="400" w:lineRule="exact"/>
              <w:contextualSpacing/>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 xml:space="preserve">e.损害社会公德或者打架斗殴、诈骗、偷窃、赌博、吸毒、嫖娼、传播淫秽物品等不良行为。 </w:t>
            </w:r>
          </w:p>
          <w:p w14:paraId="7CFD40FA">
            <w:pPr>
              <w:spacing w:line="400" w:lineRule="exact"/>
              <w:contextualSpacing/>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f.曾违反保密规定，造成泄密。</w:t>
            </w:r>
          </w:p>
          <w:p w14:paraId="3A074B7E">
            <w:pPr>
              <w:spacing w:line="400" w:lineRule="exact"/>
              <w:contextualSpacing/>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g.其他违法违纪和不宜承担信息系统运维工作的情形。</w:t>
            </w:r>
          </w:p>
        </w:tc>
        <w:tc>
          <w:tcPr>
            <w:tcW w:w="1022" w:type="dxa"/>
            <w:vMerge w:val="continue"/>
            <w:vAlign w:val="center"/>
          </w:tcPr>
          <w:p w14:paraId="61C7CC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Align w:val="center"/>
          </w:tcPr>
          <w:p w14:paraId="519E28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4C43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7B768205">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378CF550">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top"/>
          </w:tcPr>
          <w:p w14:paraId="34F9A927">
            <w:pPr>
              <w:spacing w:line="400" w:lineRule="exact"/>
              <w:contextualSpacing/>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驻场运维人员严格遵守权限管理，驻场运维人员开展工作所需的各类账户，须按照最小化授权原则向采购人提前申请，获得批准后方能使用。</w:t>
            </w:r>
          </w:p>
        </w:tc>
        <w:tc>
          <w:tcPr>
            <w:tcW w:w="1022" w:type="dxa"/>
            <w:vMerge w:val="continue"/>
            <w:vAlign w:val="center"/>
          </w:tcPr>
          <w:p w14:paraId="373B15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Align w:val="center"/>
          </w:tcPr>
          <w:p w14:paraId="5EAF5D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1803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6EEEC920">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68C5F337">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top"/>
          </w:tcPr>
          <w:p w14:paraId="53D6C0EB">
            <w:pPr>
              <w:spacing w:line="400" w:lineRule="exact"/>
              <w:contextualSpacing/>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rPr>
              <w:t>运维人员须确保所使用或者运维的账号不得使用弱口令。</w:t>
            </w:r>
          </w:p>
        </w:tc>
        <w:tc>
          <w:tcPr>
            <w:tcW w:w="1022" w:type="dxa"/>
            <w:vMerge w:val="continue"/>
            <w:vAlign w:val="center"/>
          </w:tcPr>
          <w:p w14:paraId="59387D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Align w:val="center"/>
          </w:tcPr>
          <w:p w14:paraId="7E8B47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3FE4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5061588C">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2D7BC780">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top"/>
          </w:tcPr>
          <w:p w14:paraId="28D30F01">
            <w:pPr>
              <w:spacing w:line="400" w:lineRule="exact"/>
              <w:contextualSpacing/>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rPr>
              <w:t>运维人员主动积极和所运维的硬件设备、软件、应用系统等供应链厂商保持联系，及时向采购人汇报所运维的产品存在的网络安全漏洞、缺陷、数据泄露或其他重大网络安全风险，不得公开或向第三方提供；定期检查所使用产品及第三方组件，存在高危漏洞的应及时通过限制访问、更新补丁、版本升级、设备防护等措施进行加固处置；对于停止维护的产品及第三方组件，应评估是否存在高危漏洞，如存在无法修复的高危漏洞，应考虑升级版本或更换产品及第三方组件。</w:t>
            </w:r>
          </w:p>
        </w:tc>
        <w:tc>
          <w:tcPr>
            <w:tcW w:w="1022" w:type="dxa"/>
            <w:vMerge w:val="continue"/>
            <w:vAlign w:val="center"/>
          </w:tcPr>
          <w:p w14:paraId="7EAFD2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Align w:val="center"/>
          </w:tcPr>
          <w:p w14:paraId="39B757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4A0D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5B6C1956">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5FC84F09">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top"/>
          </w:tcPr>
          <w:p w14:paraId="2F658C6F">
            <w:pPr>
              <w:spacing w:line="400" w:lineRule="exact"/>
              <w:contextualSpacing/>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rPr>
              <w:t>按照采购人要求做好应用系统、主机安全防护策略配置，不得随意修改配置导致出现安全风险。对于采购人禁止使用的端口、服务、组件、访问策略等，运维人员不得使用，同时具有审核职能的运维人员（如网络运维、安全运维、基础设施运维）在实施配置前或审核时要认真履职，不得允许配置禁用的端口、服务、组件、访问策略等。</w:t>
            </w:r>
          </w:p>
        </w:tc>
        <w:tc>
          <w:tcPr>
            <w:tcW w:w="1022" w:type="dxa"/>
            <w:vMerge w:val="continue"/>
            <w:vAlign w:val="center"/>
          </w:tcPr>
          <w:p w14:paraId="235223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Align w:val="center"/>
          </w:tcPr>
          <w:p w14:paraId="0A48B6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76A7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60CE0E8E">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1204AE9E">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top"/>
          </w:tcPr>
          <w:p w14:paraId="3F85F820">
            <w:pPr>
              <w:spacing w:line="400" w:lineRule="exact"/>
              <w:contextualSpacing/>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rPr>
              <w:t>按照采购人要求，做好日志留存、采集，配合采购人做好日志审计。未经采购人允许，不得删除日志、修改日志输出级别。</w:t>
            </w:r>
          </w:p>
        </w:tc>
        <w:tc>
          <w:tcPr>
            <w:tcW w:w="1022" w:type="dxa"/>
            <w:vMerge w:val="continue"/>
            <w:vAlign w:val="center"/>
          </w:tcPr>
          <w:p w14:paraId="1D99A9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Align w:val="center"/>
          </w:tcPr>
          <w:p w14:paraId="09ACE7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7E11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0C92DE70">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7704AADF">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top"/>
          </w:tcPr>
          <w:p w14:paraId="72460A44">
            <w:pPr>
              <w:spacing w:line="400" w:lineRule="exact"/>
              <w:contextualSpacing/>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rPr>
              <w:t>未经采购人允许，运维人员不得修改所维护产品配置，因私自修改配置导致严重安全事故的，采购人有权更换运维人员。</w:t>
            </w:r>
          </w:p>
        </w:tc>
        <w:tc>
          <w:tcPr>
            <w:tcW w:w="1022" w:type="dxa"/>
            <w:vMerge w:val="continue"/>
            <w:vAlign w:val="center"/>
          </w:tcPr>
          <w:p w14:paraId="3D7932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Align w:val="center"/>
          </w:tcPr>
          <w:p w14:paraId="6B6620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0D96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06F64EEB">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499E1F5A">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top"/>
          </w:tcPr>
          <w:p w14:paraId="30EB3850">
            <w:pPr>
              <w:spacing w:line="400" w:lineRule="exact"/>
              <w:contextualSpacing/>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rPr>
              <w:t>运维人员应遵守采购人关于数据安全相关规定，未经采购人同意不得擅自访问、修改或删除税费数据，不得私自截留涉税相关数据，不得变更用途、用法，不得公开、转让或向第三方提供。</w:t>
            </w:r>
          </w:p>
        </w:tc>
        <w:tc>
          <w:tcPr>
            <w:tcW w:w="1022" w:type="dxa"/>
            <w:vMerge w:val="continue"/>
            <w:vAlign w:val="center"/>
          </w:tcPr>
          <w:p w14:paraId="54CCC8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Align w:val="center"/>
          </w:tcPr>
          <w:p w14:paraId="14A5D0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7F4C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681DB385">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29E5DEDA">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top"/>
          </w:tcPr>
          <w:p w14:paraId="2692BD0B">
            <w:pPr>
              <w:spacing w:line="400" w:lineRule="exact"/>
              <w:contextualSpacing/>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rPr>
              <w:t>未经采购人批准不得进入机房等基础设施场地，不得带非运维人员进入运维场地，未经授权不得允许访问、维护、维修基础设施，运维人员运维期间未经采购人允许不得携带个人电脑、U盘、键盘、未授权软件安装包等工具，不得向第三方提供基础设施场地设计图、设备部署图等有关信息。</w:t>
            </w:r>
          </w:p>
        </w:tc>
        <w:tc>
          <w:tcPr>
            <w:tcW w:w="1022" w:type="dxa"/>
            <w:vMerge w:val="continue"/>
            <w:vAlign w:val="center"/>
          </w:tcPr>
          <w:p w14:paraId="08726A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89" w:type="dxa"/>
            <w:vAlign w:val="center"/>
          </w:tcPr>
          <w:p w14:paraId="3BB94A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bl>
    <w:p w14:paraId="7EBBDD69">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 xml:space="preserve">  </w:t>
      </w:r>
    </w:p>
    <w:p w14:paraId="41A0D2BC">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4.8 新老运维团队交接要求</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97"/>
        <w:gridCol w:w="4847"/>
        <w:gridCol w:w="1022"/>
        <w:gridCol w:w="1189"/>
      </w:tblGrid>
      <w:tr w14:paraId="051B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2C4BFA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97" w:type="dxa"/>
            <w:vAlign w:val="center"/>
          </w:tcPr>
          <w:p w14:paraId="0A83C8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847" w:type="dxa"/>
            <w:vAlign w:val="center"/>
          </w:tcPr>
          <w:p w14:paraId="3CB33E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022" w:type="dxa"/>
            <w:vAlign w:val="center"/>
          </w:tcPr>
          <w:p w14:paraId="55BF6B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44898F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23B1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7" w:hRule="atLeast"/>
          <w:jc w:val="center"/>
        </w:trPr>
        <w:tc>
          <w:tcPr>
            <w:tcW w:w="923" w:type="dxa"/>
            <w:vAlign w:val="center"/>
          </w:tcPr>
          <w:p w14:paraId="4BCE63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Align w:val="center"/>
          </w:tcPr>
          <w:p w14:paraId="572F02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运维团队交接要求</w:t>
            </w:r>
          </w:p>
        </w:tc>
        <w:tc>
          <w:tcPr>
            <w:tcW w:w="4847" w:type="dxa"/>
            <w:vAlign w:val="center"/>
          </w:tcPr>
          <w:p w14:paraId="0F2169BF">
            <w:pPr>
              <w:spacing w:line="400" w:lineRule="exact"/>
              <w:contextualSpacing/>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eastAsia="zh-CN"/>
              </w:rPr>
              <w:t>不论何种原因，若本项目中标人未能在原服务合同到期前与原服务单位完成服务工作交接，均不能影响采购人的正常工作，采购人有权选择原服务单位暂时提供应急服务，在此期间发生的费用，中标人必须承诺将按照采购人原合同的采购总价的日均费用（日均费用=原服务合同总价/365）据实向原服务商支付服务费用（该费用包含在本项目合同金额中），支付凭证将作为采购人向中标人支付费用的必要条件（提交书面承诺并盖投标人公章）。</w:t>
            </w:r>
          </w:p>
        </w:tc>
        <w:tc>
          <w:tcPr>
            <w:tcW w:w="1022" w:type="dxa"/>
            <w:vAlign w:val="center"/>
          </w:tcPr>
          <w:p w14:paraId="737902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w:t>
            </w:r>
          </w:p>
        </w:tc>
        <w:tc>
          <w:tcPr>
            <w:tcW w:w="1189" w:type="dxa"/>
            <w:vAlign w:val="center"/>
          </w:tcPr>
          <w:p w14:paraId="00F3EC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提供</w:t>
            </w:r>
            <w:r>
              <w:rPr>
                <w:rFonts w:hint="eastAsia" w:ascii="宋体" w:hAnsi="宋体" w:eastAsia="宋体" w:cs="宋体"/>
                <w:sz w:val="21"/>
                <w:szCs w:val="21"/>
                <w:highlight w:val="none"/>
                <w:lang w:val="zh-CN" w:eastAsia="zh-CN"/>
              </w:rPr>
              <w:t>承诺</w:t>
            </w:r>
            <w:r>
              <w:rPr>
                <w:rFonts w:hint="eastAsia" w:ascii="宋体" w:hAnsi="宋体" w:eastAsia="宋体" w:cs="宋体"/>
                <w:sz w:val="21"/>
                <w:szCs w:val="21"/>
                <w:highlight w:val="none"/>
                <w:lang w:val="en-US" w:eastAsia="zh-CN"/>
              </w:rPr>
              <w:t>函</w:t>
            </w:r>
            <w:r>
              <w:rPr>
                <w:rFonts w:hint="eastAsia" w:ascii="宋体" w:hAnsi="宋体" w:eastAsia="宋体" w:cs="宋体"/>
                <w:sz w:val="21"/>
                <w:szCs w:val="21"/>
                <w:highlight w:val="none"/>
                <w:lang w:val="zh-CN" w:eastAsia="zh-CN"/>
              </w:rPr>
              <w:t>并盖投标人公章</w:t>
            </w:r>
          </w:p>
        </w:tc>
      </w:tr>
    </w:tbl>
    <w:p w14:paraId="167B0451">
      <w:pPr>
        <w:keepNext/>
        <w:keepLines/>
        <w:widowControl w:val="0"/>
        <w:spacing w:before="20" w:beforeLines="0" w:beforeAutospacing="0" w:after="20" w:afterLines="0" w:afterAutospacing="0" w:line="240" w:lineRule="auto"/>
        <w:jc w:val="both"/>
        <w:outlineLvl w:val="2"/>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 xml:space="preserve">  </w:t>
      </w:r>
    </w:p>
    <w:p w14:paraId="774F2944">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4.9 廉洁要求</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97"/>
        <w:gridCol w:w="4847"/>
        <w:gridCol w:w="1022"/>
        <w:gridCol w:w="1189"/>
      </w:tblGrid>
      <w:tr w14:paraId="2137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020100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97" w:type="dxa"/>
            <w:vAlign w:val="center"/>
          </w:tcPr>
          <w:p w14:paraId="134720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847" w:type="dxa"/>
            <w:vAlign w:val="center"/>
          </w:tcPr>
          <w:p w14:paraId="3BEDDF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022" w:type="dxa"/>
            <w:vAlign w:val="center"/>
          </w:tcPr>
          <w:p w14:paraId="211658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7D9EEA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7F65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Merge w:val="restart"/>
            <w:vAlign w:val="center"/>
          </w:tcPr>
          <w:p w14:paraId="1581E0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Merge w:val="restart"/>
            <w:vAlign w:val="center"/>
          </w:tcPr>
          <w:p w14:paraId="020A9A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廉洁要求</w:t>
            </w:r>
          </w:p>
        </w:tc>
        <w:tc>
          <w:tcPr>
            <w:tcW w:w="4847" w:type="dxa"/>
            <w:vAlign w:val="center"/>
          </w:tcPr>
          <w:p w14:paraId="445330C5">
            <w:pPr>
              <w:widowControl w:val="0"/>
              <w:numPr>
                <w:ilvl w:val="0"/>
                <w:numId w:val="0"/>
              </w:numPr>
              <w:spacing w:line="400" w:lineRule="exact"/>
              <w:contextualSpacing/>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zh-CN" w:eastAsia="zh-CN"/>
              </w:rPr>
              <w:t>乙方禁止利用为税务机关提供信息化服务的便利，向纳税人、缴费人搭售硬件、软件、服务或进行其他变相收费行为</w:t>
            </w:r>
          </w:p>
        </w:tc>
        <w:tc>
          <w:tcPr>
            <w:tcW w:w="1022" w:type="dxa"/>
            <w:vMerge w:val="restart"/>
            <w:vAlign w:val="center"/>
          </w:tcPr>
          <w:p w14:paraId="70E05F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w:t>
            </w:r>
          </w:p>
        </w:tc>
        <w:tc>
          <w:tcPr>
            <w:tcW w:w="1189" w:type="dxa"/>
            <w:vMerge w:val="restart"/>
            <w:vAlign w:val="center"/>
          </w:tcPr>
          <w:p w14:paraId="2D1036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zh-CN" w:eastAsia="zh-CN"/>
              </w:rPr>
              <w:t>承诺</w:t>
            </w:r>
            <w:r>
              <w:rPr>
                <w:rFonts w:hint="eastAsia" w:ascii="宋体" w:hAnsi="宋体" w:eastAsia="宋体" w:cs="宋体"/>
                <w:sz w:val="21"/>
                <w:szCs w:val="21"/>
                <w:highlight w:val="none"/>
                <w:lang w:val="en-US" w:eastAsia="zh-CN"/>
              </w:rPr>
              <w:t>函</w:t>
            </w:r>
            <w:r>
              <w:rPr>
                <w:rFonts w:hint="eastAsia" w:ascii="宋体" w:hAnsi="宋体" w:eastAsia="宋体" w:cs="宋体"/>
                <w:sz w:val="21"/>
                <w:szCs w:val="21"/>
                <w:highlight w:val="none"/>
                <w:lang w:val="zh-CN" w:eastAsia="zh-CN"/>
              </w:rPr>
              <w:t>并盖投标人公章</w:t>
            </w:r>
          </w:p>
        </w:tc>
      </w:tr>
      <w:tr w14:paraId="1464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077F3F6F">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1C3E0DAE">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center"/>
          </w:tcPr>
          <w:p w14:paraId="67AC77D1">
            <w:pPr>
              <w:widowControl w:val="0"/>
              <w:numPr>
                <w:ilvl w:val="0"/>
                <w:numId w:val="0"/>
              </w:numPr>
              <w:spacing w:line="400" w:lineRule="exact"/>
              <w:contextualSpacing/>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eastAsia="zh-CN"/>
              </w:rPr>
              <w:t>禁止</w:t>
            </w:r>
            <w:r>
              <w:rPr>
                <w:rFonts w:hint="eastAsia" w:ascii="宋体" w:hAnsi="宋体" w:eastAsia="宋体" w:cs="宋体"/>
                <w:color w:val="000000"/>
                <w:kern w:val="0"/>
                <w:sz w:val="21"/>
                <w:szCs w:val="21"/>
                <w:highlight w:val="none"/>
                <w:lang w:val="zh-CN" w:eastAsia="zh-CN" w:bidi="ar"/>
              </w:rPr>
              <w:t>以获取不正当利益为目的，采取请吃、馈赠礼</w:t>
            </w:r>
            <w:r>
              <w:rPr>
                <w:rFonts w:hint="eastAsia" w:ascii="宋体" w:hAnsi="宋体" w:eastAsia="宋体" w:cs="宋体"/>
                <w:color w:val="000000"/>
                <w:kern w:val="0"/>
                <w:sz w:val="21"/>
                <w:szCs w:val="21"/>
                <w:highlight w:val="none"/>
                <w:lang w:val="zh-CN"/>
              </w:rPr>
              <w:t>品礼金、邀请娱乐旅游消费、提供便利条件等非正常交往手段“围猎”相关税务人员及亲属</w:t>
            </w:r>
          </w:p>
        </w:tc>
        <w:tc>
          <w:tcPr>
            <w:tcW w:w="1022" w:type="dxa"/>
            <w:vMerge w:val="continue"/>
            <w:vAlign w:val="center"/>
          </w:tcPr>
          <w:p w14:paraId="07181905">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661C1159">
            <w:pPr>
              <w:widowControl/>
              <w:spacing w:line="400" w:lineRule="exact"/>
              <w:contextualSpacing/>
              <w:jc w:val="left"/>
              <w:rPr>
                <w:rFonts w:hint="eastAsia" w:ascii="宋体" w:hAnsi="宋体" w:eastAsia="宋体" w:cs="宋体"/>
                <w:kern w:val="0"/>
                <w:sz w:val="21"/>
                <w:szCs w:val="21"/>
                <w:highlight w:val="none"/>
              </w:rPr>
            </w:pPr>
          </w:p>
        </w:tc>
      </w:tr>
      <w:tr w14:paraId="3972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05C60D6A">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5E9DF5CA">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center"/>
          </w:tcPr>
          <w:p w14:paraId="0EA8C7AD">
            <w:pPr>
              <w:widowControl w:val="0"/>
              <w:numPr>
                <w:ilvl w:val="0"/>
                <w:numId w:val="0"/>
              </w:numPr>
              <w:spacing w:line="400" w:lineRule="exact"/>
              <w:contextualSpacing/>
              <w:rPr>
                <w:rFonts w:hint="eastAsia" w:ascii="宋体" w:hAnsi="宋体" w:eastAsia="宋体" w:cs="宋体"/>
                <w:b/>
                <w:bCs/>
                <w:sz w:val="21"/>
                <w:szCs w:val="21"/>
                <w:highlight w:val="none"/>
                <w:lang w:val="en-US" w:eastAsia="zh-CN"/>
              </w:rPr>
            </w:pPr>
            <w:r>
              <w:rPr>
                <w:rFonts w:hint="eastAsia" w:ascii="宋体" w:hAnsi="宋体" w:eastAsia="宋体" w:cs="宋体"/>
                <w:color w:val="000000"/>
                <w:kern w:val="0"/>
                <w:sz w:val="21"/>
                <w:szCs w:val="21"/>
                <w:highlight w:val="none"/>
                <w:lang w:val="zh-CN" w:eastAsia="zh-CN"/>
              </w:rPr>
              <w:t>禁止违规聘用离职税务人员</w:t>
            </w:r>
            <w:r>
              <w:rPr>
                <w:rFonts w:hint="eastAsia" w:ascii="宋体" w:hAnsi="宋体" w:eastAsia="宋体" w:cs="宋体"/>
                <w:kern w:val="0"/>
                <w:sz w:val="21"/>
                <w:szCs w:val="21"/>
                <w:highlight w:val="none"/>
                <w:lang w:val="zh-CN" w:eastAsia="zh-CN"/>
              </w:rPr>
              <w:t>（</w:t>
            </w:r>
            <w:r>
              <w:rPr>
                <w:rFonts w:hint="eastAsia" w:ascii="宋体" w:hAnsi="宋体" w:eastAsia="宋体" w:cs="宋体"/>
                <w:color w:val="000000"/>
                <w:kern w:val="0"/>
                <w:sz w:val="21"/>
                <w:szCs w:val="21"/>
                <w:highlight w:val="none"/>
                <w:lang w:val="zh-CN" w:eastAsia="zh-CN"/>
              </w:rPr>
              <w:t>离职税务人员：3年内离职的原从事过税收信息化及相关信息系统业务条线的税务人员</w:t>
            </w:r>
            <w:r>
              <w:rPr>
                <w:rFonts w:hint="eastAsia" w:ascii="宋体" w:hAnsi="宋体" w:eastAsia="宋体" w:cs="宋体"/>
                <w:kern w:val="0"/>
                <w:sz w:val="21"/>
                <w:szCs w:val="21"/>
                <w:highlight w:val="none"/>
                <w:lang w:val="zh-CN" w:eastAsia="zh-CN"/>
              </w:rPr>
              <w:t>）</w:t>
            </w:r>
          </w:p>
        </w:tc>
        <w:tc>
          <w:tcPr>
            <w:tcW w:w="1022" w:type="dxa"/>
            <w:vMerge w:val="continue"/>
            <w:vAlign w:val="center"/>
          </w:tcPr>
          <w:p w14:paraId="1132836C">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6839CFD5">
            <w:pPr>
              <w:widowControl/>
              <w:spacing w:line="400" w:lineRule="exact"/>
              <w:contextualSpacing/>
              <w:jc w:val="left"/>
              <w:rPr>
                <w:rFonts w:hint="eastAsia" w:ascii="宋体" w:hAnsi="宋体" w:eastAsia="宋体" w:cs="宋体"/>
                <w:kern w:val="0"/>
                <w:sz w:val="21"/>
                <w:szCs w:val="21"/>
                <w:highlight w:val="none"/>
              </w:rPr>
            </w:pPr>
          </w:p>
        </w:tc>
      </w:tr>
      <w:tr w14:paraId="3B61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3A24D50D">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514A6DE3">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center"/>
          </w:tcPr>
          <w:p w14:paraId="5979C573">
            <w:pPr>
              <w:widowControl w:val="0"/>
              <w:numPr>
                <w:ilvl w:val="0"/>
                <w:numId w:val="0"/>
              </w:numPr>
              <w:spacing w:line="400" w:lineRule="exact"/>
              <w:contextualSpacing/>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zh-CN" w:eastAsia="zh-CN"/>
              </w:rPr>
              <w:t>发现甲方存在不正当利益索取情况，有义务向国家税务总局湖南省税务局报告</w:t>
            </w:r>
          </w:p>
        </w:tc>
        <w:tc>
          <w:tcPr>
            <w:tcW w:w="1022" w:type="dxa"/>
            <w:vMerge w:val="continue"/>
            <w:vAlign w:val="center"/>
          </w:tcPr>
          <w:p w14:paraId="00E55D2E">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1A412C33">
            <w:pPr>
              <w:widowControl/>
              <w:spacing w:line="400" w:lineRule="exact"/>
              <w:contextualSpacing/>
              <w:jc w:val="left"/>
              <w:rPr>
                <w:rFonts w:hint="eastAsia" w:ascii="宋体" w:hAnsi="宋体" w:eastAsia="宋体" w:cs="宋体"/>
                <w:kern w:val="0"/>
                <w:sz w:val="21"/>
                <w:szCs w:val="21"/>
                <w:highlight w:val="none"/>
              </w:rPr>
            </w:pPr>
          </w:p>
        </w:tc>
      </w:tr>
      <w:tr w14:paraId="23D4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19815146">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1A346E06">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center"/>
          </w:tcPr>
          <w:p w14:paraId="0D73E2FD">
            <w:pPr>
              <w:widowControl w:val="0"/>
              <w:numPr>
                <w:ilvl w:val="0"/>
                <w:numId w:val="0"/>
              </w:numPr>
              <w:spacing w:line="400" w:lineRule="exact"/>
              <w:contextualSpacing/>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eastAsia="zh-CN"/>
              </w:rPr>
              <w:t>应遵守网络安全管理规定，避免造成数据失窃或丢失、敏感信息泄露、主要业务系统瘫痪等威胁网络安全的事件</w:t>
            </w:r>
          </w:p>
        </w:tc>
        <w:tc>
          <w:tcPr>
            <w:tcW w:w="1022" w:type="dxa"/>
            <w:vMerge w:val="continue"/>
            <w:vAlign w:val="center"/>
          </w:tcPr>
          <w:p w14:paraId="677A38E6">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772D903D">
            <w:pPr>
              <w:widowControl/>
              <w:spacing w:line="400" w:lineRule="exact"/>
              <w:contextualSpacing/>
              <w:jc w:val="left"/>
              <w:rPr>
                <w:rFonts w:hint="eastAsia" w:ascii="宋体" w:hAnsi="宋体" w:eastAsia="宋体" w:cs="宋体"/>
                <w:kern w:val="0"/>
                <w:sz w:val="21"/>
                <w:szCs w:val="21"/>
                <w:highlight w:val="none"/>
              </w:rPr>
            </w:pPr>
          </w:p>
        </w:tc>
      </w:tr>
      <w:tr w14:paraId="39B3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72D7643E">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47681751">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center"/>
          </w:tcPr>
          <w:p w14:paraId="5D34C04A">
            <w:pPr>
              <w:spacing w:line="400" w:lineRule="exact"/>
              <w:contextualSpacing/>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eastAsia="zh-CN"/>
              </w:rPr>
              <w:t>禁止另行开发销售合同业务需求范围内，供纳税人、缴费人使用的软件</w:t>
            </w:r>
          </w:p>
        </w:tc>
        <w:tc>
          <w:tcPr>
            <w:tcW w:w="1022" w:type="dxa"/>
            <w:vMerge w:val="continue"/>
            <w:vAlign w:val="center"/>
          </w:tcPr>
          <w:p w14:paraId="6E14F403">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16809379">
            <w:pPr>
              <w:widowControl/>
              <w:spacing w:line="400" w:lineRule="exact"/>
              <w:contextualSpacing/>
              <w:jc w:val="left"/>
              <w:rPr>
                <w:rFonts w:hint="eastAsia" w:ascii="宋体" w:hAnsi="宋体" w:eastAsia="宋体" w:cs="宋体"/>
                <w:kern w:val="0"/>
                <w:sz w:val="21"/>
                <w:szCs w:val="21"/>
                <w:highlight w:val="none"/>
              </w:rPr>
            </w:pPr>
          </w:p>
        </w:tc>
      </w:tr>
      <w:tr w14:paraId="247D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continue"/>
            <w:vAlign w:val="center"/>
          </w:tcPr>
          <w:p w14:paraId="72AAA00E">
            <w:pPr>
              <w:widowControl/>
              <w:spacing w:line="400" w:lineRule="exact"/>
              <w:contextualSpacing/>
              <w:jc w:val="center"/>
              <w:rPr>
                <w:rFonts w:hint="eastAsia" w:ascii="宋体" w:hAnsi="宋体" w:eastAsia="宋体" w:cs="宋体"/>
                <w:kern w:val="0"/>
                <w:sz w:val="21"/>
                <w:szCs w:val="21"/>
                <w:highlight w:val="none"/>
                <w:lang w:val="en-US" w:eastAsia="zh-CN"/>
              </w:rPr>
            </w:pPr>
          </w:p>
        </w:tc>
        <w:tc>
          <w:tcPr>
            <w:tcW w:w="1197" w:type="dxa"/>
            <w:vMerge w:val="continue"/>
            <w:vAlign w:val="center"/>
          </w:tcPr>
          <w:p w14:paraId="72C104CE">
            <w:pPr>
              <w:widowControl/>
              <w:spacing w:line="400" w:lineRule="exact"/>
              <w:contextualSpacing/>
              <w:jc w:val="left"/>
              <w:rPr>
                <w:rFonts w:hint="eastAsia" w:ascii="宋体" w:hAnsi="宋体" w:eastAsia="宋体" w:cs="宋体"/>
                <w:kern w:val="0"/>
                <w:sz w:val="21"/>
                <w:szCs w:val="21"/>
                <w:highlight w:val="none"/>
                <w:lang w:val="en-US" w:eastAsia="zh-CN"/>
              </w:rPr>
            </w:pPr>
          </w:p>
        </w:tc>
        <w:tc>
          <w:tcPr>
            <w:tcW w:w="4847" w:type="dxa"/>
            <w:vAlign w:val="center"/>
          </w:tcPr>
          <w:p w14:paraId="7BC3C095">
            <w:pPr>
              <w:spacing w:line="400" w:lineRule="exact"/>
              <w:contextualSpacing/>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eastAsia="zh-CN" w:bidi="ar-SA"/>
              </w:rPr>
              <w:t>乙方违反廉洁条款的，将向总局上报为失信名单。</w:t>
            </w:r>
          </w:p>
        </w:tc>
        <w:tc>
          <w:tcPr>
            <w:tcW w:w="1022" w:type="dxa"/>
            <w:vMerge w:val="continue"/>
            <w:vAlign w:val="center"/>
          </w:tcPr>
          <w:p w14:paraId="14551D1A">
            <w:pPr>
              <w:widowControl/>
              <w:spacing w:line="400" w:lineRule="exact"/>
              <w:contextualSpacing/>
              <w:jc w:val="left"/>
              <w:rPr>
                <w:rFonts w:hint="eastAsia" w:ascii="宋体" w:hAnsi="宋体" w:eastAsia="宋体" w:cs="宋体"/>
                <w:kern w:val="0"/>
                <w:sz w:val="21"/>
                <w:szCs w:val="21"/>
                <w:highlight w:val="none"/>
              </w:rPr>
            </w:pPr>
          </w:p>
        </w:tc>
        <w:tc>
          <w:tcPr>
            <w:tcW w:w="1189" w:type="dxa"/>
            <w:vMerge w:val="continue"/>
            <w:vAlign w:val="center"/>
          </w:tcPr>
          <w:p w14:paraId="444F9B33">
            <w:pPr>
              <w:widowControl/>
              <w:spacing w:line="400" w:lineRule="exact"/>
              <w:contextualSpacing/>
              <w:jc w:val="left"/>
              <w:rPr>
                <w:rFonts w:hint="eastAsia" w:ascii="宋体" w:hAnsi="宋体" w:eastAsia="宋体" w:cs="宋体"/>
                <w:kern w:val="0"/>
                <w:sz w:val="21"/>
                <w:szCs w:val="21"/>
                <w:highlight w:val="none"/>
              </w:rPr>
            </w:pPr>
          </w:p>
        </w:tc>
      </w:tr>
    </w:tbl>
    <w:p w14:paraId="0FBFCE9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1"/>
          <w:szCs w:val="21"/>
          <w:highlight w:val="none"/>
          <w:lang w:val="en-US" w:eastAsia="zh-CN" w:bidi="ar-SA"/>
        </w:rPr>
      </w:pPr>
    </w:p>
    <w:p w14:paraId="55396E92">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4.10 项目验收要求</w:t>
      </w:r>
    </w:p>
    <w:p w14:paraId="2992ED96">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4</w:t>
      </w:r>
      <w:r>
        <w:rPr>
          <w:rFonts w:hint="eastAsia" w:ascii="宋体" w:hAnsi="宋体" w:eastAsia="宋体" w:cs="宋体"/>
          <w:b/>
          <w:bCs w:val="0"/>
          <w:kern w:val="2"/>
          <w:sz w:val="21"/>
          <w:szCs w:val="21"/>
          <w:highlight w:val="none"/>
          <w:lang w:val="en-US" w:eastAsia="zh-CN" w:bidi="ar-SA"/>
        </w:rPr>
        <w:t xml:space="preserve">.10.1 </w:t>
      </w:r>
      <w:r>
        <w:rPr>
          <w:rFonts w:hint="eastAsia" w:ascii="宋体" w:hAnsi="宋体" w:eastAsia="宋体" w:cs="宋体"/>
          <w:b/>
          <w:kern w:val="2"/>
          <w:sz w:val="21"/>
          <w:szCs w:val="21"/>
          <w:highlight w:val="none"/>
          <w:lang w:val="en-US" w:eastAsia="zh-CN" w:bidi="ar-SA"/>
        </w:rPr>
        <w:t>项目</w:t>
      </w:r>
      <w:r>
        <w:rPr>
          <w:rFonts w:hint="eastAsia" w:ascii="宋体" w:hAnsi="宋体" w:eastAsia="宋体" w:cs="宋体"/>
          <w:b/>
          <w:bCs w:val="0"/>
          <w:kern w:val="2"/>
          <w:sz w:val="21"/>
          <w:szCs w:val="21"/>
          <w:highlight w:val="none"/>
          <w:lang w:val="zh-CN" w:eastAsia="zh-CN" w:bidi="ar-SA"/>
        </w:rPr>
        <w:t>初验</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97"/>
        <w:gridCol w:w="4847"/>
        <w:gridCol w:w="1022"/>
        <w:gridCol w:w="1189"/>
      </w:tblGrid>
      <w:tr w14:paraId="285B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799332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97" w:type="dxa"/>
            <w:vAlign w:val="center"/>
          </w:tcPr>
          <w:p w14:paraId="6FD474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847" w:type="dxa"/>
            <w:vAlign w:val="center"/>
          </w:tcPr>
          <w:p w14:paraId="3BF451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022" w:type="dxa"/>
            <w:vAlign w:val="center"/>
          </w:tcPr>
          <w:p w14:paraId="7BB39F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1C5363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162D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4BAED1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Align w:val="center"/>
          </w:tcPr>
          <w:p w14:paraId="5D524E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项目初验时间</w:t>
            </w:r>
          </w:p>
        </w:tc>
        <w:tc>
          <w:tcPr>
            <w:tcW w:w="4847" w:type="dxa"/>
            <w:vAlign w:val="center"/>
          </w:tcPr>
          <w:p w14:paraId="21E8B0DD">
            <w:pPr>
              <w:widowControl w:val="0"/>
              <w:numPr>
                <w:ilvl w:val="0"/>
                <w:numId w:val="0"/>
              </w:numPr>
              <w:spacing w:line="400" w:lineRule="exact"/>
              <w:contextualSpacing/>
              <w:rPr>
                <w:rFonts w:hint="eastAsia" w:ascii="宋体" w:hAnsi="宋体" w:eastAsia="宋体" w:cs="宋体"/>
                <w:kern w:val="0"/>
                <w:sz w:val="21"/>
                <w:szCs w:val="21"/>
                <w:highlight w:val="none"/>
                <w:lang w:eastAsia="zh-CN"/>
              </w:rPr>
            </w:pPr>
            <w:r>
              <w:rPr>
                <w:rFonts w:hint="eastAsia" w:ascii="宋体" w:hAnsi="宋体" w:eastAsia="宋体" w:cs="宋体"/>
                <w:sz w:val="21"/>
                <w:szCs w:val="21"/>
                <w:highlight w:val="none"/>
                <w:lang w:val="en-US" w:eastAsia="zh-CN"/>
              </w:rPr>
              <w:t>项目启动后2个月内，中标人完成进场向采购人申请</w:t>
            </w:r>
          </w:p>
        </w:tc>
        <w:tc>
          <w:tcPr>
            <w:tcW w:w="1022" w:type="dxa"/>
            <w:vAlign w:val="center"/>
          </w:tcPr>
          <w:p w14:paraId="67E9FD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7EA733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7690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Merge w:val="restart"/>
            <w:vAlign w:val="center"/>
          </w:tcPr>
          <w:p w14:paraId="0EB3F4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97" w:type="dxa"/>
            <w:vMerge w:val="restart"/>
            <w:vAlign w:val="center"/>
          </w:tcPr>
          <w:p w14:paraId="1E5939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初验内容</w:t>
            </w:r>
          </w:p>
        </w:tc>
        <w:tc>
          <w:tcPr>
            <w:tcW w:w="4847" w:type="dxa"/>
            <w:vAlign w:val="center"/>
          </w:tcPr>
          <w:p w14:paraId="11051CE2">
            <w:pPr>
              <w:adjustRightInd w:val="0"/>
              <w:snapToGrid w:val="0"/>
              <w:spacing w:line="400" w:lineRule="exact"/>
              <w:ind w:left="0" w:firstLine="0"/>
              <w:contextualSpacing/>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需提交下列资料：</w:t>
            </w:r>
          </w:p>
          <w:p w14:paraId="4911B188">
            <w:pPr>
              <w:adjustRightInd w:val="0"/>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（1）项目进场报告及初验报告；</w:t>
            </w:r>
          </w:p>
          <w:p w14:paraId="31DAC77E">
            <w:pPr>
              <w:adjustRightInd w:val="0"/>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（2）驻场服务人员各项资质验证并通过中标人的面试，熟悉并胜任本项目所涉及的各项驻场工作；</w:t>
            </w:r>
          </w:p>
          <w:p w14:paraId="62222FA4">
            <w:pPr>
              <w:adjustRightInd w:val="0"/>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（3）保密协议和保密承诺书；</w:t>
            </w:r>
          </w:p>
          <w:p w14:paraId="16B337C9">
            <w:pPr>
              <w:adjustRightInd w:val="0"/>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（4）针对本项目的详细服务计划以及相关的工作表单；</w:t>
            </w:r>
          </w:p>
          <w:p w14:paraId="77DCBEBA">
            <w:pPr>
              <w:adjustRightInd w:val="0"/>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（5）按照中标人投标文件中的备件方案，将备品备件准备到位，提供备品备件清单、存放地点及联系人；</w:t>
            </w:r>
          </w:p>
          <w:p w14:paraId="28509FA2">
            <w:pPr>
              <w:adjustRightInd w:val="0"/>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（6）设备档案和配置文件归档材料；</w:t>
            </w:r>
          </w:p>
          <w:p w14:paraId="746A5B13">
            <w:pPr>
              <w:adjustRightInd w:val="0"/>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（7）健康性检查报告；</w:t>
            </w:r>
          </w:p>
          <w:p w14:paraId="092EBFFE">
            <w:pPr>
              <w:adjustRightInd w:val="0"/>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（8）运维日常工作和故障记录；</w:t>
            </w:r>
          </w:p>
          <w:p w14:paraId="1302D05A">
            <w:pPr>
              <w:adjustRightInd w:val="0"/>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（9）巡检记录及巡检报告；</w:t>
            </w:r>
          </w:p>
          <w:p w14:paraId="2368E0C7">
            <w:pPr>
              <w:adjustRightInd w:val="0"/>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（10）应急响应预案；</w:t>
            </w:r>
          </w:p>
          <w:p w14:paraId="32DAC23E">
            <w:pPr>
              <w:adjustRightInd w:val="0"/>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（11）第三方运维服务和质保服务提供商资质材料；</w:t>
            </w:r>
          </w:p>
          <w:p w14:paraId="48CC814D">
            <w:pPr>
              <w:adjustRightInd w:val="0"/>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（12）相关检测报告；</w:t>
            </w:r>
          </w:p>
        </w:tc>
        <w:tc>
          <w:tcPr>
            <w:tcW w:w="1022" w:type="dxa"/>
            <w:vAlign w:val="center"/>
          </w:tcPr>
          <w:p w14:paraId="0F4EA7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341A1E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14CA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23" w:type="dxa"/>
            <w:vMerge w:val="continue"/>
            <w:vAlign w:val="center"/>
          </w:tcPr>
          <w:p w14:paraId="1E791E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1197" w:type="dxa"/>
            <w:vMerge w:val="continue"/>
            <w:vAlign w:val="center"/>
          </w:tcPr>
          <w:p w14:paraId="4D03F6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p>
        </w:tc>
        <w:tc>
          <w:tcPr>
            <w:tcW w:w="4847" w:type="dxa"/>
            <w:vAlign w:val="center"/>
          </w:tcPr>
          <w:p w14:paraId="2851CBCF">
            <w:pPr>
              <w:widowControl w:val="0"/>
              <w:numPr>
                <w:ilvl w:val="0"/>
                <w:numId w:val="0"/>
              </w:numPr>
              <w:spacing w:line="400" w:lineRule="exact"/>
              <w:contextualSpacing/>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按照3.1-3.2，4.4-4.8项，提供的技术服务符合要求</w:t>
            </w:r>
          </w:p>
        </w:tc>
        <w:tc>
          <w:tcPr>
            <w:tcW w:w="1022" w:type="dxa"/>
            <w:vAlign w:val="center"/>
          </w:tcPr>
          <w:p w14:paraId="23E4DC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49B733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39DF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923" w:type="dxa"/>
            <w:vAlign w:val="center"/>
          </w:tcPr>
          <w:p w14:paraId="44D1C0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97" w:type="dxa"/>
            <w:vAlign w:val="center"/>
          </w:tcPr>
          <w:p w14:paraId="4EA8E7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验收结果</w:t>
            </w:r>
          </w:p>
        </w:tc>
        <w:tc>
          <w:tcPr>
            <w:tcW w:w="4847" w:type="dxa"/>
            <w:vAlign w:val="center"/>
          </w:tcPr>
          <w:p w14:paraId="1D32BA8D">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初验不合格，采购人有权终止合同。中标人在未按采购人要求提供服务的期间，采购人有权选择原服务单位继续提供服务，在此期间发生的费用，中标人必须承诺将按照采购人原合同的采购单价据实向原服务商支付服务费用，支付凭证将作为采购人向中标人支付费用的必要条件（提交书面承诺并盖投标人公章）。</w:t>
            </w:r>
          </w:p>
        </w:tc>
        <w:tc>
          <w:tcPr>
            <w:tcW w:w="1022" w:type="dxa"/>
            <w:vAlign w:val="center"/>
          </w:tcPr>
          <w:p w14:paraId="047441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w:t>
            </w:r>
          </w:p>
        </w:tc>
        <w:tc>
          <w:tcPr>
            <w:tcW w:w="1189" w:type="dxa"/>
            <w:vAlign w:val="center"/>
          </w:tcPr>
          <w:p w14:paraId="15447B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提供</w:t>
            </w:r>
            <w:r>
              <w:rPr>
                <w:rFonts w:hint="eastAsia" w:ascii="宋体" w:hAnsi="宋体" w:eastAsia="宋体" w:cs="宋体"/>
                <w:sz w:val="21"/>
                <w:szCs w:val="21"/>
                <w:highlight w:val="none"/>
                <w:lang w:val="zh-CN" w:eastAsia="zh-CN"/>
              </w:rPr>
              <w:t>承诺</w:t>
            </w:r>
            <w:r>
              <w:rPr>
                <w:rFonts w:hint="eastAsia" w:ascii="宋体" w:hAnsi="宋体" w:eastAsia="宋体" w:cs="宋体"/>
                <w:sz w:val="21"/>
                <w:szCs w:val="21"/>
                <w:highlight w:val="none"/>
                <w:lang w:val="en-US" w:eastAsia="zh-CN"/>
              </w:rPr>
              <w:t>函</w:t>
            </w:r>
            <w:r>
              <w:rPr>
                <w:rFonts w:hint="eastAsia" w:ascii="宋体" w:hAnsi="宋体" w:eastAsia="宋体" w:cs="宋体"/>
                <w:sz w:val="21"/>
                <w:szCs w:val="21"/>
                <w:highlight w:val="none"/>
                <w:lang w:val="zh-CN" w:eastAsia="zh-CN"/>
              </w:rPr>
              <w:t>并盖投标人公章</w:t>
            </w:r>
          </w:p>
        </w:tc>
      </w:tr>
    </w:tbl>
    <w:p w14:paraId="56332EC1">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 xml:space="preserve">  </w:t>
      </w:r>
    </w:p>
    <w:p w14:paraId="3F353511">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kern w:val="2"/>
          <w:sz w:val="21"/>
          <w:szCs w:val="21"/>
          <w:highlight w:val="none"/>
          <w:lang w:val="zh-CN" w:eastAsia="zh-CN" w:bidi="ar-SA"/>
        </w:rPr>
      </w:pPr>
      <w:r>
        <w:rPr>
          <w:rFonts w:hint="eastAsia" w:ascii="宋体" w:hAnsi="宋体" w:eastAsia="宋体" w:cs="宋体"/>
          <w:b/>
          <w:kern w:val="2"/>
          <w:sz w:val="21"/>
          <w:szCs w:val="21"/>
          <w:highlight w:val="none"/>
          <w:lang w:val="en-US" w:eastAsia="zh-CN" w:bidi="ar-SA"/>
        </w:rPr>
        <w:t>4.10.2项目终</w:t>
      </w:r>
      <w:r>
        <w:rPr>
          <w:rFonts w:hint="eastAsia" w:ascii="宋体" w:hAnsi="宋体" w:eastAsia="宋体" w:cs="宋体"/>
          <w:b/>
          <w:kern w:val="2"/>
          <w:sz w:val="21"/>
          <w:szCs w:val="21"/>
          <w:highlight w:val="none"/>
          <w:lang w:val="zh-CN" w:eastAsia="zh-CN" w:bidi="ar-SA"/>
        </w:rPr>
        <w:t>验</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97"/>
        <w:gridCol w:w="4847"/>
        <w:gridCol w:w="1022"/>
        <w:gridCol w:w="1189"/>
      </w:tblGrid>
      <w:tr w14:paraId="2923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4876B4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97" w:type="dxa"/>
            <w:vAlign w:val="center"/>
          </w:tcPr>
          <w:p w14:paraId="5F9CAF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847" w:type="dxa"/>
            <w:vAlign w:val="center"/>
          </w:tcPr>
          <w:p w14:paraId="49C86D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022" w:type="dxa"/>
            <w:vAlign w:val="center"/>
          </w:tcPr>
          <w:p w14:paraId="13DE33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661DA4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67AC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41EFD5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Align w:val="center"/>
          </w:tcPr>
          <w:p w14:paraId="0A6EB3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项目终验时间</w:t>
            </w:r>
          </w:p>
        </w:tc>
        <w:tc>
          <w:tcPr>
            <w:tcW w:w="4847" w:type="dxa"/>
            <w:vAlign w:val="center"/>
          </w:tcPr>
          <w:p w14:paraId="1048638E">
            <w:pPr>
              <w:widowControl w:val="0"/>
              <w:numPr>
                <w:ilvl w:val="0"/>
                <w:numId w:val="0"/>
              </w:numPr>
              <w:spacing w:line="400" w:lineRule="exact"/>
              <w:contextualSpacing/>
              <w:rPr>
                <w:rFonts w:hint="eastAsia" w:ascii="宋体" w:hAnsi="宋体" w:eastAsia="宋体" w:cs="宋体"/>
                <w:kern w:val="0"/>
                <w:sz w:val="21"/>
                <w:szCs w:val="21"/>
                <w:highlight w:val="none"/>
                <w:lang w:eastAsia="zh-CN"/>
              </w:rPr>
            </w:pPr>
            <w:r>
              <w:rPr>
                <w:rFonts w:hint="eastAsia" w:ascii="宋体" w:hAnsi="宋体" w:eastAsia="宋体" w:cs="宋体"/>
                <w:sz w:val="21"/>
                <w:szCs w:val="21"/>
                <w:highlight w:val="none"/>
                <w:lang w:val="zh-CN" w:eastAsia="zh-CN"/>
              </w:rPr>
              <w:t>服务期满且</w:t>
            </w:r>
            <w:r>
              <w:rPr>
                <w:rFonts w:hint="eastAsia" w:ascii="宋体" w:hAnsi="宋体" w:eastAsia="宋体" w:cs="宋体"/>
                <w:sz w:val="21"/>
                <w:szCs w:val="21"/>
                <w:highlight w:val="none"/>
                <w:lang w:val="en-US" w:eastAsia="zh-CN"/>
              </w:rPr>
              <w:t>中标人考核达到终验条件，中标人可向采购人申请项目终验。</w:t>
            </w:r>
            <w:r>
              <w:rPr>
                <w:rFonts w:hint="eastAsia" w:ascii="宋体" w:hAnsi="宋体" w:eastAsia="宋体" w:cs="宋体"/>
                <w:sz w:val="21"/>
                <w:szCs w:val="21"/>
                <w:highlight w:val="none"/>
              </w:rPr>
              <w:t>采购人在收到中标</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提出的合格的验收申请后，于30日内组织验收小组完成验收工作。</w:t>
            </w:r>
          </w:p>
        </w:tc>
        <w:tc>
          <w:tcPr>
            <w:tcW w:w="1022" w:type="dxa"/>
            <w:vAlign w:val="center"/>
          </w:tcPr>
          <w:p w14:paraId="64EC04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0BAA6D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1D15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2E29C1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97" w:type="dxa"/>
            <w:vAlign w:val="center"/>
          </w:tcPr>
          <w:p w14:paraId="708D36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验收文档要求</w:t>
            </w:r>
          </w:p>
        </w:tc>
        <w:tc>
          <w:tcPr>
            <w:tcW w:w="4847" w:type="dxa"/>
            <w:vAlign w:val="center"/>
          </w:tcPr>
          <w:p w14:paraId="4D8B7928">
            <w:pPr>
              <w:adjustRightInd w:val="0"/>
              <w:snapToGrid w:val="0"/>
              <w:spacing w:line="400" w:lineRule="exact"/>
              <w:ind w:left="0" w:firstLine="0"/>
              <w:contextualSpacing/>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需提交下列资料：</w:t>
            </w:r>
          </w:p>
          <w:p w14:paraId="0F0B0802">
            <w:pPr>
              <w:adjustRightInd w:val="0"/>
              <w:snapToGrid w:val="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eastAsia="zh-CN"/>
              </w:rPr>
              <w:t>）服务文档要求及分项服务要求中列明的所有文档；</w:t>
            </w:r>
          </w:p>
          <w:p w14:paraId="0B9821A0">
            <w:pPr>
              <w:adjustRightInd w:val="0"/>
              <w:snapToGrid w:val="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eastAsia="zh-CN"/>
              </w:rPr>
              <w:t>）技术支持（含移机、系统优化、演练等）记录；</w:t>
            </w:r>
          </w:p>
          <w:p w14:paraId="13A707F7">
            <w:pPr>
              <w:adjustRightInd w:val="0"/>
              <w:snapToGrid w:val="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eastAsia="zh-CN"/>
              </w:rPr>
              <w:t>）现场服务和远程服务工单、服务确认单；</w:t>
            </w:r>
          </w:p>
          <w:p w14:paraId="6FEE983C">
            <w:pPr>
              <w:adjustRightInd w:val="0"/>
              <w:snapToGrid w:val="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）巡检记录及巡检报告；</w:t>
            </w:r>
          </w:p>
          <w:p w14:paraId="3EB617ED">
            <w:pPr>
              <w:adjustRightInd w:val="0"/>
              <w:snapToGrid w:val="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eastAsia="zh-CN"/>
              </w:rPr>
              <w:t>）备品备件相关证明文件；</w:t>
            </w:r>
          </w:p>
          <w:p w14:paraId="29477D61">
            <w:pPr>
              <w:adjustRightInd w:val="0"/>
              <w:snapToGrid w:val="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val="zh-CN" w:eastAsia="zh-CN"/>
              </w:rPr>
              <w:t>）年度服务完成情况报告；</w:t>
            </w:r>
          </w:p>
          <w:p w14:paraId="13D4AAFE">
            <w:pPr>
              <w:adjustRightInd w:val="0"/>
              <w:snapToGrid w:val="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val="zh-CN" w:eastAsia="zh-CN"/>
              </w:rPr>
              <w:t>）项目管理、人员管理、安全管理相关资料，主要包括人员背景审查材料、上岗材料、供应链厂商自查报告、安全承诺书、培训记录等；</w:t>
            </w:r>
          </w:p>
          <w:p w14:paraId="32EA1B89">
            <w:pPr>
              <w:adjustRightInd w:val="0"/>
              <w:snapToGrid w:val="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val="zh-CN" w:eastAsia="zh-CN"/>
              </w:rPr>
              <w:t>）对中标人的考核和评价记录；</w:t>
            </w:r>
          </w:p>
          <w:p w14:paraId="717FBCB1">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lang w:val="zh-CN" w:eastAsia="zh-CN"/>
              </w:rPr>
              <w:t>）用户要求的其他与项目相关的资料和文档。</w:t>
            </w:r>
          </w:p>
        </w:tc>
        <w:tc>
          <w:tcPr>
            <w:tcW w:w="1022" w:type="dxa"/>
            <w:vAlign w:val="center"/>
          </w:tcPr>
          <w:p w14:paraId="0832F0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3944EF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7F70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923" w:type="dxa"/>
            <w:vAlign w:val="center"/>
          </w:tcPr>
          <w:p w14:paraId="299443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97" w:type="dxa"/>
            <w:vAlign w:val="center"/>
          </w:tcPr>
          <w:p w14:paraId="30ED71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验收标准</w:t>
            </w:r>
          </w:p>
        </w:tc>
        <w:tc>
          <w:tcPr>
            <w:tcW w:w="4847" w:type="dxa"/>
            <w:vAlign w:val="center"/>
          </w:tcPr>
          <w:p w14:paraId="1BE78A1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rPr>
              <w:t>采购人以项目招标文件及合同相关内容为依据，按照“4.11考核办法”，检查中标供应商是否按照项目技术需求中定义的各项工作内容在服务期内保质保量完成。</w:t>
            </w:r>
          </w:p>
        </w:tc>
        <w:tc>
          <w:tcPr>
            <w:tcW w:w="1022" w:type="dxa"/>
            <w:vAlign w:val="center"/>
          </w:tcPr>
          <w:p w14:paraId="03658E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w:t>
            </w:r>
          </w:p>
        </w:tc>
        <w:tc>
          <w:tcPr>
            <w:tcW w:w="1189" w:type="dxa"/>
            <w:vAlign w:val="center"/>
          </w:tcPr>
          <w:p w14:paraId="764256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zh-CN" w:eastAsia="zh-CN"/>
              </w:rPr>
              <w:t>承诺</w:t>
            </w:r>
            <w:r>
              <w:rPr>
                <w:rFonts w:hint="eastAsia" w:ascii="宋体" w:hAnsi="宋体" w:eastAsia="宋体" w:cs="宋体"/>
                <w:sz w:val="21"/>
                <w:szCs w:val="21"/>
                <w:highlight w:val="none"/>
                <w:lang w:val="en-US" w:eastAsia="zh-CN"/>
              </w:rPr>
              <w:t>函</w:t>
            </w:r>
            <w:r>
              <w:rPr>
                <w:rFonts w:hint="eastAsia" w:ascii="宋体" w:hAnsi="宋体" w:eastAsia="宋体" w:cs="宋体"/>
                <w:sz w:val="21"/>
                <w:szCs w:val="21"/>
                <w:highlight w:val="none"/>
                <w:lang w:val="zh-CN" w:eastAsia="zh-CN"/>
              </w:rPr>
              <w:t>并盖投标人公章</w:t>
            </w:r>
          </w:p>
        </w:tc>
      </w:tr>
      <w:tr w14:paraId="2B2B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2" w:hRule="atLeast"/>
          <w:jc w:val="center"/>
        </w:trPr>
        <w:tc>
          <w:tcPr>
            <w:tcW w:w="923" w:type="dxa"/>
            <w:vAlign w:val="center"/>
          </w:tcPr>
          <w:p w14:paraId="36D48A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97" w:type="dxa"/>
            <w:vAlign w:val="center"/>
          </w:tcPr>
          <w:p w14:paraId="763A90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验收流程</w:t>
            </w:r>
          </w:p>
        </w:tc>
        <w:tc>
          <w:tcPr>
            <w:tcW w:w="4847" w:type="dxa"/>
            <w:vAlign w:val="center"/>
          </w:tcPr>
          <w:p w14:paraId="3F6DF6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具体验收流程如下：</w:t>
            </w:r>
          </w:p>
          <w:p w14:paraId="21E1962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（1）中标</w:t>
            </w:r>
            <w:r>
              <w:rPr>
                <w:rFonts w:hint="eastAsia" w:ascii="宋体" w:hAnsi="宋体" w:eastAsia="宋体" w:cs="宋体"/>
                <w:sz w:val="21"/>
                <w:szCs w:val="21"/>
                <w:highlight w:val="none"/>
                <w:lang w:val="en-US" w:eastAsia="zh-CN"/>
              </w:rPr>
              <w:t>人</w:t>
            </w:r>
            <w:r>
              <w:rPr>
                <w:rFonts w:hint="eastAsia" w:ascii="宋体" w:hAnsi="宋体" w:eastAsia="宋体" w:cs="宋体"/>
                <w:color w:val="000000"/>
                <w:kern w:val="0"/>
                <w:sz w:val="21"/>
                <w:szCs w:val="21"/>
                <w:highlight w:val="none"/>
                <w:lang w:val="en-US" w:eastAsia="zh-CN"/>
              </w:rPr>
              <w:t>向采购人书面提出项目验收申请。</w:t>
            </w:r>
          </w:p>
          <w:p w14:paraId="3DC0ABA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（2）中标</w:t>
            </w:r>
            <w:r>
              <w:rPr>
                <w:rFonts w:hint="eastAsia" w:ascii="宋体" w:hAnsi="宋体" w:eastAsia="宋体" w:cs="宋体"/>
                <w:sz w:val="21"/>
                <w:szCs w:val="21"/>
                <w:highlight w:val="none"/>
                <w:lang w:val="en-US" w:eastAsia="zh-CN"/>
              </w:rPr>
              <w:t>人</w:t>
            </w:r>
            <w:r>
              <w:rPr>
                <w:rFonts w:hint="eastAsia" w:ascii="宋体" w:hAnsi="宋体" w:eastAsia="宋体" w:cs="宋体"/>
                <w:color w:val="000000"/>
                <w:kern w:val="0"/>
                <w:sz w:val="21"/>
                <w:szCs w:val="21"/>
                <w:highlight w:val="none"/>
                <w:lang w:val="en-US" w:eastAsia="zh-CN"/>
              </w:rPr>
              <w:t>整理提交项目验收相关的管理和技术文档，由采购人进行初步审核，并根据采购人要求进行修正直至审核通过。</w:t>
            </w:r>
          </w:p>
          <w:p w14:paraId="6AF998A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（3）采购人成立验收小组，召开项目验收评审会议，根据项目验收内容及相关要求，对中标</w:t>
            </w:r>
            <w:r>
              <w:rPr>
                <w:rFonts w:hint="eastAsia" w:ascii="宋体" w:hAnsi="宋体" w:eastAsia="宋体" w:cs="宋体"/>
                <w:sz w:val="21"/>
                <w:szCs w:val="21"/>
                <w:highlight w:val="none"/>
                <w:lang w:val="en-US" w:eastAsia="zh-CN"/>
              </w:rPr>
              <w:t>人</w:t>
            </w:r>
            <w:r>
              <w:rPr>
                <w:rFonts w:hint="eastAsia" w:ascii="宋体" w:hAnsi="宋体" w:eastAsia="宋体" w:cs="宋体"/>
                <w:color w:val="000000"/>
                <w:kern w:val="0"/>
                <w:sz w:val="21"/>
                <w:szCs w:val="21"/>
                <w:highlight w:val="none"/>
                <w:lang w:val="en-US" w:eastAsia="zh-CN"/>
              </w:rPr>
              <w:t>提交的项目过程文档进行验收评审。</w:t>
            </w:r>
          </w:p>
          <w:p w14:paraId="7B5E8B4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（4）验收评审通过后，由验收小组出具项目验收意见。</w:t>
            </w:r>
          </w:p>
          <w:p w14:paraId="43A3CC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（5）项目验收结束后，中标</w:t>
            </w:r>
            <w:r>
              <w:rPr>
                <w:rFonts w:hint="eastAsia" w:ascii="宋体" w:hAnsi="宋体" w:eastAsia="宋体" w:cs="宋体"/>
                <w:sz w:val="21"/>
                <w:szCs w:val="21"/>
                <w:highlight w:val="none"/>
                <w:lang w:val="en-US" w:eastAsia="zh-CN"/>
              </w:rPr>
              <w:t>人</w:t>
            </w:r>
            <w:r>
              <w:rPr>
                <w:rFonts w:hint="eastAsia" w:ascii="宋体" w:hAnsi="宋体" w:eastAsia="宋体" w:cs="宋体"/>
                <w:color w:val="000000"/>
                <w:kern w:val="0"/>
                <w:sz w:val="21"/>
                <w:szCs w:val="21"/>
                <w:highlight w:val="none"/>
                <w:lang w:val="en-US" w:eastAsia="zh-CN"/>
              </w:rPr>
              <w:t>配合采购人按照档案管理要求进行资料归档。</w:t>
            </w:r>
          </w:p>
        </w:tc>
        <w:tc>
          <w:tcPr>
            <w:tcW w:w="1022" w:type="dxa"/>
            <w:vAlign w:val="center"/>
          </w:tcPr>
          <w:p w14:paraId="12F723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036849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bl>
    <w:p w14:paraId="3FD17FF2">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 xml:space="preserve">  </w:t>
      </w:r>
    </w:p>
    <w:p w14:paraId="1094174F">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2"/>
          <w:sz w:val="21"/>
          <w:szCs w:val="21"/>
          <w:highlight w:val="none"/>
          <w:lang w:val="zh-CN" w:eastAsia="zh-CN" w:bidi="ar-SA"/>
        </w:rPr>
      </w:pPr>
      <w:r>
        <w:rPr>
          <w:rFonts w:hint="eastAsia" w:ascii="宋体" w:hAnsi="宋体" w:eastAsia="宋体" w:cs="宋体"/>
          <w:b/>
          <w:kern w:val="2"/>
          <w:sz w:val="21"/>
          <w:szCs w:val="21"/>
          <w:highlight w:val="none"/>
          <w:lang w:val="en-US" w:eastAsia="zh-CN" w:bidi="ar-SA"/>
        </w:rPr>
        <w:t xml:space="preserve">4.11 </w:t>
      </w:r>
      <w:r>
        <w:rPr>
          <w:rFonts w:hint="eastAsia" w:ascii="宋体" w:hAnsi="宋体" w:eastAsia="宋体" w:cs="宋体"/>
          <w:b/>
          <w:kern w:val="2"/>
          <w:sz w:val="21"/>
          <w:szCs w:val="21"/>
          <w:highlight w:val="none"/>
          <w:lang w:val="zh-CN" w:eastAsia="zh-CN" w:bidi="ar-SA"/>
        </w:rPr>
        <w:t>考核办法</w:t>
      </w:r>
    </w:p>
    <w:p w14:paraId="33980D3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kern w:val="2"/>
          <w:sz w:val="21"/>
          <w:szCs w:val="21"/>
          <w:highlight w:val="none"/>
          <w:lang w:val="en-US" w:eastAsia="zh-CN" w:bidi="ar-SA"/>
        </w:rPr>
        <w:t>为加强对</w:t>
      </w:r>
      <w:r>
        <w:rPr>
          <w:rFonts w:hint="eastAsia" w:ascii="宋体" w:hAnsi="宋体" w:cs="宋体"/>
          <w:b w:val="0"/>
          <w:bCs/>
          <w:kern w:val="2"/>
          <w:sz w:val="21"/>
          <w:szCs w:val="21"/>
          <w:highlight w:val="none"/>
          <w:lang w:val="en-US" w:eastAsia="zh-CN" w:bidi="ar-SA"/>
        </w:rPr>
        <w:t>中标人</w:t>
      </w:r>
      <w:r>
        <w:rPr>
          <w:rFonts w:hint="eastAsia" w:ascii="宋体" w:hAnsi="宋体" w:eastAsia="宋体" w:cs="宋体"/>
          <w:b w:val="0"/>
          <w:bCs/>
          <w:kern w:val="2"/>
          <w:sz w:val="21"/>
          <w:szCs w:val="21"/>
          <w:highlight w:val="none"/>
          <w:lang w:val="en-US" w:eastAsia="zh-CN" w:bidi="ar-SA"/>
        </w:rPr>
        <w:t>提供的数据中心运行维护服务质量的监管，切实提高数据中心的运行维护质效，参照国家税务总局运维服务考核的相关规定，结合湖南省局信息中心运行维护工作实际情况，制定本考核方案。</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97"/>
        <w:gridCol w:w="4847"/>
        <w:gridCol w:w="1022"/>
        <w:gridCol w:w="1189"/>
      </w:tblGrid>
      <w:tr w14:paraId="67A4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1A7C2F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97" w:type="dxa"/>
            <w:vAlign w:val="center"/>
          </w:tcPr>
          <w:p w14:paraId="12D627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847" w:type="dxa"/>
            <w:vAlign w:val="center"/>
          </w:tcPr>
          <w:p w14:paraId="4C12C4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022" w:type="dxa"/>
            <w:vAlign w:val="center"/>
          </w:tcPr>
          <w:p w14:paraId="24895F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1FE4BC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292C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66906A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Align w:val="center"/>
          </w:tcPr>
          <w:p w14:paraId="79ED0C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考核原则</w:t>
            </w:r>
          </w:p>
        </w:tc>
        <w:tc>
          <w:tcPr>
            <w:tcW w:w="4847" w:type="dxa"/>
            <w:vAlign w:val="center"/>
          </w:tcPr>
          <w:p w14:paraId="7D762EDD">
            <w:pPr>
              <w:widowControl w:val="0"/>
              <w:numPr>
                <w:ilvl w:val="0"/>
                <w:numId w:val="0"/>
              </w:numPr>
              <w:spacing w:line="400" w:lineRule="exact"/>
              <w:contextualSpacing/>
              <w:rPr>
                <w:rFonts w:hint="eastAsia" w:ascii="宋体" w:hAnsi="宋体" w:eastAsia="宋体" w:cs="宋体"/>
                <w:kern w:val="0"/>
                <w:sz w:val="21"/>
                <w:szCs w:val="21"/>
                <w:highlight w:val="none"/>
                <w:lang w:eastAsia="zh-CN"/>
              </w:rPr>
            </w:pPr>
            <w:r>
              <w:rPr>
                <w:rFonts w:hint="eastAsia" w:ascii="宋体" w:hAnsi="宋体" w:eastAsia="宋体" w:cs="宋体"/>
                <w:sz w:val="21"/>
                <w:szCs w:val="21"/>
                <w:highlight w:val="none"/>
              </w:rPr>
              <w:t>客观公正、科学规范、注重实效、定性与定量相结合的考核原则。</w:t>
            </w:r>
          </w:p>
        </w:tc>
        <w:tc>
          <w:tcPr>
            <w:tcW w:w="1022" w:type="dxa"/>
            <w:vAlign w:val="center"/>
          </w:tcPr>
          <w:p w14:paraId="519FD7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66D2C1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5F11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14:paraId="16C054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97" w:type="dxa"/>
            <w:vAlign w:val="center"/>
          </w:tcPr>
          <w:p w14:paraId="69D8FB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考核时间</w:t>
            </w:r>
          </w:p>
        </w:tc>
        <w:tc>
          <w:tcPr>
            <w:tcW w:w="4847" w:type="dxa"/>
            <w:vAlign w:val="center"/>
          </w:tcPr>
          <w:p w14:paraId="5988CF7F">
            <w:pPr>
              <w:widowControl w:val="0"/>
              <w:spacing w:line="400" w:lineRule="exact"/>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每一个月进行一次考核评价，是验收依据之一。</w:t>
            </w:r>
          </w:p>
        </w:tc>
        <w:tc>
          <w:tcPr>
            <w:tcW w:w="1022" w:type="dxa"/>
            <w:vAlign w:val="center"/>
          </w:tcPr>
          <w:p w14:paraId="5B3414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6F9202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r w14:paraId="3047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923" w:type="dxa"/>
            <w:vAlign w:val="center"/>
          </w:tcPr>
          <w:p w14:paraId="021972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97" w:type="dxa"/>
            <w:vAlign w:val="center"/>
          </w:tcPr>
          <w:p w14:paraId="428556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考核内容</w:t>
            </w:r>
          </w:p>
        </w:tc>
        <w:tc>
          <w:tcPr>
            <w:tcW w:w="4847" w:type="dxa"/>
            <w:vAlign w:val="center"/>
          </w:tcPr>
          <w:p w14:paraId="5B755F38">
            <w:pPr>
              <w:widowControl/>
              <w:spacing w:line="400" w:lineRule="exact"/>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从运维服务符合性、是否有违反禁止性条款、运维服务质量、重大运维失误、日常管理五个方面进行考核，服务期考核总分100分，服务期满按考核结果进行扣款，考核结果90分以上不扣款，低于90分，每低0.5分扣除合同金额0.5%。考核结果低于60分，验收不合格。五个方面的考核内容详见清单。采购人负责解释本考核办法。</w:t>
            </w:r>
          </w:p>
        </w:tc>
        <w:tc>
          <w:tcPr>
            <w:tcW w:w="1022" w:type="dxa"/>
            <w:vAlign w:val="center"/>
          </w:tcPr>
          <w:p w14:paraId="04BB0B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1189" w:type="dxa"/>
            <w:vAlign w:val="center"/>
          </w:tcPr>
          <w:p w14:paraId="5B95F6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否</w:t>
            </w:r>
          </w:p>
        </w:tc>
      </w:tr>
    </w:tbl>
    <w:p w14:paraId="3CFF868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1"/>
          <w:szCs w:val="21"/>
          <w:highlight w:val="none"/>
          <w:lang w:val="en-US" w:eastAsia="zh-CN" w:bidi="ar-SA"/>
        </w:rPr>
      </w:pPr>
    </w:p>
    <w:p w14:paraId="747A7A6B">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4.11.1运维服务符合性考核</w:t>
      </w:r>
    </w:p>
    <w:tbl>
      <w:tblPr>
        <w:tblStyle w:val="25"/>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4826"/>
        <w:gridCol w:w="3617"/>
      </w:tblGrid>
      <w:tr w14:paraId="0629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019C2E00">
            <w:pPr>
              <w:widowControl w:val="0"/>
              <w:spacing w:line="400" w:lineRule="exact"/>
              <w:contextualSpacing/>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kern w:val="2"/>
                <w:sz w:val="21"/>
                <w:szCs w:val="21"/>
                <w:highlight w:val="none"/>
                <w:vertAlign w:val="baseline"/>
                <w:lang w:val="en-US" w:eastAsia="zh-CN" w:bidi="ar-SA"/>
              </w:rPr>
              <w:t>序号</w:t>
            </w:r>
          </w:p>
        </w:tc>
        <w:tc>
          <w:tcPr>
            <w:tcW w:w="4826" w:type="dxa"/>
          </w:tcPr>
          <w:p w14:paraId="610EB88D">
            <w:pPr>
              <w:widowControl w:val="0"/>
              <w:spacing w:line="400" w:lineRule="exact"/>
              <w:contextualSpacing/>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kern w:val="2"/>
                <w:sz w:val="21"/>
                <w:szCs w:val="21"/>
                <w:highlight w:val="none"/>
                <w:lang w:val="en-US" w:eastAsia="zh-CN" w:bidi="ar-SA"/>
              </w:rPr>
              <w:t>考核具体内容</w:t>
            </w:r>
          </w:p>
        </w:tc>
        <w:tc>
          <w:tcPr>
            <w:tcW w:w="3617" w:type="dxa"/>
          </w:tcPr>
          <w:p w14:paraId="55A284D9">
            <w:pPr>
              <w:widowControl w:val="0"/>
              <w:spacing w:line="400" w:lineRule="exact"/>
              <w:contextualSpacing/>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kern w:val="2"/>
                <w:sz w:val="21"/>
                <w:szCs w:val="21"/>
                <w:highlight w:val="none"/>
                <w:lang w:val="en-US" w:eastAsia="zh-CN" w:bidi="ar-SA"/>
              </w:rPr>
              <w:t>扣分标准</w:t>
            </w:r>
          </w:p>
        </w:tc>
      </w:tr>
      <w:tr w14:paraId="5F24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14:paraId="471736DF">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w:t>
            </w:r>
          </w:p>
        </w:tc>
        <w:tc>
          <w:tcPr>
            <w:tcW w:w="4826" w:type="dxa"/>
            <w:vAlign w:val="center"/>
          </w:tcPr>
          <w:p w14:paraId="2A00CA04">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运维人员数量符合性要求</w:t>
            </w:r>
          </w:p>
        </w:tc>
        <w:tc>
          <w:tcPr>
            <w:tcW w:w="3617" w:type="dxa"/>
            <w:vAlign w:val="center"/>
          </w:tcPr>
          <w:p w14:paraId="33F0B522">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lang w:val="en-US" w:eastAsia="zh-CN" w:bidi="ar-SA"/>
              </w:rPr>
              <w:t>未按合同要求配备相应数量的运维人员，缺少一人扣0.5分/天</w:t>
            </w:r>
          </w:p>
        </w:tc>
      </w:tr>
      <w:tr w14:paraId="42C4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14:paraId="0DF11D97">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2</w:t>
            </w:r>
          </w:p>
        </w:tc>
        <w:tc>
          <w:tcPr>
            <w:tcW w:w="4826" w:type="dxa"/>
            <w:vAlign w:val="center"/>
          </w:tcPr>
          <w:p w14:paraId="02FE14E3">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运维人员质量符合性要求</w:t>
            </w:r>
          </w:p>
        </w:tc>
        <w:tc>
          <w:tcPr>
            <w:tcW w:w="3617" w:type="dxa"/>
            <w:vAlign w:val="center"/>
          </w:tcPr>
          <w:p w14:paraId="3ECDFB16">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lang w:val="en-US" w:eastAsia="zh-CN" w:bidi="ar-SA"/>
              </w:rPr>
              <w:t>未按合同要求配备具有相应资质的运维人员，缺少一人扣0.5分/天</w:t>
            </w:r>
          </w:p>
        </w:tc>
      </w:tr>
      <w:tr w14:paraId="53FC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14:paraId="14B04AF5">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3</w:t>
            </w:r>
          </w:p>
        </w:tc>
        <w:tc>
          <w:tcPr>
            <w:tcW w:w="4826" w:type="dxa"/>
            <w:vAlign w:val="center"/>
          </w:tcPr>
          <w:p w14:paraId="777EC6E1">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机房出入管理符合性要求</w:t>
            </w:r>
          </w:p>
        </w:tc>
        <w:tc>
          <w:tcPr>
            <w:tcW w:w="3617" w:type="dxa"/>
            <w:vAlign w:val="center"/>
          </w:tcPr>
          <w:p w14:paraId="164BBDFD">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未按</w:t>
            </w:r>
            <w:r>
              <w:rPr>
                <w:rFonts w:hint="eastAsia" w:ascii="宋体" w:hAnsi="宋体" w:eastAsia="宋体" w:cs="宋体"/>
                <w:kern w:val="2"/>
                <w:sz w:val="21"/>
                <w:szCs w:val="21"/>
                <w:highlight w:val="none"/>
                <w:lang w:val="en-US" w:eastAsia="zh-CN" w:bidi="ar-SA"/>
              </w:rPr>
              <w:t>合同要求提供人员、设备、仓库、行为四项服务的，每项扣0.1分</w:t>
            </w:r>
          </w:p>
        </w:tc>
      </w:tr>
      <w:tr w14:paraId="663C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14:paraId="63F34E4F">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4</w:t>
            </w:r>
          </w:p>
        </w:tc>
        <w:tc>
          <w:tcPr>
            <w:tcW w:w="4826" w:type="dxa"/>
            <w:vAlign w:val="center"/>
          </w:tcPr>
          <w:p w14:paraId="672054F6">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值班值守符合性要求</w:t>
            </w:r>
          </w:p>
        </w:tc>
        <w:tc>
          <w:tcPr>
            <w:tcW w:w="3617" w:type="dxa"/>
            <w:vAlign w:val="center"/>
          </w:tcPr>
          <w:p w14:paraId="712DAD4A">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未按</w:t>
            </w:r>
            <w:r>
              <w:rPr>
                <w:rFonts w:hint="eastAsia" w:ascii="宋体" w:hAnsi="宋体" w:eastAsia="宋体" w:cs="宋体"/>
                <w:kern w:val="2"/>
                <w:sz w:val="21"/>
                <w:szCs w:val="21"/>
                <w:highlight w:val="none"/>
                <w:lang w:val="en-US" w:eastAsia="zh-CN" w:bidi="ar-SA"/>
              </w:rPr>
              <w:t>合同要求安排人员的，每次扣0.5分</w:t>
            </w:r>
          </w:p>
        </w:tc>
      </w:tr>
      <w:tr w14:paraId="65CD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14:paraId="13007F8F">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5</w:t>
            </w:r>
          </w:p>
        </w:tc>
        <w:tc>
          <w:tcPr>
            <w:tcW w:w="4826" w:type="dxa"/>
            <w:vAlign w:val="center"/>
          </w:tcPr>
          <w:p w14:paraId="2D383D47">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监控巡检符合性要求</w:t>
            </w:r>
          </w:p>
        </w:tc>
        <w:tc>
          <w:tcPr>
            <w:tcW w:w="3617" w:type="dxa"/>
            <w:vAlign w:val="center"/>
          </w:tcPr>
          <w:p w14:paraId="07BB8406">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lang w:val="en-US" w:eastAsia="zh-CN" w:bidi="ar-SA"/>
              </w:rPr>
              <w:t>每个机房每日巡检次数低于6次的，每少一次扣0.1分</w:t>
            </w:r>
          </w:p>
        </w:tc>
      </w:tr>
      <w:tr w14:paraId="1B5D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14:paraId="5735D223">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6</w:t>
            </w:r>
          </w:p>
        </w:tc>
        <w:tc>
          <w:tcPr>
            <w:tcW w:w="4826" w:type="dxa"/>
            <w:vAlign w:val="center"/>
          </w:tcPr>
          <w:p w14:paraId="26D88EB8">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故障管理服务要求</w:t>
            </w:r>
          </w:p>
        </w:tc>
        <w:tc>
          <w:tcPr>
            <w:tcW w:w="3617" w:type="dxa"/>
            <w:vAlign w:val="center"/>
          </w:tcPr>
          <w:p w14:paraId="586C8667">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故障处置完毕1天内未提交故障记录报告的，每次扣0.1分</w:t>
            </w:r>
          </w:p>
        </w:tc>
      </w:tr>
      <w:tr w14:paraId="636E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14:paraId="64F82610">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7</w:t>
            </w:r>
          </w:p>
        </w:tc>
        <w:tc>
          <w:tcPr>
            <w:tcW w:w="4826" w:type="dxa"/>
            <w:vAlign w:val="center"/>
          </w:tcPr>
          <w:p w14:paraId="1294357E">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lang w:val="en-US" w:eastAsia="zh-CN" w:bidi="ar-SA"/>
              </w:rPr>
              <w:t>健康检查与维护保养服务符合性要求</w:t>
            </w:r>
          </w:p>
        </w:tc>
        <w:tc>
          <w:tcPr>
            <w:tcW w:w="3617" w:type="dxa"/>
            <w:vAlign w:val="center"/>
          </w:tcPr>
          <w:p w14:paraId="32181EA7">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未按分项服务内容条款，开展健康检查和维护保养并提交报告的，每缺失一项扣0.1分</w:t>
            </w:r>
          </w:p>
        </w:tc>
      </w:tr>
      <w:tr w14:paraId="5C68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Align w:val="center"/>
          </w:tcPr>
          <w:p w14:paraId="586DC5F4">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8</w:t>
            </w:r>
          </w:p>
        </w:tc>
        <w:tc>
          <w:tcPr>
            <w:tcW w:w="4826" w:type="dxa"/>
            <w:vAlign w:val="center"/>
          </w:tcPr>
          <w:p w14:paraId="7E051AD4">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数据备份和恢复服务符合性要求</w:t>
            </w:r>
          </w:p>
        </w:tc>
        <w:tc>
          <w:tcPr>
            <w:tcW w:w="3617" w:type="dxa"/>
            <w:vAlign w:val="center"/>
          </w:tcPr>
          <w:p w14:paraId="67608A23">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lang w:val="en-US" w:eastAsia="zh-CN" w:bidi="ar-SA"/>
              </w:rPr>
              <w:t>未开展搭建恢复环境、实施恢复操作、配合验证恢复结果的，每缺一项扣0.1分</w:t>
            </w:r>
          </w:p>
        </w:tc>
      </w:tr>
      <w:tr w14:paraId="7446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142690CE">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9</w:t>
            </w:r>
          </w:p>
        </w:tc>
        <w:tc>
          <w:tcPr>
            <w:tcW w:w="4826" w:type="dxa"/>
          </w:tcPr>
          <w:p w14:paraId="7F1C9EA2">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lang w:val="en-US" w:eastAsia="zh-CN" w:bidi="ar-SA"/>
              </w:rPr>
              <w:t>国产化替代及适配服务</w:t>
            </w:r>
            <w:r>
              <w:rPr>
                <w:rFonts w:hint="eastAsia" w:ascii="宋体" w:hAnsi="宋体" w:eastAsia="宋体" w:cs="宋体"/>
                <w:kern w:val="2"/>
                <w:sz w:val="21"/>
                <w:szCs w:val="21"/>
                <w:highlight w:val="none"/>
                <w:vertAlign w:val="baseline"/>
                <w:lang w:val="en-US" w:eastAsia="zh-CN" w:bidi="ar-SA"/>
              </w:rPr>
              <w:t>符合性要求</w:t>
            </w:r>
          </w:p>
        </w:tc>
        <w:tc>
          <w:tcPr>
            <w:tcW w:w="3617" w:type="dxa"/>
          </w:tcPr>
          <w:p w14:paraId="708C696B">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lang w:val="en-US" w:eastAsia="zh-CN" w:bidi="ar-SA"/>
              </w:rPr>
              <w:t>未提供服务器和操作系统的替代适配方案、提供硬件服务器及操作系统的替代适配测试的，每缺一项扣0.1分</w:t>
            </w:r>
          </w:p>
        </w:tc>
      </w:tr>
      <w:tr w14:paraId="54CC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503F9A8C">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10</w:t>
            </w:r>
          </w:p>
        </w:tc>
        <w:tc>
          <w:tcPr>
            <w:tcW w:w="4826" w:type="dxa"/>
          </w:tcPr>
          <w:p w14:paraId="10B46BB6">
            <w:pPr>
              <w:widowControl w:val="0"/>
              <w:spacing w:line="400" w:lineRule="exact"/>
              <w:contextualSpacing/>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培训服务符合性要求</w:t>
            </w:r>
          </w:p>
        </w:tc>
        <w:tc>
          <w:tcPr>
            <w:tcW w:w="3617" w:type="dxa"/>
          </w:tcPr>
          <w:p w14:paraId="06736988">
            <w:pPr>
              <w:widowControl w:val="0"/>
              <w:spacing w:line="400" w:lineRule="exact"/>
              <w:contextualSpacing/>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未每季度提供一次现场培训的，每少一次扣0.1分</w:t>
            </w:r>
          </w:p>
        </w:tc>
      </w:tr>
      <w:tr w14:paraId="1210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3CF4C15B">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11</w:t>
            </w:r>
          </w:p>
        </w:tc>
        <w:tc>
          <w:tcPr>
            <w:tcW w:w="4826" w:type="dxa"/>
          </w:tcPr>
          <w:p w14:paraId="22EB8417">
            <w:pPr>
              <w:widowControl w:val="0"/>
              <w:spacing w:line="400" w:lineRule="exact"/>
              <w:contextualSpacing/>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日常运维任务符合性要求</w:t>
            </w:r>
          </w:p>
        </w:tc>
        <w:tc>
          <w:tcPr>
            <w:tcW w:w="3617" w:type="dxa"/>
            <w:vAlign w:val="center"/>
          </w:tcPr>
          <w:p w14:paraId="4B659057">
            <w:pPr>
              <w:widowControl w:val="0"/>
              <w:spacing w:line="400" w:lineRule="exact"/>
              <w:contextualSpacing/>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vertAlign w:val="baseline"/>
                <w:lang w:val="en-US" w:eastAsia="zh-CN" w:bidi="ar-SA"/>
              </w:rPr>
              <w:t>未按总局文件要求，完成8类日常运维任务，每缺少一项，扣1分</w:t>
            </w:r>
          </w:p>
        </w:tc>
      </w:tr>
    </w:tbl>
    <w:p w14:paraId="5982B9D6">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2"/>
          <w:sz w:val="21"/>
          <w:szCs w:val="21"/>
          <w:highlight w:val="none"/>
          <w:lang w:val="en-US" w:eastAsia="zh-CN" w:bidi="ar-SA"/>
        </w:rPr>
      </w:pPr>
    </w:p>
    <w:p w14:paraId="447675D8">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4.11.2 禁止性条款</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4348"/>
        <w:gridCol w:w="3250"/>
      </w:tblGrid>
      <w:tr w14:paraId="7B29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4CD6903E">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序号</w:t>
            </w:r>
          </w:p>
        </w:tc>
        <w:tc>
          <w:tcPr>
            <w:tcW w:w="4348" w:type="dxa"/>
            <w:vAlign w:val="center"/>
          </w:tcPr>
          <w:p w14:paraId="51F92FCE">
            <w:pPr>
              <w:widowControl w:val="0"/>
              <w:spacing w:line="400" w:lineRule="exact"/>
              <w:contextualSpacing/>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kern w:val="2"/>
                <w:sz w:val="21"/>
                <w:szCs w:val="21"/>
                <w:highlight w:val="none"/>
                <w:lang w:val="en-US" w:eastAsia="zh-CN" w:bidi="ar-SA"/>
              </w:rPr>
              <w:t>考核具体内容</w:t>
            </w:r>
          </w:p>
        </w:tc>
        <w:tc>
          <w:tcPr>
            <w:tcW w:w="3250" w:type="dxa"/>
            <w:vAlign w:val="center"/>
          </w:tcPr>
          <w:p w14:paraId="56F48E51">
            <w:pPr>
              <w:widowControl w:val="0"/>
              <w:spacing w:line="400" w:lineRule="exact"/>
              <w:contextualSpacing/>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kern w:val="2"/>
                <w:sz w:val="21"/>
                <w:szCs w:val="21"/>
                <w:highlight w:val="none"/>
                <w:lang w:val="en-US" w:eastAsia="zh-CN" w:bidi="ar-SA"/>
              </w:rPr>
              <w:t>扣分标准</w:t>
            </w:r>
          </w:p>
        </w:tc>
      </w:tr>
      <w:tr w14:paraId="62EE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4C918161">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w:t>
            </w:r>
          </w:p>
        </w:tc>
        <w:tc>
          <w:tcPr>
            <w:tcW w:w="4348" w:type="dxa"/>
            <w:vAlign w:val="center"/>
          </w:tcPr>
          <w:p w14:paraId="37A27309">
            <w:pPr>
              <w:widowControl/>
              <w:spacing w:line="400" w:lineRule="exact"/>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应按照采购人要求做好项目安全管理。不得违反采购需求“</w:t>
            </w:r>
            <w:r>
              <w:rPr>
                <w:rFonts w:hint="eastAsia" w:ascii="宋体" w:hAnsi="宋体" w:eastAsia="宋体" w:cs="宋体"/>
                <w:sz w:val="21"/>
                <w:szCs w:val="21"/>
                <w:highlight w:val="none"/>
                <w:lang w:val="en-US" w:eastAsia="zh-CN"/>
              </w:rPr>
              <w:t xml:space="preserve">4.7 </w:t>
            </w:r>
            <w:r>
              <w:rPr>
                <w:rFonts w:hint="eastAsia" w:ascii="宋体" w:hAnsi="宋体" w:eastAsia="宋体" w:cs="宋体"/>
                <w:sz w:val="21"/>
                <w:szCs w:val="21"/>
                <w:highlight w:val="none"/>
              </w:rPr>
              <w:t>项目安全管理要求”中（1）-（8）项内容。</w:t>
            </w:r>
          </w:p>
        </w:tc>
        <w:tc>
          <w:tcPr>
            <w:tcW w:w="3250" w:type="dxa"/>
            <w:vAlign w:val="center"/>
          </w:tcPr>
          <w:p w14:paraId="2F4612D9">
            <w:pPr>
              <w:widowControl/>
              <w:spacing w:line="400" w:lineRule="exact"/>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每违反1项次，按项次扣1分，拒不整改的，有权终止合作，由此产生的损失由</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承担。</w:t>
            </w:r>
          </w:p>
        </w:tc>
      </w:tr>
      <w:tr w14:paraId="6FC7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14:paraId="3544C8BB">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2</w:t>
            </w:r>
          </w:p>
        </w:tc>
        <w:tc>
          <w:tcPr>
            <w:tcW w:w="4348" w:type="dxa"/>
            <w:vAlign w:val="center"/>
          </w:tcPr>
          <w:p w14:paraId="26C1BCAC">
            <w:pPr>
              <w:widowControl/>
              <w:spacing w:line="400" w:lineRule="exact"/>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本项目运维人员应遵守采购人安全管理要求，不得违反采购需求“</w:t>
            </w:r>
            <w:r>
              <w:rPr>
                <w:rFonts w:hint="eastAsia" w:ascii="宋体" w:hAnsi="宋体" w:eastAsia="宋体" w:cs="宋体"/>
                <w:sz w:val="21"/>
                <w:szCs w:val="21"/>
                <w:highlight w:val="none"/>
                <w:lang w:val="en-US" w:eastAsia="zh-CN"/>
              </w:rPr>
              <w:t xml:space="preserve">4.7 </w:t>
            </w:r>
            <w:r>
              <w:rPr>
                <w:rFonts w:hint="eastAsia" w:ascii="宋体" w:hAnsi="宋体" w:eastAsia="宋体" w:cs="宋体"/>
                <w:sz w:val="21"/>
                <w:szCs w:val="21"/>
                <w:highlight w:val="none"/>
              </w:rPr>
              <w:t>项目安全管理要求”中（9）-（16）项内容。</w:t>
            </w:r>
          </w:p>
        </w:tc>
        <w:tc>
          <w:tcPr>
            <w:tcW w:w="3250" w:type="dxa"/>
            <w:vAlign w:val="center"/>
          </w:tcPr>
          <w:p w14:paraId="3B8F1ED2">
            <w:pPr>
              <w:widowControl/>
              <w:spacing w:line="400" w:lineRule="exact"/>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每违反1项次，按项次扣1分，拒不整改的，有权要求更换运维人员，由此产生的损失由</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承担。</w:t>
            </w:r>
          </w:p>
        </w:tc>
      </w:tr>
    </w:tbl>
    <w:p w14:paraId="26394826">
      <w:pPr>
        <w:widowControl w:val="0"/>
        <w:spacing w:line="400" w:lineRule="exact"/>
        <w:ind w:firstLine="422" w:firstLineChars="200"/>
        <w:contextualSpacing/>
        <w:jc w:val="both"/>
        <w:rPr>
          <w:rFonts w:hint="eastAsia" w:ascii="宋体" w:hAnsi="宋体" w:eastAsia="宋体" w:cs="宋体"/>
          <w:b/>
          <w:kern w:val="2"/>
          <w:sz w:val="21"/>
          <w:szCs w:val="21"/>
          <w:highlight w:val="none"/>
          <w:lang w:val="en-US" w:eastAsia="zh-CN" w:bidi="ar-SA"/>
        </w:rPr>
      </w:pPr>
    </w:p>
    <w:p w14:paraId="5E965D43">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4.11.3运维服务质量考核</w:t>
      </w:r>
    </w:p>
    <w:tbl>
      <w:tblPr>
        <w:tblStyle w:val="24"/>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4826"/>
        <w:gridCol w:w="3619"/>
      </w:tblGrid>
      <w:tr w14:paraId="15BE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tcPr>
          <w:p w14:paraId="5C9360D8">
            <w:pPr>
              <w:widowControl w:val="0"/>
              <w:spacing w:line="400" w:lineRule="exact"/>
              <w:contextualSpacing/>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kern w:val="2"/>
                <w:sz w:val="21"/>
                <w:szCs w:val="21"/>
                <w:highlight w:val="none"/>
                <w:vertAlign w:val="baseline"/>
                <w:lang w:val="en-US" w:eastAsia="zh-CN" w:bidi="ar-SA"/>
              </w:rPr>
              <w:t>序号</w:t>
            </w:r>
          </w:p>
        </w:tc>
        <w:tc>
          <w:tcPr>
            <w:tcW w:w="4826" w:type="dxa"/>
          </w:tcPr>
          <w:p w14:paraId="07F4C945">
            <w:pPr>
              <w:widowControl w:val="0"/>
              <w:spacing w:line="400" w:lineRule="exact"/>
              <w:contextualSpacing/>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kern w:val="2"/>
                <w:sz w:val="21"/>
                <w:szCs w:val="21"/>
                <w:highlight w:val="none"/>
                <w:lang w:val="en-US" w:eastAsia="zh-CN" w:bidi="ar-SA"/>
              </w:rPr>
              <w:t>考核具体内容</w:t>
            </w:r>
          </w:p>
        </w:tc>
        <w:tc>
          <w:tcPr>
            <w:tcW w:w="3619" w:type="dxa"/>
          </w:tcPr>
          <w:p w14:paraId="04F86116">
            <w:pPr>
              <w:widowControl w:val="0"/>
              <w:spacing w:line="400" w:lineRule="exact"/>
              <w:contextualSpacing/>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kern w:val="2"/>
                <w:sz w:val="21"/>
                <w:szCs w:val="21"/>
                <w:highlight w:val="none"/>
                <w:lang w:val="en-US" w:eastAsia="zh-CN" w:bidi="ar-SA"/>
              </w:rPr>
              <w:t>扣分标准</w:t>
            </w:r>
          </w:p>
        </w:tc>
      </w:tr>
      <w:tr w14:paraId="42E0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14:paraId="3B23CDE8">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w:t>
            </w:r>
          </w:p>
        </w:tc>
        <w:tc>
          <w:tcPr>
            <w:tcW w:w="4826" w:type="dxa"/>
            <w:vAlign w:val="center"/>
          </w:tcPr>
          <w:p w14:paraId="6C7BEA34">
            <w:pPr>
              <w:widowControl/>
              <w:spacing w:line="400" w:lineRule="exact"/>
              <w:contextualSpacing/>
              <w:jc w:val="center"/>
              <w:textAlignment w:val="center"/>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lang w:val="en-US" w:eastAsia="zh-CN"/>
              </w:rPr>
              <w:t>运维值班人员应7*24小时监控值守</w:t>
            </w:r>
          </w:p>
        </w:tc>
        <w:tc>
          <w:tcPr>
            <w:tcW w:w="3619" w:type="dxa"/>
            <w:vAlign w:val="center"/>
          </w:tcPr>
          <w:p w14:paraId="1736E145">
            <w:pPr>
              <w:widowControl/>
              <w:spacing w:line="400" w:lineRule="exact"/>
              <w:contextualSpacing/>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lang w:val="en-US" w:eastAsia="zh-CN"/>
              </w:rPr>
              <w:t>监控发现</w:t>
            </w:r>
            <w:r>
              <w:rPr>
                <w:rFonts w:hint="eastAsia" w:ascii="宋体" w:hAnsi="宋体" w:eastAsia="宋体" w:cs="宋体"/>
                <w:sz w:val="21"/>
                <w:szCs w:val="21"/>
                <w:highlight w:val="none"/>
              </w:rPr>
              <w:t>机房动环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小型机、服务器、存储</w:t>
            </w:r>
            <w:r>
              <w:rPr>
                <w:rFonts w:hint="eastAsia" w:ascii="宋体" w:hAnsi="宋体" w:eastAsia="宋体" w:cs="宋体"/>
                <w:sz w:val="21"/>
                <w:szCs w:val="21"/>
                <w:highlight w:val="none"/>
              </w:rPr>
              <w:t>设备</w:t>
            </w:r>
            <w:r>
              <w:rPr>
                <w:rFonts w:hint="eastAsia" w:ascii="宋体" w:hAnsi="宋体" w:eastAsia="宋体" w:cs="宋体"/>
                <w:sz w:val="21"/>
                <w:szCs w:val="21"/>
                <w:highlight w:val="none"/>
                <w:lang w:val="en-US" w:eastAsia="zh-CN"/>
              </w:rPr>
              <w:t>出现</w:t>
            </w:r>
            <w:r>
              <w:rPr>
                <w:rFonts w:hint="eastAsia" w:ascii="宋体" w:hAnsi="宋体" w:eastAsia="宋体" w:cs="宋体"/>
                <w:sz w:val="21"/>
                <w:szCs w:val="21"/>
                <w:highlight w:val="none"/>
              </w:rPr>
              <w:t>故障</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未在10分钟内响应的</w:t>
            </w:r>
            <w:r>
              <w:rPr>
                <w:rFonts w:hint="eastAsia" w:ascii="宋体" w:hAnsi="宋体" w:eastAsia="宋体" w:cs="宋体"/>
                <w:sz w:val="21"/>
                <w:szCs w:val="21"/>
                <w:highlight w:val="none"/>
              </w:rPr>
              <w:t>，每出现一次扣</w:t>
            </w:r>
            <w:r>
              <w:rPr>
                <w:rFonts w:hint="eastAsia" w:ascii="宋体" w:hAnsi="宋体" w:eastAsia="宋体" w:cs="宋体"/>
                <w:sz w:val="21"/>
                <w:szCs w:val="21"/>
                <w:highlight w:val="none"/>
                <w:lang w:val="en-US" w:eastAsia="zh-CN"/>
              </w:rPr>
              <w:t>1分</w:t>
            </w:r>
          </w:p>
        </w:tc>
      </w:tr>
      <w:tr w14:paraId="72EF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14:paraId="74DC00F1">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2</w:t>
            </w:r>
          </w:p>
        </w:tc>
        <w:tc>
          <w:tcPr>
            <w:tcW w:w="4826" w:type="dxa"/>
            <w:vAlign w:val="center"/>
          </w:tcPr>
          <w:p w14:paraId="0AFA002B">
            <w:pPr>
              <w:widowControl/>
              <w:spacing w:line="400" w:lineRule="exact"/>
              <w:contextualSpacing/>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运维服务效率要求</w:t>
            </w:r>
          </w:p>
        </w:tc>
        <w:tc>
          <w:tcPr>
            <w:tcW w:w="3619" w:type="dxa"/>
            <w:vAlign w:val="center"/>
          </w:tcPr>
          <w:p w14:paraId="50507825">
            <w:pPr>
              <w:widowControl/>
              <w:spacing w:line="400" w:lineRule="exact"/>
              <w:contextualSpacing/>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未在规定时限内严格按工单要求完成设备配置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未按要求完成工单任务</w:t>
            </w:r>
            <w:r>
              <w:rPr>
                <w:rFonts w:hint="eastAsia" w:ascii="宋体" w:hAnsi="宋体" w:eastAsia="宋体" w:cs="宋体"/>
                <w:sz w:val="21"/>
                <w:szCs w:val="21"/>
                <w:highlight w:val="none"/>
                <w:lang w:eastAsia="zh-CN"/>
              </w:rPr>
              <w:t>、未按时完成故障处置</w:t>
            </w:r>
            <w:r>
              <w:rPr>
                <w:rFonts w:hint="eastAsia" w:ascii="宋体" w:hAnsi="宋体" w:eastAsia="宋体" w:cs="宋体"/>
                <w:sz w:val="21"/>
                <w:szCs w:val="21"/>
                <w:highlight w:val="none"/>
              </w:rPr>
              <w:t>的，每出现一次扣</w:t>
            </w:r>
            <w:r>
              <w:rPr>
                <w:rFonts w:hint="eastAsia" w:ascii="宋体" w:hAnsi="宋体" w:eastAsia="宋体" w:cs="宋体"/>
                <w:sz w:val="21"/>
                <w:szCs w:val="21"/>
                <w:highlight w:val="none"/>
                <w:lang w:val="en-US" w:eastAsia="zh-CN"/>
              </w:rPr>
              <w:t>1分</w:t>
            </w:r>
          </w:p>
        </w:tc>
      </w:tr>
      <w:tr w14:paraId="45C7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14:paraId="012B27E0">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3</w:t>
            </w:r>
          </w:p>
        </w:tc>
        <w:tc>
          <w:tcPr>
            <w:tcW w:w="4826" w:type="dxa"/>
            <w:vAlign w:val="center"/>
          </w:tcPr>
          <w:p w14:paraId="78DD22BA">
            <w:pPr>
              <w:widowControl/>
              <w:spacing w:line="400" w:lineRule="exact"/>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rPr>
              <w:t>对环保路、友谊路、政务云租赁机房等省局</w:t>
            </w:r>
            <w:r>
              <w:rPr>
                <w:rFonts w:hint="eastAsia" w:ascii="宋体" w:hAnsi="宋体" w:eastAsia="宋体" w:cs="宋体"/>
                <w:kern w:val="2"/>
                <w:sz w:val="21"/>
                <w:szCs w:val="21"/>
                <w:highlight w:val="none"/>
                <w:lang w:val="zh-CN"/>
              </w:rPr>
              <w:t>数据中心</w:t>
            </w:r>
            <w:r>
              <w:rPr>
                <w:rFonts w:hint="eastAsia" w:ascii="宋体" w:hAnsi="宋体" w:eastAsia="宋体" w:cs="宋体"/>
                <w:kern w:val="2"/>
                <w:sz w:val="21"/>
                <w:szCs w:val="21"/>
                <w:highlight w:val="none"/>
                <w:lang w:val="en-US" w:eastAsia="zh-CN"/>
              </w:rPr>
              <w:t>的所有物理服务器、小型机、虚拟机、云平台、虚拟化平台、超融合等</w:t>
            </w:r>
            <w:r>
              <w:rPr>
                <w:rFonts w:hint="eastAsia" w:ascii="宋体" w:hAnsi="宋体" w:eastAsia="宋体" w:cs="宋体"/>
                <w:kern w:val="2"/>
                <w:sz w:val="21"/>
                <w:szCs w:val="21"/>
                <w:highlight w:val="none"/>
                <w:lang w:val="zh-CN"/>
              </w:rPr>
              <w:t>基础设施</w:t>
            </w:r>
            <w:r>
              <w:rPr>
                <w:rFonts w:hint="eastAsia" w:ascii="宋体" w:hAnsi="宋体" w:eastAsia="宋体" w:cs="宋体"/>
                <w:kern w:val="2"/>
                <w:sz w:val="21"/>
                <w:szCs w:val="21"/>
                <w:highlight w:val="none"/>
                <w:lang w:val="en-US" w:eastAsia="zh-CN"/>
              </w:rPr>
              <w:t>进行</w:t>
            </w:r>
            <w:r>
              <w:rPr>
                <w:rFonts w:hint="eastAsia" w:ascii="宋体" w:hAnsi="宋体" w:eastAsia="宋体" w:cs="宋体"/>
                <w:kern w:val="2"/>
                <w:sz w:val="21"/>
                <w:szCs w:val="21"/>
                <w:highlight w:val="none"/>
                <w:lang w:val="zh-CN"/>
              </w:rPr>
              <w:t>监控、配置、事件三类数据采集</w:t>
            </w:r>
            <w:r>
              <w:rPr>
                <w:rFonts w:hint="eastAsia" w:ascii="宋体" w:hAnsi="宋体" w:eastAsia="宋体" w:cs="宋体"/>
                <w:kern w:val="2"/>
                <w:sz w:val="21"/>
                <w:szCs w:val="21"/>
                <w:highlight w:val="none"/>
                <w:lang w:val="en-US" w:eastAsia="zh-CN"/>
              </w:rPr>
              <w:t>和</w:t>
            </w:r>
            <w:r>
              <w:rPr>
                <w:rFonts w:hint="eastAsia" w:ascii="宋体" w:hAnsi="宋体" w:eastAsia="宋体" w:cs="宋体"/>
                <w:kern w:val="2"/>
                <w:sz w:val="21"/>
                <w:szCs w:val="21"/>
                <w:highlight w:val="none"/>
                <w:lang w:val="zh-CN"/>
              </w:rPr>
              <w:t>汇总服务要求</w:t>
            </w:r>
          </w:p>
        </w:tc>
        <w:tc>
          <w:tcPr>
            <w:tcW w:w="3619" w:type="dxa"/>
            <w:vAlign w:val="center"/>
          </w:tcPr>
          <w:p w14:paraId="3E7FB386">
            <w:pPr>
              <w:widowControl/>
              <w:spacing w:line="400" w:lineRule="exact"/>
              <w:contextualSpacing/>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未及时配置调整参数、未修改完善采集推送程序等原因导致总局扫描的匹配率和覆盖率达不到100%的，每低一个百分点扣0.5分。</w:t>
            </w:r>
          </w:p>
        </w:tc>
      </w:tr>
      <w:tr w14:paraId="3881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14:paraId="11DDC42E">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4</w:t>
            </w:r>
          </w:p>
        </w:tc>
        <w:tc>
          <w:tcPr>
            <w:tcW w:w="4826" w:type="dxa"/>
            <w:vAlign w:val="center"/>
          </w:tcPr>
          <w:p w14:paraId="322934A0">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lang w:val="en-US" w:eastAsia="zh-CN" w:bidi="ar-SA"/>
              </w:rPr>
              <w:t>运用“</w:t>
            </w:r>
            <w:r>
              <w:rPr>
                <w:rFonts w:hint="eastAsia" w:ascii="宋体" w:hAnsi="宋体" w:eastAsia="宋体" w:cs="宋体"/>
                <w:b w:val="0"/>
                <w:bCs w:val="0"/>
                <w:color w:val="auto"/>
                <w:kern w:val="2"/>
                <w:sz w:val="21"/>
                <w:szCs w:val="21"/>
                <w:highlight w:val="none"/>
                <w:lang w:val="en-US" w:eastAsia="zh-CN" w:bidi="ar-SA"/>
              </w:rPr>
              <w:t>一账式”、“一图管”等</w:t>
            </w:r>
            <w:r>
              <w:rPr>
                <w:rFonts w:hint="eastAsia" w:ascii="宋体" w:hAnsi="宋体" w:eastAsia="宋体" w:cs="宋体"/>
                <w:b w:val="0"/>
                <w:bCs w:val="0"/>
                <w:kern w:val="2"/>
                <w:sz w:val="21"/>
                <w:szCs w:val="21"/>
                <w:highlight w:val="none"/>
                <w:lang w:val="en-US" w:eastAsia="zh-CN" w:bidi="ar-SA"/>
              </w:rPr>
              <w:t>各类工具结合多种方式</w:t>
            </w:r>
            <w:r>
              <w:rPr>
                <w:rFonts w:hint="eastAsia" w:ascii="宋体" w:hAnsi="宋体" w:eastAsia="宋体" w:cs="宋体"/>
                <w:kern w:val="2"/>
                <w:sz w:val="21"/>
                <w:szCs w:val="21"/>
                <w:highlight w:val="none"/>
                <w:lang w:val="en-US" w:eastAsia="zh-CN" w:bidi="ar-SA"/>
              </w:rPr>
              <w:t>完成配置管理、日常运维、常态化运行维护、健康检查、故障管理、重大事项报告、分析报告、文档管理等8大日常运维任务质量要求</w:t>
            </w:r>
          </w:p>
        </w:tc>
        <w:tc>
          <w:tcPr>
            <w:tcW w:w="3619" w:type="dxa"/>
            <w:vAlign w:val="center"/>
          </w:tcPr>
          <w:p w14:paraId="785D3555">
            <w:pPr>
              <w:widowControl w:val="0"/>
              <w:spacing w:line="400" w:lineRule="exact"/>
              <w:contextualSpacing/>
              <w:jc w:val="left"/>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未按总局文件规定，达到成运维任务要求的，每缺少一项，扣1分</w:t>
            </w:r>
          </w:p>
        </w:tc>
      </w:tr>
      <w:tr w14:paraId="2A95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14:paraId="6215B8DB">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5</w:t>
            </w:r>
          </w:p>
        </w:tc>
        <w:tc>
          <w:tcPr>
            <w:tcW w:w="4826" w:type="dxa"/>
            <w:vAlign w:val="center"/>
          </w:tcPr>
          <w:p w14:paraId="19BE3DCC">
            <w:pPr>
              <w:widowControl w:val="0"/>
              <w:spacing w:line="400" w:lineRule="exact"/>
              <w:contextualSpacing/>
              <w:jc w:val="left"/>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文档报告的及时性和质量要求，</w:t>
            </w:r>
            <w:r>
              <w:rPr>
                <w:rFonts w:hint="eastAsia" w:ascii="宋体" w:hAnsi="宋体" w:eastAsia="宋体" w:cs="宋体"/>
                <w:kern w:val="2"/>
                <w:sz w:val="21"/>
                <w:szCs w:val="21"/>
                <w:highlight w:val="none"/>
                <w:lang w:val="en-US" w:eastAsia="zh-CN" w:bidi="ar-SA"/>
              </w:rPr>
              <w:t>按月提交的有：UPS及蓄电池检查保养报告、供配电系统检查保养报告、</w:t>
            </w:r>
            <w:r>
              <w:rPr>
                <w:rFonts w:hint="eastAsia" w:ascii="宋体" w:hAnsi="宋体" w:eastAsia="宋体" w:cs="宋体"/>
                <w:color w:val="auto"/>
                <w:kern w:val="2"/>
                <w:sz w:val="21"/>
                <w:szCs w:val="21"/>
                <w:highlight w:val="none"/>
                <w:lang w:val="en-US" w:eastAsia="zh-CN" w:bidi="ar-SA"/>
              </w:rPr>
              <w:t>机房环境设备检查保养报告、磁带库</w:t>
            </w:r>
            <w:r>
              <w:rPr>
                <w:rFonts w:hint="eastAsia" w:ascii="宋体" w:hAnsi="宋体" w:eastAsia="宋体" w:cs="宋体"/>
                <w:kern w:val="2"/>
                <w:sz w:val="21"/>
                <w:szCs w:val="21"/>
                <w:highlight w:val="none"/>
                <w:lang w:val="zh-CN" w:eastAsia="zh-CN" w:bidi="ar-SA"/>
              </w:rPr>
              <w:t>检查报告、</w:t>
            </w:r>
            <w:r>
              <w:rPr>
                <w:rFonts w:hint="eastAsia" w:ascii="宋体" w:hAnsi="宋体" w:eastAsia="宋体" w:cs="宋体"/>
                <w:kern w:val="2"/>
                <w:sz w:val="21"/>
                <w:szCs w:val="21"/>
                <w:highlight w:val="none"/>
                <w:lang w:val="en-US" w:eastAsia="zh-CN" w:bidi="ar-SA"/>
              </w:rPr>
              <w:t>磁盘阵列及存储虚拟化设备</w:t>
            </w:r>
            <w:r>
              <w:rPr>
                <w:rFonts w:hint="eastAsia" w:ascii="宋体" w:hAnsi="宋体" w:eastAsia="宋体" w:cs="宋体"/>
                <w:kern w:val="2"/>
                <w:sz w:val="21"/>
                <w:szCs w:val="21"/>
                <w:highlight w:val="none"/>
                <w:lang w:val="zh-CN" w:eastAsia="zh-CN" w:bidi="ar-SA"/>
              </w:rPr>
              <w:t>检查报告、主机巡检报告、光纤交换机巡检报告、负载均衡巡检报告、</w:t>
            </w:r>
            <w:r>
              <w:rPr>
                <w:rFonts w:hint="eastAsia" w:ascii="宋体" w:hAnsi="宋体" w:eastAsia="宋体" w:cs="宋体"/>
                <w:kern w:val="2"/>
                <w:sz w:val="21"/>
                <w:szCs w:val="21"/>
                <w:highlight w:val="none"/>
                <w:lang w:val="en-US" w:eastAsia="zh-CN" w:bidi="ar-SA"/>
              </w:rPr>
              <w:t>爱数文档云设备</w:t>
            </w:r>
            <w:r>
              <w:rPr>
                <w:rFonts w:hint="eastAsia" w:ascii="宋体" w:hAnsi="宋体" w:eastAsia="宋体" w:cs="宋体"/>
                <w:kern w:val="2"/>
                <w:sz w:val="21"/>
                <w:szCs w:val="21"/>
                <w:highlight w:val="none"/>
                <w:lang w:val="zh-CN" w:eastAsia="zh-CN" w:bidi="ar-SA"/>
              </w:rPr>
              <w:t>巡检报告</w:t>
            </w:r>
            <w:r>
              <w:rPr>
                <w:rFonts w:hint="eastAsia" w:ascii="宋体" w:hAnsi="宋体" w:eastAsia="宋体" w:cs="宋体"/>
                <w:kern w:val="2"/>
                <w:sz w:val="21"/>
                <w:szCs w:val="21"/>
                <w:highlight w:val="none"/>
                <w:lang w:val="en-US" w:eastAsia="zh-CN" w:bidi="ar-SA"/>
              </w:rPr>
              <w:t>；按季提交的有：空调保养</w:t>
            </w:r>
            <w:r>
              <w:rPr>
                <w:rFonts w:hint="eastAsia" w:ascii="宋体" w:hAnsi="宋体" w:eastAsia="宋体" w:cs="宋体"/>
                <w:kern w:val="2"/>
                <w:sz w:val="21"/>
                <w:szCs w:val="21"/>
                <w:highlight w:val="none"/>
                <w:lang w:val="zh-CN" w:eastAsia="zh-CN" w:bidi="ar-SA"/>
              </w:rPr>
              <w:t>检查报告、新风系统检查报告</w:t>
            </w:r>
            <w:r>
              <w:rPr>
                <w:rFonts w:hint="eastAsia" w:ascii="宋体" w:hAnsi="宋体" w:eastAsia="宋体" w:cs="宋体"/>
                <w:kern w:val="2"/>
                <w:sz w:val="21"/>
                <w:szCs w:val="21"/>
                <w:highlight w:val="none"/>
                <w:lang w:val="en-US" w:eastAsia="zh-CN" w:bidi="ar-SA"/>
              </w:rPr>
              <w:t>；每半年提交的有</w:t>
            </w:r>
            <w:r>
              <w:rPr>
                <w:rFonts w:hint="eastAsia" w:ascii="宋体" w:hAnsi="宋体" w:eastAsia="宋体" w:cs="宋体"/>
                <w:kern w:val="2"/>
                <w:sz w:val="21"/>
                <w:szCs w:val="21"/>
                <w:highlight w:val="none"/>
                <w:lang w:val="zh-CN" w:eastAsia="zh-CN" w:bidi="ar-SA"/>
              </w:rPr>
              <w:t>UPS维护报告；</w:t>
            </w:r>
            <w:r>
              <w:rPr>
                <w:rFonts w:hint="eastAsia" w:ascii="宋体" w:hAnsi="宋体" w:eastAsia="宋体" w:cs="宋体"/>
                <w:kern w:val="2"/>
                <w:sz w:val="21"/>
                <w:szCs w:val="21"/>
                <w:highlight w:val="none"/>
                <w:lang w:val="en-US" w:eastAsia="zh-CN" w:bidi="ar-SA"/>
              </w:rPr>
              <w:t>按次提交的是故障处理报告。</w:t>
            </w:r>
          </w:p>
        </w:tc>
        <w:tc>
          <w:tcPr>
            <w:tcW w:w="3619" w:type="dxa"/>
            <w:vAlign w:val="center"/>
          </w:tcPr>
          <w:p w14:paraId="296BC43D">
            <w:pPr>
              <w:widowControl w:val="0"/>
              <w:spacing w:line="400" w:lineRule="exact"/>
              <w:contextualSpacing/>
              <w:jc w:val="left"/>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lang w:val="en-US" w:eastAsia="zh-CN" w:bidi="ar-SA"/>
              </w:rPr>
              <w:t>未按规定时间提交报告的，每缺失一份扣1分，报告质量不符合要求的，每一份扣0.5分</w:t>
            </w:r>
          </w:p>
        </w:tc>
      </w:tr>
      <w:tr w14:paraId="3660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14:paraId="6EFBEECF">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6</w:t>
            </w:r>
          </w:p>
        </w:tc>
        <w:tc>
          <w:tcPr>
            <w:tcW w:w="4826" w:type="dxa"/>
            <w:vAlign w:val="center"/>
          </w:tcPr>
          <w:p w14:paraId="47CE48B8">
            <w:pPr>
              <w:widowControl w:val="0"/>
              <w:spacing w:line="400" w:lineRule="exact"/>
              <w:contextualSpacing/>
              <w:jc w:val="left"/>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lang w:val="en-US" w:eastAsia="zh-CN" w:bidi="ar-SA"/>
              </w:rPr>
              <w:t>在设备维保期内，需按时完成设备软件版本升级、架构优化等工作，当采购人遇到疑难故障时，必须安排二线工程师现场协助采购人运维人员收集和分析设备相关日志，提出合理、可行的解决方案，并完成故障排查工作。</w:t>
            </w:r>
          </w:p>
        </w:tc>
        <w:tc>
          <w:tcPr>
            <w:tcW w:w="3619" w:type="dxa"/>
            <w:vAlign w:val="center"/>
          </w:tcPr>
          <w:p w14:paraId="23BE97DD">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lang w:val="en-US" w:eastAsia="zh-CN" w:bidi="ar-SA"/>
              </w:rPr>
              <w:t>未按采购人要求及时提供设备版本升级、架构优化等服务的，每次扣0.5分；未按采购人要求不及时响应需求安排二线工程师现场协助排查疑难故障的，每次扣0.5分。</w:t>
            </w:r>
          </w:p>
        </w:tc>
      </w:tr>
      <w:tr w14:paraId="0D5A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14:paraId="1C89DD5D">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7</w:t>
            </w:r>
          </w:p>
        </w:tc>
        <w:tc>
          <w:tcPr>
            <w:tcW w:w="4826" w:type="dxa"/>
            <w:vAlign w:val="center"/>
          </w:tcPr>
          <w:p w14:paraId="7F26447A">
            <w:pPr>
              <w:widowControl/>
              <w:spacing w:line="400" w:lineRule="exact"/>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运维公司应7×24小时确保运维服务电话畅通，运维电话接听采取首接责任制，提供一站式运维服务，不得推诿问题、消极处理。</w:t>
            </w:r>
          </w:p>
        </w:tc>
        <w:tc>
          <w:tcPr>
            <w:tcW w:w="3619" w:type="dxa"/>
            <w:vAlign w:val="center"/>
          </w:tcPr>
          <w:p w14:paraId="38FAD0EF">
            <w:pPr>
              <w:widowControl/>
              <w:spacing w:line="400" w:lineRule="exact"/>
              <w:contextualSpacing/>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采购人因工作事项无法联系到运维人员</w:t>
            </w:r>
            <w:r>
              <w:rPr>
                <w:rFonts w:hint="eastAsia" w:ascii="宋体" w:hAnsi="宋体" w:eastAsia="宋体" w:cs="宋体"/>
                <w:sz w:val="21"/>
                <w:szCs w:val="21"/>
                <w:highlight w:val="none"/>
              </w:rPr>
              <w:t>或者接听电话存在推诿、消极处理情况，每次扣</w:t>
            </w:r>
            <w:r>
              <w:rPr>
                <w:rFonts w:hint="eastAsia" w:ascii="宋体" w:hAnsi="宋体" w:eastAsia="宋体" w:cs="宋体"/>
                <w:sz w:val="21"/>
                <w:szCs w:val="21"/>
                <w:highlight w:val="none"/>
                <w:lang w:val="en-US" w:eastAsia="zh-CN"/>
              </w:rPr>
              <w:t>0.1分</w:t>
            </w:r>
            <w:r>
              <w:rPr>
                <w:rFonts w:hint="eastAsia" w:ascii="宋体" w:hAnsi="宋体" w:eastAsia="宋体" w:cs="宋体"/>
                <w:sz w:val="21"/>
                <w:szCs w:val="21"/>
                <w:highlight w:val="none"/>
              </w:rPr>
              <w:t>。</w:t>
            </w:r>
          </w:p>
        </w:tc>
      </w:tr>
      <w:tr w14:paraId="1250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14:paraId="71E349BF">
            <w:pPr>
              <w:widowControl w:val="0"/>
              <w:spacing w:line="400" w:lineRule="exact"/>
              <w:contextualSpacing/>
              <w:jc w:val="center"/>
              <w:rPr>
                <w:rFonts w:hint="default" w:ascii="宋体" w:hAnsi="宋体" w:eastAsia="宋体" w:cs="宋体"/>
                <w:kern w:val="2"/>
                <w:sz w:val="21"/>
                <w:szCs w:val="21"/>
                <w:highlight w:val="none"/>
                <w:vertAlign w:val="baseline"/>
                <w:lang w:val="en-US" w:eastAsia="zh-CN" w:bidi="ar-SA"/>
              </w:rPr>
            </w:pPr>
            <w:r>
              <w:rPr>
                <w:rFonts w:hint="eastAsia" w:ascii="宋体" w:hAnsi="宋体" w:cs="宋体"/>
                <w:kern w:val="2"/>
                <w:sz w:val="21"/>
                <w:szCs w:val="21"/>
                <w:highlight w:val="none"/>
                <w:vertAlign w:val="baseline"/>
                <w:lang w:val="en-US" w:eastAsia="zh-CN" w:bidi="ar-SA"/>
              </w:rPr>
              <w:t>8</w:t>
            </w:r>
          </w:p>
        </w:tc>
        <w:tc>
          <w:tcPr>
            <w:tcW w:w="4826" w:type="dxa"/>
            <w:vAlign w:val="center"/>
          </w:tcPr>
          <w:p w14:paraId="121BA94A">
            <w:pPr>
              <w:pStyle w:val="13"/>
              <w:widowControl/>
              <w:spacing w:line="400" w:lineRule="exact"/>
              <w:contextualSpacing/>
              <w:jc w:val="left"/>
              <w:textAlignment w:val="center"/>
              <w:rPr>
                <w:rFonts w:hint="eastAsia" w:ascii="宋体" w:hAnsi="宋体" w:eastAsia="宋体" w:cs="宋体"/>
                <w:sz w:val="21"/>
                <w:szCs w:val="21"/>
                <w:highlight w:val="none"/>
                <w:lang w:eastAsia="zh-CN"/>
              </w:rPr>
            </w:pPr>
            <w:r>
              <w:rPr>
                <w:rFonts w:hint="eastAsia" w:ascii="Times New Roman" w:hAnsi="Times New Roman" w:cs="Times New Roman"/>
                <w:color w:val="auto"/>
                <w:sz w:val="21"/>
                <w:szCs w:val="22"/>
                <w:highlight w:val="none"/>
                <w:lang w:val="en-US" w:eastAsia="zh-CN"/>
              </w:rPr>
              <w:t>运维公司进行</w:t>
            </w:r>
            <w:r>
              <w:rPr>
                <w:rFonts w:hint="eastAsia" w:ascii="Times New Roman" w:hAnsi="Times New Roman" w:cs="Times New Roman"/>
                <w:color w:val="auto"/>
                <w:sz w:val="21"/>
                <w:szCs w:val="22"/>
                <w:highlight w:val="none"/>
              </w:rPr>
              <w:t>人员变更必须提前45天</w:t>
            </w:r>
            <w:r>
              <w:rPr>
                <w:rFonts w:hint="eastAsia" w:ascii="Times New Roman" w:hAnsi="Times New Roman" w:cs="Times New Roman"/>
                <w:color w:val="auto"/>
                <w:sz w:val="21"/>
                <w:szCs w:val="22"/>
                <w:highlight w:val="none"/>
                <w:lang w:val="en-US" w:eastAsia="zh-CN"/>
              </w:rPr>
              <w:t>向采购人</w:t>
            </w:r>
            <w:r>
              <w:rPr>
                <w:rFonts w:hint="eastAsia" w:ascii="Times New Roman" w:hAnsi="Times New Roman" w:cs="Times New Roman"/>
                <w:color w:val="auto"/>
                <w:sz w:val="21"/>
                <w:szCs w:val="22"/>
                <w:highlight w:val="none"/>
              </w:rPr>
              <w:t>提出申请，新驻场人员需提前30天到位办理交接手续</w:t>
            </w:r>
            <w:r>
              <w:rPr>
                <w:rFonts w:hint="eastAsia" w:ascii="Times New Roman" w:hAnsi="Times New Roman" w:cs="Times New Roman"/>
                <w:color w:val="auto"/>
                <w:sz w:val="21"/>
                <w:szCs w:val="22"/>
                <w:highlight w:val="none"/>
                <w:lang w:eastAsia="zh-CN"/>
              </w:rPr>
              <w:t>；</w:t>
            </w:r>
            <w:r>
              <w:rPr>
                <w:rFonts w:hint="eastAsia" w:ascii="Times New Roman" w:hAnsi="Times New Roman" w:cs="Times New Roman"/>
                <w:color w:val="auto"/>
                <w:sz w:val="21"/>
                <w:szCs w:val="22"/>
                <w:highlight w:val="none"/>
              </w:rPr>
              <w:t>人员变更须经</w:t>
            </w:r>
            <w:r>
              <w:rPr>
                <w:rFonts w:hint="eastAsia" w:ascii="Times New Roman" w:hAnsi="Times New Roman" w:cs="Times New Roman"/>
                <w:color w:val="auto"/>
                <w:sz w:val="21"/>
                <w:szCs w:val="22"/>
                <w:highlight w:val="none"/>
                <w:lang w:val="en-US" w:eastAsia="zh-CN"/>
              </w:rPr>
              <w:t>采购人</w:t>
            </w:r>
            <w:r>
              <w:rPr>
                <w:rFonts w:hint="eastAsia" w:ascii="Times New Roman" w:hAnsi="Times New Roman" w:cs="Times New Roman"/>
                <w:color w:val="auto"/>
                <w:sz w:val="21"/>
                <w:szCs w:val="22"/>
                <w:highlight w:val="none"/>
              </w:rPr>
              <w:t>同意，并必须保证后续人员具有同等的资质和能力</w:t>
            </w:r>
            <w:r>
              <w:rPr>
                <w:rFonts w:hint="eastAsia" w:ascii="Times New Roman" w:hAnsi="Times New Roman" w:cs="Times New Roman"/>
                <w:color w:val="auto"/>
                <w:sz w:val="21"/>
                <w:szCs w:val="22"/>
                <w:highlight w:val="none"/>
                <w:lang w:eastAsia="zh-CN"/>
              </w:rPr>
              <w:t>。</w:t>
            </w:r>
          </w:p>
        </w:tc>
        <w:tc>
          <w:tcPr>
            <w:tcW w:w="3619" w:type="dxa"/>
            <w:vAlign w:val="center"/>
          </w:tcPr>
          <w:p w14:paraId="713BC1D1">
            <w:pPr>
              <w:widowControl/>
              <w:spacing w:line="400" w:lineRule="exact"/>
              <w:contextualSpacing/>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未</w:t>
            </w:r>
            <w:r>
              <w:rPr>
                <w:rFonts w:hint="eastAsia" w:ascii="宋体" w:hAnsi="宋体" w:eastAsia="宋体" w:cs="宋体"/>
                <w:sz w:val="21"/>
                <w:szCs w:val="21"/>
                <w:highlight w:val="none"/>
                <w:lang w:val="en-US" w:eastAsia="zh-CN"/>
              </w:rPr>
              <w:t>按采购人</w:t>
            </w:r>
            <w:r>
              <w:rPr>
                <w:rFonts w:hint="eastAsia" w:ascii="宋体" w:hAnsi="宋体" w:cs="宋体"/>
                <w:sz w:val="21"/>
                <w:szCs w:val="21"/>
                <w:highlight w:val="none"/>
                <w:lang w:val="en-US" w:eastAsia="zh-CN"/>
              </w:rPr>
              <w:t>规定，进行人员变更的，每次扣1分。</w:t>
            </w:r>
          </w:p>
        </w:tc>
      </w:tr>
      <w:tr w14:paraId="6CFF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14:paraId="546CFDEE">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cs="宋体"/>
                <w:kern w:val="2"/>
                <w:sz w:val="21"/>
                <w:szCs w:val="21"/>
                <w:highlight w:val="none"/>
                <w:vertAlign w:val="baseline"/>
                <w:lang w:val="en-US" w:eastAsia="zh-CN" w:bidi="ar-SA"/>
              </w:rPr>
              <w:t>9</w:t>
            </w:r>
          </w:p>
        </w:tc>
        <w:tc>
          <w:tcPr>
            <w:tcW w:w="4826" w:type="dxa"/>
            <w:vAlign w:val="center"/>
          </w:tcPr>
          <w:p w14:paraId="70D7D840">
            <w:pPr>
              <w:widowControl/>
              <w:spacing w:line="400" w:lineRule="exact"/>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运维公司所派遣运维人员不能满足采购人技术能力要求需要更换的，运维方在接到通知后的7日内向采购人提交书面改进报告。如采购人对运维公司的改进方案仍不满意，运维公司应在接到第二次更换通知后的7日内更换，并将新安排的运维人员的姓名、简历、职责等以书面形式通知采购人。</w:t>
            </w:r>
          </w:p>
        </w:tc>
        <w:tc>
          <w:tcPr>
            <w:tcW w:w="3619" w:type="dxa"/>
            <w:vAlign w:val="center"/>
          </w:tcPr>
          <w:p w14:paraId="05B9AFA7">
            <w:pPr>
              <w:widowControl/>
              <w:spacing w:line="400" w:lineRule="exact"/>
              <w:contextualSpacing/>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未</w:t>
            </w:r>
            <w:r>
              <w:rPr>
                <w:rFonts w:hint="eastAsia" w:ascii="宋体" w:hAnsi="宋体" w:eastAsia="宋体" w:cs="宋体"/>
                <w:sz w:val="21"/>
                <w:szCs w:val="21"/>
                <w:highlight w:val="none"/>
                <w:lang w:val="en-US" w:eastAsia="zh-CN"/>
              </w:rPr>
              <w:t>按采购人要求</w:t>
            </w:r>
            <w:r>
              <w:rPr>
                <w:rFonts w:hint="eastAsia" w:ascii="宋体" w:hAnsi="宋体" w:eastAsia="宋体" w:cs="宋体"/>
                <w:sz w:val="21"/>
                <w:szCs w:val="21"/>
                <w:highlight w:val="none"/>
              </w:rPr>
              <w:t>提交书面改进报告或未更换运维人员</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，每次扣</w:t>
            </w:r>
            <w:r>
              <w:rPr>
                <w:rFonts w:hint="eastAsia" w:ascii="宋体" w:hAnsi="宋体" w:eastAsia="宋体" w:cs="宋体"/>
                <w:sz w:val="21"/>
                <w:szCs w:val="21"/>
                <w:highlight w:val="none"/>
                <w:lang w:val="en-US" w:eastAsia="zh-CN"/>
              </w:rPr>
              <w:t>1分</w:t>
            </w:r>
            <w:r>
              <w:rPr>
                <w:rFonts w:hint="eastAsia" w:ascii="宋体" w:hAnsi="宋体" w:eastAsia="宋体" w:cs="宋体"/>
                <w:sz w:val="21"/>
                <w:szCs w:val="21"/>
                <w:highlight w:val="none"/>
              </w:rPr>
              <w:t>。</w:t>
            </w:r>
          </w:p>
        </w:tc>
      </w:tr>
    </w:tbl>
    <w:p w14:paraId="5B14B194">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 xml:space="preserve">  </w:t>
      </w:r>
    </w:p>
    <w:p w14:paraId="412120D7">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4.11.4重大运维失误清单</w:t>
      </w:r>
    </w:p>
    <w:tbl>
      <w:tblPr>
        <w:tblStyle w:val="24"/>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4826"/>
        <w:gridCol w:w="3619"/>
      </w:tblGrid>
      <w:tr w14:paraId="527D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tcPr>
          <w:p w14:paraId="4A925514">
            <w:pPr>
              <w:widowControl w:val="0"/>
              <w:spacing w:line="400" w:lineRule="exact"/>
              <w:contextualSpacing/>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kern w:val="2"/>
                <w:sz w:val="21"/>
                <w:szCs w:val="21"/>
                <w:highlight w:val="none"/>
                <w:vertAlign w:val="baseline"/>
                <w:lang w:val="en-US" w:eastAsia="zh-CN" w:bidi="ar-SA"/>
              </w:rPr>
              <w:t>序号</w:t>
            </w:r>
          </w:p>
        </w:tc>
        <w:tc>
          <w:tcPr>
            <w:tcW w:w="4826" w:type="dxa"/>
          </w:tcPr>
          <w:p w14:paraId="140AAE06">
            <w:pPr>
              <w:widowControl w:val="0"/>
              <w:spacing w:line="400" w:lineRule="exact"/>
              <w:contextualSpacing/>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kern w:val="2"/>
                <w:sz w:val="21"/>
                <w:szCs w:val="21"/>
                <w:highlight w:val="none"/>
                <w:lang w:val="en-US" w:eastAsia="zh-CN" w:bidi="ar-SA"/>
              </w:rPr>
              <w:t>考核具体内容</w:t>
            </w:r>
          </w:p>
        </w:tc>
        <w:tc>
          <w:tcPr>
            <w:tcW w:w="3619" w:type="dxa"/>
          </w:tcPr>
          <w:p w14:paraId="36C51FDB">
            <w:pPr>
              <w:widowControl w:val="0"/>
              <w:spacing w:line="400" w:lineRule="exact"/>
              <w:contextualSpacing/>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kern w:val="2"/>
                <w:sz w:val="21"/>
                <w:szCs w:val="21"/>
                <w:highlight w:val="none"/>
                <w:lang w:val="en-US" w:eastAsia="zh-CN" w:bidi="ar-SA"/>
              </w:rPr>
              <w:t>扣分标准</w:t>
            </w:r>
          </w:p>
        </w:tc>
      </w:tr>
      <w:tr w14:paraId="2B6A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14:paraId="25AC746F">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w:t>
            </w:r>
          </w:p>
        </w:tc>
        <w:tc>
          <w:tcPr>
            <w:tcW w:w="4826" w:type="dxa"/>
            <w:vAlign w:val="center"/>
          </w:tcPr>
          <w:p w14:paraId="28E78C30">
            <w:pPr>
              <w:widowControl/>
              <w:spacing w:line="400" w:lineRule="exact"/>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未经采购人批准，</w:t>
            </w:r>
            <w:r>
              <w:rPr>
                <w:rFonts w:hint="eastAsia" w:ascii="宋体" w:hAnsi="宋体" w:eastAsia="宋体" w:cs="宋体"/>
                <w:sz w:val="21"/>
                <w:szCs w:val="21"/>
                <w:highlight w:val="none"/>
              </w:rPr>
              <w:t>擅自进行设备</w:t>
            </w:r>
            <w:r>
              <w:rPr>
                <w:rFonts w:hint="eastAsia" w:ascii="宋体" w:hAnsi="宋体" w:eastAsia="宋体" w:cs="宋体"/>
                <w:sz w:val="21"/>
                <w:szCs w:val="21"/>
                <w:highlight w:val="none"/>
                <w:lang w:eastAsia="zh-CN"/>
              </w:rPr>
              <w:t>参数</w:t>
            </w:r>
            <w:r>
              <w:rPr>
                <w:rFonts w:hint="eastAsia" w:ascii="宋体" w:hAnsi="宋体" w:eastAsia="宋体" w:cs="宋体"/>
                <w:sz w:val="21"/>
                <w:szCs w:val="21"/>
                <w:highlight w:val="none"/>
              </w:rPr>
              <w:t>配置</w:t>
            </w:r>
            <w:r>
              <w:rPr>
                <w:rFonts w:hint="eastAsia" w:ascii="宋体" w:hAnsi="宋体" w:eastAsia="宋体" w:cs="宋体"/>
                <w:sz w:val="21"/>
                <w:szCs w:val="21"/>
                <w:highlight w:val="none"/>
                <w:lang w:eastAsia="zh-CN"/>
              </w:rPr>
              <w:t>、调整服务进程、修改用户密码等行为。</w:t>
            </w:r>
          </w:p>
        </w:tc>
        <w:tc>
          <w:tcPr>
            <w:tcW w:w="3619" w:type="dxa"/>
            <w:vAlign w:val="center"/>
          </w:tcPr>
          <w:p w14:paraId="0DAB84AC">
            <w:pPr>
              <w:widowControl/>
              <w:spacing w:line="400" w:lineRule="exact"/>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每出现一次扣</w:t>
            </w:r>
            <w:r>
              <w:rPr>
                <w:rFonts w:hint="eastAsia" w:ascii="宋体" w:hAnsi="宋体" w:eastAsia="宋体" w:cs="宋体"/>
                <w:sz w:val="21"/>
                <w:szCs w:val="21"/>
                <w:highlight w:val="none"/>
                <w:lang w:val="en-US" w:eastAsia="zh-CN"/>
              </w:rPr>
              <w:t>5分</w:t>
            </w:r>
            <w:r>
              <w:rPr>
                <w:rFonts w:hint="eastAsia" w:ascii="宋体" w:hAnsi="宋体" w:eastAsia="宋体" w:cs="宋体"/>
                <w:sz w:val="21"/>
                <w:szCs w:val="21"/>
                <w:highlight w:val="none"/>
              </w:rPr>
              <w:t>。</w:t>
            </w:r>
          </w:p>
        </w:tc>
      </w:tr>
      <w:tr w14:paraId="2EB8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14:paraId="41DC3F47">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2</w:t>
            </w:r>
          </w:p>
        </w:tc>
        <w:tc>
          <w:tcPr>
            <w:tcW w:w="4826" w:type="dxa"/>
            <w:vAlign w:val="center"/>
          </w:tcPr>
          <w:p w14:paraId="399A22A1">
            <w:pPr>
              <w:widowControl/>
              <w:spacing w:line="400" w:lineRule="exact"/>
              <w:contextualSpacing/>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因</w:t>
            </w:r>
            <w:r>
              <w:rPr>
                <w:rFonts w:hint="eastAsia" w:ascii="宋体" w:hAnsi="宋体" w:eastAsia="宋体" w:cs="宋体"/>
                <w:sz w:val="21"/>
                <w:szCs w:val="21"/>
                <w:highlight w:val="none"/>
                <w:lang w:val="en-US" w:eastAsia="zh-CN"/>
              </w:rPr>
              <w:t>运维人员工作不及时、未按时完成运维工作任务、应急处置不及时不熟练等原因导致基础设施出现故障，造成业务系统中断。</w:t>
            </w:r>
          </w:p>
          <w:p w14:paraId="1C8733B0">
            <w:pPr>
              <w:widowControl w:val="0"/>
              <w:spacing w:after="12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交办事项未按时完成</w:t>
            </w:r>
          </w:p>
        </w:tc>
        <w:tc>
          <w:tcPr>
            <w:tcW w:w="3619" w:type="dxa"/>
            <w:vAlign w:val="center"/>
          </w:tcPr>
          <w:p w14:paraId="176557A8">
            <w:pPr>
              <w:widowControl/>
              <w:spacing w:line="400" w:lineRule="exact"/>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省局被总局</w:t>
            </w:r>
            <w:r>
              <w:rPr>
                <w:rFonts w:hint="eastAsia" w:ascii="宋体" w:hAnsi="宋体" w:eastAsia="宋体" w:cs="宋体"/>
                <w:sz w:val="21"/>
                <w:szCs w:val="21"/>
                <w:highlight w:val="none"/>
                <w:lang w:eastAsia="zh-CN"/>
              </w:rPr>
              <w:t>绩效</w:t>
            </w:r>
            <w:r>
              <w:rPr>
                <w:rFonts w:hint="eastAsia" w:ascii="宋体" w:hAnsi="宋体" w:eastAsia="宋体" w:cs="宋体"/>
                <w:sz w:val="21"/>
                <w:szCs w:val="21"/>
                <w:highlight w:val="none"/>
              </w:rPr>
              <w:t>考核扣分的，每扣</w:t>
            </w:r>
            <w:r>
              <w:rPr>
                <w:rFonts w:hint="eastAsia" w:ascii="宋体" w:hAnsi="宋体" w:eastAsia="宋体" w:cs="宋体"/>
                <w:sz w:val="21"/>
                <w:szCs w:val="21"/>
                <w:highlight w:val="none"/>
                <w:lang w:val="en-US" w:eastAsia="zh-CN"/>
              </w:rPr>
              <w:t>0.1分将扣8分</w:t>
            </w:r>
            <w:r>
              <w:rPr>
                <w:rFonts w:hint="eastAsia" w:ascii="宋体" w:hAnsi="宋体" w:eastAsia="宋体" w:cs="宋体"/>
                <w:sz w:val="21"/>
                <w:szCs w:val="21"/>
                <w:highlight w:val="none"/>
                <w:lang w:eastAsia="zh-CN"/>
              </w:rPr>
              <w:t>；未被总局扣分的，每中断</w:t>
            </w:r>
            <w:r>
              <w:rPr>
                <w:rFonts w:hint="eastAsia" w:ascii="宋体" w:hAnsi="宋体" w:eastAsia="宋体" w:cs="宋体"/>
                <w:sz w:val="21"/>
                <w:szCs w:val="21"/>
                <w:highlight w:val="none"/>
                <w:lang w:val="en-US" w:eastAsia="zh-CN"/>
              </w:rPr>
              <w:t>15分钟（不足15分钟按15分钟计）扣5分</w:t>
            </w:r>
          </w:p>
        </w:tc>
      </w:tr>
      <w:tr w14:paraId="2F2D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14:paraId="49B0C234">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3</w:t>
            </w:r>
          </w:p>
        </w:tc>
        <w:tc>
          <w:tcPr>
            <w:tcW w:w="4826" w:type="dxa"/>
            <w:vAlign w:val="center"/>
          </w:tcPr>
          <w:p w14:paraId="596E76A6">
            <w:pPr>
              <w:widowControl/>
              <w:spacing w:line="400" w:lineRule="exact"/>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未及时修改、更新“一账式”数据、数据校验报错等情况导致信息化设施配置扫描匹配率、资产数据准确率低于90%的。</w:t>
            </w:r>
          </w:p>
        </w:tc>
        <w:tc>
          <w:tcPr>
            <w:tcW w:w="3619" w:type="dxa"/>
            <w:vAlign w:val="center"/>
          </w:tcPr>
          <w:p w14:paraId="7E6A5697">
            <w:pPr>
              <w:widowControl/>
              <w:spacing w:line="400" w:lineRule="exact"/>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省局被总局</w:t>
            </w:r>
            <w:r>
              <w:rPr>
                <w:rFonts w:hint="eastAsia" w:ascii="宋体" w:hAnsi="宋体" w:eastAsia="宋体" w:cs="宋体"/>
                <w:sz w:val="21"/>
                <w:szCs w:val="21"/>
                <w:highlight w:val="none"/>
                <w:lang w:eastAsia="zh-CN"/>
              </w:rPr>
              <w:t>绩效</w:t>
            </w:r>
            <w:r>
              <w:rPr>
                <w:rFonts w:hint="eastAsia" w:ascii="宋体" w:hAnsi="宋体" w:eastAsia="宋体" w:cs="宋体"/>
                <w:sz w:val="21"/>
                <w:szCs w:val="21"/>
                <w:highlight w:val="none"/>
              </w:rPr>
              <w:t>考核扣分的，每扣</w:t>
            </w:r>
            <w:r>
              <w:rPr>
                <w:rFonts w:hint="eastAsia" w:ascii="宋体" w:hAnsi="宋体" w:eastAsia="宋体" w:cs="宋体"/>
                <w:sz w:val="21"/>
                <w:szCs w:val="21"/>
                <w:highlight w:val="none"/>
                <w:lang w:val="en-US" w:eastAsia="zh-CN"/>
              </w:rPr>
              <w:t>0.1分将扣8分</w:t>
            </w:r>
          </w:p>
        </w:tc>
      </w:tr>
      <w:tr w14:paraId="292D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vAlign w:val="center"/>
          </w:tcPr>
          <w:p w14:paraId="40742974">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4</w:t>
            </w:r>
          </w:p>
        </w:tc>
        <w:tc>
          <w:tcPr>
            <w:tcW w:w="4826" w:type="dxa"/>
            <w:vAlign w:val="center"/>
          </w:tcPr>
          <w:p w14:paraId="4AAF74BD">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未按时完成采购人安排的工作任务（不可抗力除外），造成不良影响的</w:t>
            </w:r>
          </w:p>
        </w:tc>
        <w:tc>
          <w:tcPr>
            <w:tcW w:w="3619" w:type="dxa"/>
            <w:vAlign w:val="center"/>
          </w:tcPr>
          <w:p w14:paraId="16277646">
            <w:pPr>
              <w:widowControl w:val="0"/>
              <w:spacing w:line="400" w:lineRule="exact"/>
              <w:contextualSpacing/>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每拖延一天扣1分</w:t>
            </w:r>
          </w:p>
        </w:tc>
      </w:tr>
    </w:tbl>
    <w:p w14:paraId="790918B7">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 xml:space="preserve">  </w:t>
      </w:r>
    </w:p>
    <w:p w14:paraId="757305C3">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4.11.5日常管理考核</w:t>
      </w:r>
    </w:p>
    <w:tbl>
      <w:tblPr>
        <w:tblStyle w:val="24"/>
        <w:tblW w:w="92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86"/>
        <w:gridCol w:w="5418"/>
        <w:gridCol w:w="2863"/>
      </w:tblGrid>
      <w:tr w14:paraId="2B50F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9" w:hRule="atLeast"/>
          <w:jc w:val="center"/>
        </w:trPr>
        <w:tc>
          <w:tcPr>
            <w:tcW w:w="986" w:type="dxa"/>
            <w:tcBorders>
              <w:tl2br w:val="nil"/>
              <w:tr2bl w:val="nil"/>
            </w:tcBorders>
            <w:vAlign w:val="top"/>
          </w:tcPr>
          <w:p w14:paraId="01876F83">
            <w:pPr>
              <w:widowControl w:val="0"/>
              <w:spacing w:line="400" w:lineRule="exact"/>
              <w:contextualSpacing/>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kern w:val="2"/>
                <w:sz w:val="21"/>
                <w:szCs w:val="21"/>
                <w:highlight w:val="none"/>
                <w:vertAlign w:val="baseline"/>
                <w:lang w:val="en-US" w:eastAsia="zh-CN" w:bidi="ar-SA"/>
              </w:rPr>
              <w:t>序号</w:t>
            </w:r>
          </w:p>
        </w:tc>
        <w:tc>
          <w:tcPr>
            <w:tcW w:w="5418" w:type="dxa"/>
            <w:tcBorders>
              <w:tl2br w:val="nil"/>
              <w:tr2bl w:val="nil"/>
            </w:tcBorders>
            <w:vAlign w:val="top"/>
          </w:tcPr>
          <w:p w14:paraId="118F5FF9">
            <w:pPr>
              <w:widowControl w:val="0"/>
              <w:spacing w:line="400" w:lineRule="exact"/>
              <w:contextualSpacing/>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kern w:val="2"/>
                <w:sz w:val="21"/>
                <w:szCs w:val="21"/>
                <w:highlight w:val="none"/>
                <w:lang w:val="en-US" w:eastAsia="zh-CN" w:bidi="ar-SA"/>
              </w:rPr>
              <w:t>考核具体内容</w:t>
            </w:r>
          </w:p>
        </w:tc>
        <w:tc>
          <w:tcPr>
            <w:tcW w:w="2863" w:type="dxa"/>
            <w:tcBorders>
              <w:tl2br w:val="nil"/>
              <w:tr2bl w:val="nil"/>
            </w:tcBorders>
            <w:vAlign w:val="top"/>
          </w:tcPr>
          <w:p w14:paraId="4737FFFB">
            <w:pPr>
              <w:widowControl w:val="0"/>
              <w:spacing w:line="400" w:lineRule="exact"/>
              <w:contextualSpacing/>
              <w:jc w:val="center"/>
              <w:rPr>
                <w:rFonts w:hint="eastAsia" w:ascii="宋体" w:hAnsi="宋体" w:eastAsia="宋体" w:cs="宋体"/>
                <w:b w:val="0"/>
                <w:bCs w:val="0"/>
                <w:kern w:val="2"/>
                <w:sz w:val="21"/>
                <w:szCs w:val="21"/>
                <w:highlight w:val="none"/>
                <w:vertAlign w:val="baseline"/>
                <w:lang w:val="en-US" w:eastAsia="zh-CN" w:bidi="ar-SA"/>
              </w:rPr>
            </w:pPr>
            <w:r>
              <w:rPr>
                <w:rFonts w:hint="eastAsia" w:ascii="宋体" w:hAnsi="宋体" w:eastAsia="宋体" w:cs="宋体"/>
                <w:b w:val="0"/>
                <w:bCs w:val="0"/>
                <w:kern w:val="2"/>
                <w:sz w:val="21"/>
                <w:szCs w:val="21"/>
                <w:highlight w:val="none"/>
                <w:lang w:val="en-US" w:eastAsia="zh-CN" w:bidi="ar-SA"/>
              </w:rPr>
              <w:t>扣分标准</w:t>
            </w:r>
          </w:p>
        </w:tc>
      </w:tr>
      <w:tr w14:paraId="4896D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6" w:hRule="atLeast"/>
          <w:jc w:val="center"/>
        </w:trPr>
        <w:tc>
          <w:tcPr>
            <w:tcW w:w="986" w:type="dxa"/>
            <w:tcBorders>
              <w:tl2br w:val="nil"/>
              <w:tr2bl w:val="nil"/>
            </w:tcBorders>
            <w:vAlign w:val="center"/>
          </w:tcPr>
          <w:p w14:paraId="1774F1DD">
            <w:pPr>
              <w:widowControl/>
              <w:spacing w:line="400" w:lineRule="exact"/>
              <w:contextualSpacing/>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w:t>
            </w:r>
          </w:p>
        </w:tc>
        <w:tc>
          <w:tcPr>
            <w:tcW w:w="5418" w:type="dxa"/>
            <w:tcBorders>
              <w:tl2br w:val="nil"/>
              <w:tr2bl w:val="nil"/>
            </w:tcBorders>
            <w:vAlign w:val="center"/>
          </w:tcPr>
          <w:p w14:paraId="03E5555E">
            <w:pPr>
              <w:widowControl/>
              <w:spacing w:line="400" w:lineRule="exact"/>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运维人员进入运维场地必须佩戴工牌，不得将工牌、门禁转借他人使用，不得擅自带领无关人员进入运维场地。</w:t>
            </w:r>
          </w:p>
        </w:tc>
        <w:tc>
          <w:tcPr>
            <w:tcW w:w="2863" w:type="dxa"/>
            <w:tcBorders>
              <w:tl2br w:val="nil"/>
              <w:tr2bl w:val="nil"/>
            </w:tcBorders>
            <w:vAlign w:val="center"/>
          </w:tcPr>
          <w:p w14:paraId="65608259">
            <w:pPr>
              <w:widowControl/>
              <w:spacing w:line="400" w:lineRule="exact"/>
              <w:contextualSpacing/>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出现一次，</w:t>
            </w:r>
            <w:r>
              <w:rPr>
                <w:rFonts w:hint="eastAsia" w:ascii="宋体" w:hAnsi="宋体" w:eastAsia="宋体" w:cs="宋体"/>
                <w:sz w:val="21"/>
                <w:szCs w:val="21"/>
                <w:highlight w:val="none"/>
              </w:rPr>
              <w:t>每人次扣</w:t>
            </w:r>
            <w:r>
              <w:rPr>
                <w:rFonts w:hint="eastAsia" w:ascii="宋体" w:hAnsi="宋体" w:eastAsia="宋体" w:cs="宋体"/>
                <w:sz w:val="21"/>
                <w:szCs w:val="21"/>
                <w:highlight w:val="none"/>
                <w:lang w:val="en-US" w:eastAsia="zh-CN"/>
              </w:rPr>
              <w:t>200元</w:t>
            </w:r>
            <w:r>
              <w:rPr>
                <w:rFonts w:hint="eastAsia" w:ascii="宋体" w:hAnsi="宋体" w:eastAsia="宋体" w:cs="宋体"/>
                <w:sz w:val="21"/>
                <w:szCs w:val="21"/>
                <w:highlight w:val="none"/>
              </w:rPr>
              <w:t>。</w:t>
            </w:r>
          </w:p>
        </w:tc>
      </w:tr>
      <w:tr w14:paraId="535BB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0" w:hRule="atLeast"/>
          <w:jc w:val="center"/>
        </w:trPr>
        <w:tc>
          <w:tcPr>
            <w:tcW w:w="986" w:type="dxa"/>
            <w:tcBorders>
              <w:tl2br w:val="nil"/>
              <w:tr2bl w:val="nil"/>
            </w:tcBorders>
            <w:vAlign w:val="center"/>
          </w:tcPr>
          <w:p w14:paraId="4FE9EE9E">
            <w:pPr>
              <w:widowControl w:val="0"/>
              <w:spacing w:line="400" w:lineRule="exact"/>
              <w:ind w:firstLine="420" w:firstLineChars="200"/>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5418" w:type="dxa"/>
            <w:tcBorders>
              <w:tl2br w:val="nil"/>
              <w:tr2bl w:val="nil"/>
            </w:tcBorders>
            <w:vAlign w:val="center"/>
          </w:tcPr>
          <w:p w14:paraId="41168BAC">
            <w:pPr>
              <w:widowControl/>
              <w:spacing w:line="400" w:lineRule="exact"/>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运维人员必须按照省局规定的工作时间上下班，不得迟到、早退。</w:t>
            </w:r>
          </w:p>
        </w:tc>
        <w:tc>
          <w:tcPr>
            <w:tcW w:w="2863" w:type="dxa"/>
            <w:tcBorders>
              <w:tl2br w:val="nil"/>
              <w:tr2bl w:val="nil"/>
            </w:tcBorders>
            <w:vAlign w:val="center"/>
          </w:tcPr>
          <w:p w14:paraId="280278D3">
            <w:pPr>
              <w:widowControl/>
              <w:spacing w:line="400" w:lineRule="exact"/>
              <w:contextualSpacing/>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出现一次，</w:t>
            </w:r>
            <w:r>
              <w:rPr>
                <w:rFonts w:hint="eastAsia" w:ascii="宋体" w:hAnsi="宋体" w:eastAsia="宋体" w:cs="宋体"/>
                <w:sz w:val="21"/>
                <w:szCs w:val="21"/>
                <w:highlight w:val="none"/>
              </w:rPr>
              <w:t>每人次扣</w:t>
            </w:r>
            <w:r>
              <w:rPr>
                <w:rFonts w:hint="eastAsia" w:ascii="宋体" w:hAnsi="宋体" w:eastAsia="宋体" w:cs="宋体"/>
                <w:sz w:val="21"/>
                <w:szCs w:val="21"/>
                <w:highlight w:val="none"/>
                <w:lang w:val="en-US" w:eastAsia="zh-CN"/>
              </w:rPr>
              <w:t>200元</w:t>
            </w:r>
            <w:r>
              <w:rPr>
                <w:rFonts w:hint="eastAsia" w:ascii="宋体" w:hAnsi="宋体" w:eastAsia="宋体" w:cs="宋体"/>
                <w:sz w:val="21"/>
                <w:szCs w:val="21"/>
                <w:highlight w:val="none"/>
              </w:rPr>
              <w:t>。</w:t>
            </w:r>
          </w:p>
        </w:tc>
      </w:tr>
      <w:tr w14:paraId="047B4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0" w:hRule="atLeast"/>
          <w:jc w:val="center"/>
        </w:trPr>
        <w:tc>
          <w:tcPr>
            <w:tcW w:w="986" w:type="dxa"/>
            <w:tcBorders>
              <w:tl2br w:val="nil"/>
              <w:tr2bl w:val="nil"/>
            </w:tcBorders>
            <w:vAlign w:val="center"/>
          </w:tcPr>
          <w:p w14:paraId="6C112713">
            <w:pPr>
              <w:widowControl w:val="0"/>
              <w:spacing w:line="400" w:lineRule="exact"/>
              <w:ind w:firstLine="420" w:firstLineChars="200"/>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5418" w:type="dxa"/>
            <w:tcBorders>
              <w:tl2br w:val="nil"/>
              <w:tr2bl w:val="nil"/>
            </w:tcBorders>
            <w:vAlign w:val="center"/>
          </w:tcPr>
          <w:p w14:paraId="3EE22D95">
            <w:pPr>
              <w:widowControl/>
              <w:spacing w:line="400" w:lineRule="exact"/>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运维人员不得无故旷工，工作时间不得随意离开工作岗位。请假、出差必须履行手续，填写《请假（出差）申请单》，提前安排好临时接替人员并做好工作交接，同时保持联系方式畅通。</w:t>
            </w:r>
          </w:p>
        </w:tc>
        <w:tc>
          <w:tcPr>
            <w:tcW w:w="2863" w:type="dxa"/>
            <w:tcBorders>
              <w:tl2br w:val="nil"/>
              <w:tr2bl w:val="nil"/>
            </w:tcBorders>
            <w:vAlign w:val="center"/>
          </w:tcPr>
          <w:p w14:paraId="6D427820">
            <w:pPr>
              <w:widowControl/>
              <w:spacing w:line="400" w:lineRule="exact"/>
              <w:contextualSpacing/>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出现一次，</w:t>
            </w:r>
            <w:r>
              <w:rPr>
                <w:rFonts w:hint="eastAsia" w:ascii="宋体" w:hAnsi="宋体" w:eastAsia="宋体" w:cs="宋体"/>
                <w:sz w:val="21"/>
                <w:szCs w:val="21"/>
                <w:highlight w:val="none"/>
              </w:rPr>
              <w:t>每人次扣</w:t>
            </w:r>
            <w:r>
              <w:rPr>
                <w:rFonts w:hint="eastAsia" w:ascii="宋体" w:hAnsi="宋体" w:eastAsia="宋体" w:cs="宋体"/>
                <w:sz w:val="21"/>
                <w:szCs w:val="21"/>
                <w:highlight w:val="none"/>
                <w:lang w:val="en-US" w:eastAsia="zh-CN"/>
              </w:rPr>
              <w:t>200元</w:t>
            </w:r>
            <w:r>
              <w:rPr>
                <w:rFonts w:hint="eastAsia" w:ascii="宋体" w:hAnsi="宋体" w:eastAsia="宋体" w:cs="宋体"/>
                <w:sz w:val="21"/>
                <w:szCs w:val="21"/>
                <w:highlight w:val="none"/>
              </w:rPr>
              <w:t>。</w:t>
            </w:r>
          </w:p>
        </w:tc>
      </w:tr>
      <w:tr w14:paraId="3AA5F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0" w:hRule="atLeast"/>
          <w:jc w:val="center"/>
        </w:trPr>
        <w:tc>
          <w:tcPr>
            <w:tcW w:w="986" w:type="dxa"/>
            <w:tcBorders>
              <w:tl2br w:val="nil"/>
              <w:tr2bl w:val="nil"/>
            </w:tcBorders>
            <w:vAlign w:val="center"/>
          </w:tcPr>
          <w:p w14:paraId="4D0A0D74">
            <w:pPr>
              <w:widowControl w:val="0"/>
              <w:spacing w:line="400" w:lineRule="exact"/>
              <w:ind w:firstLine="420" w:firstLineChars="200"/>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5418" w:type="dxa"/>
            <w:tcBorders>
              <w:tl2br w:val="nil"/>
              <w:tr2bl w:val="nil"/>
            </w:tcBorders>
            <w:vAlign w:val="center"/>
          </w:tcPr>
          <w:p w14:paraId="19D80ED0">
            <w:pPr>
              <w:widowControl/>
              <w:spacing w:line="400" w:lineRule="exact"/>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运维人员进入运维场地及省局办公区域应精神饱满，穿着得体，仪表整洁。禁止穿短裤、超短裙、无领或无袖衫等休闲装，禁止穿拖鞋，鞋面应干净，头发干净整齐。</w:t>
            </w:r>
          </w:p>
        </w:tc>
        <w:tc>
          <w:tcPr>
            <w:tcW w:w="2863" w:type="dxa"/>
            <w:tcBorders>
              <w:tl2br w:val="nil"/>
              <w:tr2bl w:val="nil"/>
            </w:tcBorders>
            <w:vAlign w:val="center"/>
          </w:tcPr>
          <w:p w14:paraId="4F8EEBEF">
            <w:pPr>
              <w:widowControl/>
              <w:spacing w:line="400" w:lineRule="exact"/>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出现一次，</w:t>
            </w:r>
            <w:r>
              <w:rPr>
                <w:rFonts w:hint="eastAsia" w:ascii="宋体" w:hAnsi="宋体" w:eastAsia="宋体" w:cs="宋体"/>
                <w:sz w:val="21"/>
                <w:szCs w:val="21"/>
                <w:highlight w:val="none"/>
              </w:rPr>
              <w:t>每人次扣</w:t>
            </w:r>
            <w:r>
              <w:rPr>
                <w:rFonts w:hint="eastAsia" w:ascii="宋体" w:hAnsi="宋体" w:eastAsia="宋体" w:cs="宋体"/>
                <w:sz w:val="21"/>
                <w:szCs w:val="21"/>
                <w:highlight w:val="none"/>
                <w:lang w:val="en-US" w:eastAsia="zh-CN"/>
              </w:rPr>
              <w:t>200元</w:t>
            </w:r>
            <w:r>
              <w:rPr>
                <w:rFonts w:hint="eastAsia" w:ascii="宋体" w:hAnsi="宋体" w:eastAsia="宋体" w:cs="宋体"/>
                <w:sz w:val="21"/>
                <w:szCs w:val="21"/>
                <w:highlight w:val="none"/>
              </w:rPr>
              <w:t>。</w:t>
            </w:r>
          </w:p>
        </w:tc>
      </w:tr>
      <w:tr w14:paraId="3D5A3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05" w:hRule="atLeast"/>
          <w:jc w:val="center"/>
        </w:trPr>
        <w:tc>
          <w:tcPr>
            <w:tcW w:w="986" w:type="dxa"/>
            <w:tcBorders>
              <w:tl2br w:val="nil"/>
              <w:tr2bl w:val="nil"/>
            </w:tcBorders>
            <w:vAlign w:val="center"/>
          </w:tcPr>
          <w:p w14:paraId="240FCE15">
            <w:pPr>
              <w:widowControl w:val="0"/>
              <w:spacing w:line="400" w:lineRule="exact"/>
              <w:ind w:firstLine="420" w:firstLineChars="200"/>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5418" w:type="dxa"/>
            <w:tcBorders>
              <w:tl2br w:val="nil"/>
              <w:tr2bl w:val="nil"/>
            </w:tcBorders>
            <w:vAlign w:val="center"/>
          </w:tcPr>
          <w:p w14:paraId="6AE61B33">
            <w:pPr>
              <w:widowControl/>
              <w:spacing w:line="400" w:lineRule="exact"/>
              <w:contextualSpacing/>
              <w:jc w:val="left"/>
              <w:textAlignment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运维人员上班期间不得聊天，不得高声喧哗、打闹，保持良好的工作环境。拨打电话中需控制音量，避免妨碍他人工作，禁止未经允许进入他人办公室。做到礼貌待人、文明服务，言谈举止谦和、诚恳友善。在工作中遇到问题，禁止与用户发生争执，要及时向采购人相关负责人汇报情况，并服从工作安排。</w:t>
            </w:r>
          </w:p>
        </w:tc>
        <w:tc>
          <w:tcPr>
            <w:tcW w:w="2863" w:type="dxa"/>
            <w:tcBorders>
              <w:tl2br w:val="nil"/>
              <w:tr2bl w:val="nil"/>
            </w:tcBorders>
            <w:vAlign w:val="center"/>
          </w:tcPr>
          <w:p w14:paraId="68472E0F">
            <w:pPr>
              <w:widowControl/>
              <w:spacing w:line="400" w:lineRule="exact"/>
              <w:contextualSpacing/>
              <w:textAlignment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出现一次，</w:t>
            </w:r>
            <w:r>
              <w:rPr>
                <w:rFonts w:hint="eastAsia" w:ascii="宋体" w:hAnsi="宋体" w:eastAsia="宋体" w:cs="宋体"/>
                <w:sz w:val="21"/>
                <w:szCs w:val="21"/>
                <w:highlight w:val="none"/>
              </w:rPr>
              <w:t>每人次扣</w:t>
            </w:r>
            <w:r>
              <w:rPr>
                <w:rFonts w:hint="eastAsia" w:ascii="宋体" w:hAnsi="宋体" w:eastAsia="宋体" w:cs="宋体"/>
                <w:sz w:val="21"/>
                <w:szCs w:val="21"/>
                <w:highlight w:val="none"/>
                <w:lang w:val="en-US" w:eastAsia="zh-CN"/>
              </w:rPr>
              <w:t>500元</w:t>
            </w:r>
            <w:r>
              <w:rPr>
                <w:rFonts w:hint="eastAsia" w:ascii="宋体" w:hAnsi="宋体" w:eastAsia="宋体" w:cs="宋体"/>
                <w:sz w:val="21"/>
                <w:szCs w:val="21"/>
                <w:highlight w:val="none"/>
              </w:rPr>
              <w:t>。</w:t>
            </w:r>
          </w:p>
        </w:tc>
      </w:tr>
      <w:tr w14:paraId="3E15A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31" w:hRule="atLeast"/>
          <w:jc w:val="center"/>
        </w:trPr>
        <w:tc>
          <w:tcPr>
            <w:tcW w:w="986" w:type="dxa"/>
            <w:tcBorders>
              <w:tl2br w:val="nil"/>
              <w:tr2bl w:val="nil"/>
            </w:tcBorders>
            <w:vAlign w:val="center"/>
          </w:tcPr>
          <w:p w14:paraId="0DF081A8">
            <w:pPr>
              <w:spacing w:line="400" w:lineRule="exact"/>
              <w:contextualSpacing/>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5418" w:type="dxa"/>
            <w:tcBorders>
              <w:tl2br w:val="nil"/>
              <w:tr2bl w:val="nil"/>
            </w:tcBorders>
            <w:vAlign w:val="center"/>
          </w:tcPr>
          <w:p w14:paraId="3B90CF3B">
            <w:pPr>
              <w:widowControl/>
              <w:spacing w:line="400" w:lineRule="exact"/>
              <w:contextualSpacing/>
              <w:jc w:val="left"/>
              <w:textAlignment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运维人员上班期间应从事工作职责范围内的工作，不得看与工作无关的报刊，杂志或者书籍，不得玩游戏，不得上网进行与工作无关的活动，不得下载和阅读与工作无关的文件、不得在工作时间内处理私事。</w:t>
            </w:r>
          </w:p>
        </w:tc>
        <w:tc>
          <w:tcPr>
            <w:tcW w:w="2863" w:type="dxa"/>
            <w:tcBorders>
              <w:tl2br w:val="nil"/>
              <w:tr2bl w:val="nil"/>
            </w:tcBorders>
            <w:vAlign w:val="center"/>
          </w:tcPr>
          <w:p w14:paraId="045F6ABA">
            <w:pPr>
              <w:widowControl/>
              <w:spacing w:line="400" w:lineRule="exact"/>
              <w:contextualSpacing/>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出现一次，</w:t>
            </w:r>
            <w:r>
              <w:rPr>
                <w:rFonts w:hint="eastAsia" w:ascii="宋体" w:hAnsi="宋体" w:eastAsia="宋体" w:cs="宋体"/>
                <w:sz w:val="21"/>
                <w:szCs w:val="21"/>
                <w:highlight w:val="none"/>
              </w:rPr>
              <w:t>每人次扣</w:t>
            </w:r>
            <w:r>
              <w:rPr>
                <w:rFonts w:hint="eastAsia" w:ascii="宋体" w:hAnsi="宋体" w:eastAsia="宋体" w:cs="宋体"/>
                <w:sz w:val="21"/>
                <w:szCs w:val="21"/>
                <w:highlight w:val="none"/>
                <w:lang w:val="en-US" w:eastAsia="zh-CN"/>
              </w:rPr>
              <w:t>500元</w:t>
            </w:r>
            <w:r>
              <w:rPr>
                <w:rFonts w:hint="eastAsia" w:ascii="宋体" w:hAnsi="宋体" w:eastAsia="宋体" w:cs="宋体"/>
                <w:sz w:val="21"/>
                <w:szCs w:val="21"/>
                <w:highlight w:val="none"/>
              </w:rPr>
              <w:t>。</w:t>
            </w:r>
          </w:p>
        </w:tc>
      </w:tr>
      <w:tr w14:paraId="708F0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6" w:hRule="atLeast"/>
          <w:jc w:val="center"/>
        </w:trPr>
        <w:tc>
          <w:tcPr>
            <w:tcW w:w="986" w:type="dxa"/>
            <w:tcBorders>
              <w:tl2br w:val="nil"/>
              <w:tr2bl w:val="nil"/>
            </w:tcBorders>
            <w:vAlign w:val="center"/>
          </w:tcPr>
          <w:p w14:paraId="2EF2233D">
            <w:pPr>
              <w:spacing w:line="400" w:lineRule="exact"/>
              <w:contextualSpacing/>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5418" w:type="dxa"/>
            <w:tcBorders>
              <w:tl2br w:val="nil"/>
              <w:tr2bl w:val="nil"/>
            </w:tcBorders>
            <w:vAlign w:val="center"/>
          </w:tcPr>
          <w:p w14:paraId="13268531">
            <w:pPr>
              <w:widowControl/>
              <w:spacing w:line="400" w:lineRule="exact"/>
              <w:contextualSpacing/>
              <w:jc w:val="left"/>
              <w:textAlignment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运维人员应保持个人办公区域整洁，不堆放与工作无关的报纸、杂志和零食等物品。办公桌面物品摆放整齐有序，工作文稿放置妥当，严防遗失、泄密。</w:t>
            </w:r>
          </w:p>
        </w:tc>
        <w:tc>
          <w:tcPr>
            <w:tcW w:w="2863" w:type="dxa"/>
            <w:tcBorders>
              <w:tl2br w:val="nil"/>
              <w:tr2bl w:val="nil"/>
            </w:tcBorders>
            <w:vAlign w:val="center"/>
          </w:tcPr>
          <w:p w14:paraId="1C9F5ACC">
            <w:pPr>
              <w:widowControl/>
              <w:spacing w:line="400" w:lineRule="exact"/>
              <w:contextualSpacing/>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出现一次，</w:t>
            </w:r>
            <w:r>
              <w:rPr>
                <w:rFonts w:hint="eastAsia" w:ascii="宋体" w:hAnsi="宋体" w:eastAsia="宋体" w:cs="宋体"/>
                <w:sz w:val="21"/>
                <w:szCs w:val="21"/>
                <w:highlight w:val="none"/>
              </w:rPr>
              <w:t>每人次扣</w:t>
            </w:r>
            <w:r>
              <w:rPr>
                <w:rFonts w:hint="eastAsia" w:ascii="宋体" w:hAnsi="宋体" w:eastAsia="宋体" w:cs="宋体"/>
                <w:sz w:val="21"/>
                <w:szCs w:val="21"/>
                <w:highlight w:val="none"/>
                <w:lang w:val="en-US" w:eastAsia="zh-CN"/>
              </w:rPr>
              <w:t>500元</w:t>
            </w:r>
            <w:r>
              <w:rPr>
                <w:rFonts w:hint="eastAsia" w:ascii="宋体" w:hAnsi="宋体" w:eastAsia="宋体" w:cs="宋体"/>
                <w:sz w:val="21"/>
                <w:szCs w:val="21"/>
                <w:highlight w:val="none"/>
              </w:rPr>
              <w:t>。</w:t>
            </w:r>
          </w:p>
        </w:tc>
      </w:tr>
      <w:tr w14:paraId="2C5D5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16" w:hRule="atLeast"/>
          <w:jc w:val="center"/>
        </w:trPr>
        <w:tc>
          <w:tcPr>
            <w:tcW w:w="986" w:type="dxa"/>
            <w:tcBorders>
              <w:tl2br w:val="nil"/>
              <w:tr2bl w:val="nil"/>
            </w:tcBorders>
            <w:vAlign w:val="center"/>
          </w:tcPr>
          <w:p w14:paraId="38327DF1">
            <w:pPr>
              <w:spacing w:line="400" w:lineRule="exact"/>
              <w:contextualSpacing/>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5418" w:type="dxa"/>
            <w:tcBorders>
              <w:tl2br w:val="nil"/>
              <w:tr2bl w:val="nil"/>
            </w:tcBorders>
            <w:vAlign w:val="center"/>
          </w:tcPr>
          <w:p w14:paraId="38FDB9F5">
            <w:pPr>
              <w:spacing w:line="400" w:lineRule="exact"/>
              <w:ind w:firstLine="0" w:firstLineChars="0"/>
              <w:contextualSpacing/>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运维人员应保持运维场地干净整洁，按照卫生值日工作的安排，值日人员每日下班前及时清理运维场地公共卫生，确保办公环境干净整洁。由运维场地值日管理人员检查卫生情况并记录。</w:t>
            </w:r>
          </w:p>
        </w:tc>
        <w:tc>
          <w:tcPr>
            <w:tcW w:w="2863" w:type="dxa"/>
            <w:tcBorders>
              <w:tl2br w:val="nil"/>
              <w:tr2bl w:val="nil"/>
            </w:tcBorders>
            <w:vAlign w:val="center"/>
          </w:tcPr>
          <w:p w14:paraId="7D6EA42B">
            <w:pPr>
              <w:widowControl/>
              <w:spacing w:line="400" w:lineRule="exact"/>
              <w:contextualSpacing/>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出现一次，</w:t>
            </w:r>
            <w:r>
              <w:rPr>
                <w:rFonts w:hint="eastAsia" w:ascii="宋体" w:hAnsi="宋体" w:eastAsia="宋体" w:cs="宋体"/>
                <w:sz w:val="21"/>
                <w:szCs w:val="21"/>
                <w:highlight w:val="none"/>
              </w:rPr>
              <w:t>每人次扣</w:t>
            </w:r>
            <w:r>
              <w:rPr>
                <w:rFonts w:hint="eastAsia" w:ascii="宋体" w:hAnsi="宋体" w:eastAsia="宋体" w:cs="宋体"/>
                <w:sz w:val="21"/>
                <w:szCs w:val="21"/>
                <w:highlight w:val="none"/>
                <w:lang w:val="en-US" w:eastAsia="zh-CN"/>
              </w:rPr>
              <w:t>500元</w:t>
            </w:r>
            <w:r>
              <w:rPr>
                <w:rFonts w:hint="eastAsia" w:ascii="宋体" w:hAnsi="宋体" w:eastAsia="宋体" w:cs="宋体"/>
                <w:sz w:val="21"/>
                <w:szCs w:val="21"/>
                <w:highlight w:val="none"/>
              </w:rPr>
              <w:t>。</w:t>
            </w:r>
          </w:p>
        </w:tc>
      </w:tr>
      <w:tr w14:paraId="70739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6" w:hRule="atLeast"/>
          <w:jc w:val="center"/>
        </w:trPr>
        <w:tc>
          <w:tcPr>
            <w:tcW w:w="986" w:type="dxa"/>
            <w:tcBorders>
              <w:tl2br w:val="nil"/>
              <w:tr2bl w:val="nil"/>
            </w:tcBorders>
            <w:vAlign w:val="center"/>
          </w:tcPr>
          <w:p w14:paraId="76C872A8">
            <w:pPr>
              <w:spacing w:line="400" w:lineRule="exact"/>
              <w:contextualSpacing/>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5418" w:type="dxa"/>
            <w:tcBorders>
              <w:tl2br w:val="nil"/>
              <w:tr2bl w:val="nil"/>
            </w:tcBorders>
            <w:vAlign w:val="center"/>
          </w:tcPr>
          <w:p w14:paraId="4A809792">
            <w:pPr>
              <w:spacing w:line="400" w:lineRule="exact"/>
              <w:ind w:firstLine="0" w:firstLineChars="0"/>
              <w:contextualSpacing/>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运维人员每日工作结束后应及时关闭个人电脑及相关外设、照明、空调及其他电源设备，保证运维场地用电安全，如有特殊情况不能关闭需向采购人说明。</w:t>
            </w:r>
          </w:p>
        </w:tc>
        <w:tc>
          <w:tcPr>
            <w:tcW w:w="2863" w:type="dxa"/>
            <w:tcBorders>
              <w:tl2br w:val="nil"/>
              <w:tr2bl w:val="nil"/>
            </w:tcBorders>
            <w:vAlign w:val="center"/>
          </w:tcPr>
          <w:p w14:paraId="3A7BB674">
            <w:pPr>
              <w:widowControl/>
              <w:spacing w:line="400" w:lineRule="exact"/>
              <w:contextualSpacing/>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出现一次，</w:t>
            </w:r>
            <w:r>
              <w:rPr>
                <w:rFonts w:hint="eastAsia" w:ascii="宋体" w:hAnsi="宋体" w:eastAsia="宋体" w:cs="宋体"/>
                <w:sz w:val="21"/>
                <w:szCs w:val="21"/>
                <w:highlight w:val="none"/>
              </w:rPr>
              <w:t>每人次扣</w:t>
            </w:r>
            <w:r>
              <w:rPr>
                <w:rFonts w:hint="eastAsia" w:ascii="宋体" w:hAnsi="宋体" w:eastAsia="宋体" w:cs="宋体"/>
                <w:sz w:val="21"/>
                <w:szCs w:val="21"/>
                <w:highlight w:val="none"/>
                <w:lang w:val="en-US" w:eastAsia="zh-CN"/>
              </w:rPr>
              <w:t>500元</w:t>
            </w:r>
            <w:r>
              <w:rPr>
                <w:rFonts w:hint="eastAsia" w:ascii="宋体" w:hAnsi="宋体" w:eastAsia="宋体" w:cs="宋体"/>
                <w:sz w:val="21"/>
                <w:szCs w:val="21"/>
                <w:highlight w:val="none"/>
              </w:rPr>
              <w:t>。</w:t>
            </w:r>
          </w:p>
        </w:tc>
      </w:tr>
      <w:tr w14:paraId="7F271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70" w:hRule="atLeast"/>
          <w:jc w:val="center"/>
        </w:trPr>
        <w:tc>
          <w:tcPr>
            <w:tcW w:w="986" w:type="dxa"/>
            <w:tcBorders>
              <w:tl2br w:val="nil"/>
              <w:tr2bl w:val="nil"/>
            </w:tcBorders>
            <w:vAlign w:val="center"/>
          </w:tcPr>
          <w:p w14:paraId="27E895A5">
            <w:pPr>
              <w:spacing w:line="400" w:lineRule="exact"/>
              <w:contextualSpacing/>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5418" w:type="dxa"/>
            <w:tcBorders>
              <w:tl2br w:val="nil"/>
              <w:tr2bl w:val="nil"/>
            </w:tcBorders>
            <w:vAlign w:val="center"/>
          </w:tcPr>
          <w:p w14:paraId="165DFFAC">
            <w:pPr>
              <w:widowControl/>
              <w:spacing w:line="400" w:lineRule="exact"/>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严禁运维人员使用工作电话拨打或接听任何私人电话。</w:t>
            </w:r>
          </w:p>
        </w:tc>
        <w:tc>
          <w:tcPr>
            <w:tcW w:w="2863" w:type="dxa"/>
            <w:tcBorders>
              <w:tl2br w:val="nil"/>
              <w:tr2bl w:val="nil"/>
            </w:tcBorders>
            <w:vAlign w:val="center"/>
          </w:tcPr>
          <w:p w14:paraId="0852E356">
            <w:pPr>
              <w:widowControl/>
              <w:spacing w:line="400" w:lineRule="exact"/>
              <w:contextualSpacing/>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出现一次，</w:t>
            </w:r>
            <w:r>
              <w:rPr>
                <w:rFonts w:hint="eastAsia" w:ascii="宋体" w:hAnsi="宋体" w:eastAsia="宋体" w:cs="宋体"/>
                <w:sz w:val="21"/>
                <w:szCs w:val="21"/>
                <w:highlight w:val="none"/>
              </w:rPr>
              <w:t>每人次扣</w:t>
            </w:r>
            <w:r>
              <w:rPr>
                <w:rFonts w:hint="eastAsia" w:ascii="宋体" w:hAnsi="宋体" w:eastAsia="宋体" w:cs="宋体"/>
                <w:sz w:val="21"/>
                <w:szCs w:val="21"/>
                <w:highlight w:val="none"/>
                <w:lang w:val="en-US" w:eastAsia="zh-CN"/>
              </w:rPr>
              <w:t>500元</w:t>
            </w:r>
            <w:r>
              <w:rPr>
                <w:rFonts w:hint="eastAsia" w:ascii="宋体" w:hAnsi="宋体" w:eastAsia="宋体" w:cs="宋体"/>
                <w:sz w:val="21"/>
                <w:szCs w:val="21"/>
                <w:highlight w:val="none"/>
              </w:rPr>
              <w:t>。</w:t>
            </w:r>
          </w:p>
        </w:tc>
      </w:tr>
      <w:tr w14:paraId="2C459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3" w:hRule="atLeast"/>
          <w:jc w:val="center"/>
        </w:trPr>
        <w:tc>
          <w:tcPr>
            <w:tcW w:w="986" w:type="dxa"/>
            <w:tcBorders>
              <w:tl2br w:val="nil"/>
              <w:tr2bl w:val="nil"/>
            </w:tcBorders>
            <w:vAlign w:val="center"/>
          </w:tcPr>
          <w:p w14:paraId="0F91451B">
            <w:pPr>
              <w:spacing w:line="400" w:lineRule="exact"/>
              <w:contextualSpacing/>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5418" w:type="dxa"/>
            <w:tcBorders>
              <w:tl2br w:val="nil"/>
              <w:tr2bl w:val="nil"/>
            </w:tcBorders>
            <w:vAlign w:val="center"/>
          </w:tcPr>
          <w:p w14:paraId="06DECCDF">
            <w:pPr>
              <w:widowControl/>
              <w:spacing w:line="400" w:lineRule="exact"/>
              <w:contextualSpacing/>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运维人员严禁在运维场地及省局办公区域吸烟嚼槟榔。</w:t>
            </w:r>
          </w:p>
        </w:tc>
        <w:tc>
          <w:tcPr>
            <w:tcW w:w="2863" w:type="dxa"/>
            <w:tcBorders>
              <w:tl2br w:val="nil"/>
              <w:tr2bl w:val="nil"/>
            </w:tcBorders>
            <w:vAlign w:val="center"/>
          </w:tcPr>
          <w:p w14:paraId="1D21A35B">
            <w:pPr>
              <w:widowControl/>
              <w:spacing w:line="400" w:lineRule="exact"/>
              <w:contextualSpacing/>
              <w:jc w:val="both"/>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出现一次，</w:t>
            </w:r>
            <w:r>
              <w:rPr>
                <w:rFonts w:hint="eastAsia" w:ascii="宋体" w:hAnsi="宋体" w:eastAsia="宋体" w:cs="宋体"/>
                <w:sz w:val="21"/>
                <w:szCs w:val="21"/>
                <w:highlight w:val="none"/>
              </w:rPr>
              <w:t>每人次扣</w:t>
            </w:r>
            <w:r>
              <w:rPr>
                <w:rFonts w:hint="eastAsia" w:ascii="宋体" w:hAnsi="宋体" w:eastAsia="宋体" w:cs="宋体"/>
                <w:sz w:val="21"/>
                <w:szCs w:val="21"/>
                <w:highlight w:val="none"/>
                <w:lang w:val="en-US" w:eastAsia="zh-CN"/>
              </w:rPr>
              <w:t>500元</w:t>
            </w:r>
            <w:r>
              <w:rPr>
                <w:rFonts w:hint="eastAsia" w:ascii="宋体" w:hAnsi="宋体" w:eastAsia="宋体" w:cs="宋体"/>
                <w:sz w:val="21"/>
                <w:szCs w:val="21"/>
                <w:highlight w:val="none"/>
              </w:rPr>
              <w:t>。</w:t>
            </w:r>
          </w:p>
        </w:tc>
      </w:tr>
      <w:tr w14:paraId="1EE2B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77" w:hRule="atLeast"/>
          <w:jc w:val="center"/>
        </w:trPr>
        <w:tc>
          <w:tcPr>
            <w:tcW w:w="986" w:type="dxa"/>
            <w:tcBorders>
              <w:tl2br w:val="nil"/>
              <w:tr2bl w:val="nil"/>
            </w:tcBorders>
            <w:vAlign w:val="center"/>
          </w:tcPr>
          <w:p w14:paraId="74FEEDDB">
            <w:pPr>
              <w:spacing w:line="400" w:lineRule="exact"/>
              <w:contextualSpacing/>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5418" w:type="dxa"/>
            <w:tcBorders>
              <w:tl2br w:val="nil"/>
              <w:tr2bl w:val="nil"/>
            </w:tcBorders>
            <w:vAlign w:val="center"/>
          </w:tcPr>
          <w:p w14:paraId="002CF247">
            <w:pPr>
              <w:widowControl/>
              <w:spacing w:line="400" w:lineRule="exact"/>
              <w:contextualSpacing/>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未经允许，任何人不得擅自拆卸、安装、带离运维场地终端设备。严禁外来台式计算机、便携式计算机（含平板电脑）设备进入运维场地，对违反规定人员，运维场地管理人员可采取警告、没收设备、驱离等方式进行处理。对于发生网络和数据安全事件的人员和单位，按规定追究相关责任。</w:t>
            </w:r>
          </w:p>
        </w:tc>
        <w:tc>
          <w:tcPr>
            <w:tcW w:w="2863" w:type="dxa"/>
            <w:tcBorders>
              <w:tl2br w:val="nil"/>
              <w:tr2bl w:val="nil"/>
            </w:tcBorders>
            <w:vAlign w:val="center"/>
          </w:tcPr>
          <w:p w14:paraId="75A2D6CB">
            <w:pPr>
              <w:widowControl/>
              <w:spacing w:line="400" w:lineRule="exact"/>
              <w:contextualSpacing/>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出现一次，</w:t>
            </w:r>
            <w:r>
              <w:rPr>
                <w:rFonts w:hint="eastAsia" w:ascii="宋体" w:hAnsi="宋体" w:eastAsia="宋体" w:cs="宋体"/>
                <w:sz w:val="21"/>
                <w:szCs w:val="21"/>
                <w:highlight w:val="none"/>
              </w:rPr>
              <w:t>每人次扣</w:t>
            </w:r>
            <w:r>
              <w:rPr>
                <w:rFonts w:hint="eastAsia" w:ascii="宋体" w:hAnsi="宋体" w:eastAsia="宋体" w:cs="宋体"/>
                <w:sz w:val="21"/>
                <w:szCs w:val="21"/>
                <w:highlight w:val="none"/>
                <w:lang w:val="en-US" w:eastAsia="zh-CN"/>
              </w:rPr>
              <w:t>1000元</w:t>
            </w:r>
            <w:r>
              <w:rPr>
                <w:rFonts w:hint="eastAsia" w:ascii="宋体" w:hAnsi="宋体" w:eastAsia="宋体" w:cs="宋体"/>
                <w:sz w:val="21"/>
                <w:szCs w:val="21"/>
                <w:highlight w:val="none"/>
              </w:rPr>
              <w:t>。</w:t>
            </w:r>
          </w:p>
        </w:tc>
      </w:tr>
      <w:tr w14:paraId="0A47F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82" w:hRule="atLeast"/>
          <w:jc w:val="center"/>
        </w:trPr>
        <w:tc>
          <w:tcPr>
            <w:tcW w:w="986" w:type="dxa"/>
            <w:tcBorders>
              <w:tl2br w:val="nil"/>
              <w:tr2bl w:val="nil"/>
            </w:tcBorders>
            <w:vAlign w:val="center"/>
          </w:tcPr>
          <w:p w14:paraId="4F3DFDA8">
            <w:pPr>
              <w:spacing w:line="400" w:lineRule="exact"/>
              <w:contextualSpacing/>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5418" w:type="dxa"/>
            <w:tcBorders>
              <w:tl2br w:val="nil"/>
              <w:tr2bl w:val="nil"/>
            </w:tcBorders>
            <w:vAlign w:val="center"/>
          </w:tcPr>
          <w:p w14:paraId="19398683">
            <w:pPr>
              <w:widowControl/>
              <w:spacing w:line="400" w:lineRule="exact"/>
              <w:contextualSpacing/>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未经允许，任何人不得擅自拆卸、安装、带离运维场地终端设备。严禁外来台式计算机、便携式计算机（含平板电脑）设备进入运维场地，对违反规定人员，运维场地管理人员可采取警告、没收设备、驱离等方式进行处理。对于发生网络和数据安全事件的人员和单位，按规定追究相关责任。</w:t>
            </w:r>
          </w:p>
        </w:tc>
        <w:tc>
          <w:tcPr>
            <w:tcW w:w="2863" w:type="dxa"/>
            <w:tcBorders>
              <w:tl2br w:val="nil"/>
              <w:tr2bl w:val="nil"/>
            </w:tcBorders>
            <w:vAlign w:val="center"/>
          </w:tcPr>
          <w:p w14:paraId="12AF8332">
            <w:pPr>
              <w:widowControl/>
              <w:spacing w:line="400" w:lineRule="exact"/>
              <w:contextualSpacing/>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出现一次，</w:t>
            </w:r>
            <w:r>
              <w:rPr>
                <w:rFonts w:hint="eastAsia" w:ascii="宋体" w:hAnsi="宋体" w:eastAsia="宋体" w:cs="宋体"/>
                <w:sz w:val="21"/>
                <w:szCs w:val="21"/>
                <w:highlight w:val="none"/>
              </w:rPr>
              <w:t>每人次扣</w:t>
            </w:r>
            <w:r>
              <w:rPr>
                <w:rFonts w:hint="eastAsia" w:ascii="宋体" w:hAnsi="宋体" w:eastAsia="宋体" w:cs="宋体"/>
                <w:sz w:val="21"/>
                <w:szCs w:val="21"/>
                <w:highlight w:val="none"/>
                <w:lang w:val="en-US" w:eastAsia="zh-CN"/>
              </w:rPr>
              <w:t>1000元</w:t>
            </w:r>
            <w:r>
              <w:rPr>
                <w:rFonts w:hint="eastAsia" w:ascii="宋体" w:hAnsi="宋体" w:eastAsia="宋体" w:cs="宋体"/>
                <w:sz w:val="21"/>
                <w:szCs w:val="21"/>
                <w:highlight w:val="none"/>
              </w:rPr>
              <w:t>。</w:t>
            </w:r>
          </w:p>
        </w:tc>
      </w:tr>
    </w:tbl>
    <w:p w14:paraId="69CE51F1">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0"/>
          <w:szCs w:val="21"/>
          <w:highlight w:val="none"/>
          <w:lang w:val="en-US" w:eastAsia="zh-CN"/>
        </w:rPr>
      </w:pPr>
    </w:p>
    <w:p w14:paraId="491F1969">
      <w:pPr>
        <w:rPr>
          <w:rFonts w:hint="eastAsia" w:ascii="宋体" w:hAnsi="宋体" w:eastAsia="宋体" w:cs="宋体"/>
          <w:b/>
          <w:bCs/>
          <w:color w:val="auto"/>
          <w:sz w:val="30"/>
          <w:szCs w:val="30"/>
          <w:highlight w:val="none"/>
          <w:lang w:val="en-US" w:eastAsia="zh-CN"/>
        </w:rPr>
      </w:pPr>
    </w:p>
    <w:bookmarkEnd w:id="31"/>
    <w:bookmarkEnd w:id="32"/>
    <w:bookmarkEnd w:id="33"/>
    <w:bookmarkEnd w:id="34"/>
    <w:bookmarkEnd w:id="35"/>
    <w:bookmarkEnd w:id="36"/>
    <w:bookmarkEnd w:id="37"/>
    <w:bookmarkEnd w:id="38"/>
    <w:bookmarkEnd w:id="39"/>
    <w:p w14:paraId="058C83B1">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4.1</w:t>
      </w:r>
      <w:r>
        <w:rPr>
          <w:rFonts w:hint="eastAsia" w:ascii="宋体" w:hAnsi="宋体" w:cs="宋体"/>
          <w:b/>
          <w:kern w:val="2"/>
          <w:sz w:val="21"/>
          <w:szCs w:val="21"/>
          <w:highlight w:val="none"/>
          <w:lang w:val="en-US" w:eastAsia="zh-CN" w:bidi="ar-SA"/>
        </w:rPr>
        <w:t>2</w:t>
      </w:r>
      <w:r>
        <w:rPr>
          <w:rFonts w:hint="eastAsia" w:ascii="宋体" w:hAnsi="宋体" w:eastAsia="宋体" w:cs="宋体"/>
          <w:b/>
          <w:kern w:val="2"/>
          <w:sz w:val="21"/>
          <w:szCs w:val="21"/>
          <w:highlight w:val="none"/>
          <w:lang w:val="en-US" w:eastAsia="zh-CN" w:bidi="ar-SA"/>
        </w:rPr>
        <w:t xml:space="preserve"> </w:t>
      </w:r>
      <w:r>
        <w:rPr>
          <w:rFonts w:hint="eastAsia" w:ascii="宋体" w:hAnsi="宋体" w:cs="宋体"/>
          <w:b/>
          <w:kern w:val="2"/>
          <w:sz w:val="21"/>
          <w:szCs w:val="21"/>
          <w:highlight w:val="none"/>
          <w:lang w:val="en-US" w:eastAsia="zh-CN" w:bidi="ar-SA"/>
        </w:rPr>
        <w:t>合同价款支付方式及时间</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97"/>
        <w:gridCol w:w="4847"/>
        <w:gridCol w:w="1022"/>
        <w:gridCol w:w="1189"/>
      </w:tblGrid>
      <w:tr w14:paraId="3EE7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043428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97" w:type="dxa"/>
            <w:vAlign w:val="center"/>
          </w:tcPr>
          <w:p w14:paraId="6FA0D7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847" w:type="dxa"/>
            <w:vAlign w:val="center"/>
          </w:tcPr>
          <w:p w14:paraId="6C0A96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022" w:type="dxa"/>
            <w:vAlign w:val="center"/>
          </w:tcPr>
          <w:p w14:paraId="69601D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43C9DB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1E8F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7DC9FA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Align w:val="center"/>
          </w:tcPr>
          <w:p w14:paraId="1721FA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支付方式及时间</w:t>
            </w:r>
          </w:p>
        </w:tc>
        <w:tc>
          <w:tcPr>
            <w:tcW w:w="4847" w:type="dxa"/>
            <w:vAlign w:val="center"/>
          </w:tcPr>
          <w:p w14:paraId="4B39EDC1">
            <w:pPr>
              <w:widowControl w:val="0"/>
              <w:numPr>
                <w:ilvl w:val="0"/>
                <w:numId w:val="0"/>
              </w:numPr>
              <w:spacing w:line="400" w:lineRule="exact"/>
              <w:contextualSpacing/>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付款单位：国家税务总局湖南省税务局</w:t>
            </w:r>
          </w:p>
          <w:p w14:paraId="7B59BAB9">
            <w:pPr>
              <w:widowControl w:val="0"/>
              <w:numPr>
                <w:ilvl w:val="0"/>
                <w:numId w:val="0"/>
              </w:numPr>
              <w:spacing w:line="400" w:lineRule="exact"/>
              <w:contextualSpacing/>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付款方式：</w:t>
            </w:r>
          </w:p>
          <w:p w14:paraId="6404BCD3">
            <w:pPr>
              <w:widowControl w:val="0"/>
              <w:numPr>
                <w:ilvl w:val="0"/>
                <w:numId w:val="0"/>
              </w:numPr>
              <w:spacing w:line="400" w:lineRule="exact"/>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1.本项目自合同签订之日起30个日历日内预付合同款项5%；</w:t>
            </w:r>
          </w:p>
          <w:p w14:paraId="3584EECF">
            <w:pPr>
              <w:widowControl w:val="0"/>
              <w:numPr>
                <w:ilvl w:val="0"/>
                <w:numId w:val="0"/>
              </w:numPr>
              <w:spacing w:line="400" w:lineRule="exact"/>
              <w:contextualSpacing/>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2.初验合格之日起30个日历日内支付合同款项30%</w:t>
            </w:r>
            <w:r>
              <w:rPr>
                <w:rFonts w:hint="eastAsia" w:ascii="宋体" w:hAnsi="宋体" w:cs="宋体"/>
                <w:sz w:val="21"/>
                <w:szCs w:val="21"/>
                <w:highlight w:val="none"/>
                <w:lang w:eastAsia="zh-CN"/>
              </w:rPr>
              <w:t>；</w:t>
            </w:r>
          </w:p>
          <w:p w14:paraId="56EF9B85">
            <w:pPr>
              <w:widowControl w:val="0"/>
              <w:numPr>
                <w:ilvl w:val="0"/>
                <w:numId w:val="0"/>
              </w:numPr>
              <w:spacing w:line="400" w:lineRule="exact"/>
              <w:contextualSpacing/>
              <w:rPr>
                <w:rFonts w:hint="eastAsia" w:eastAsia="宋体"/>
                <w:highlight w:val="none"/>
                <w:lang w:val="en-US" w:eastAsia="zh-CN"/>
              </w:rPr>
            </w:pPr>
            <w:r>
              <w:rPr>
                <w:rFonts w:hint="eastAsia" w:ascii="宋体" w:hAnsi="宋体" w:eastAsia="宋体" w:cs="宋体"/>
                <w:sz w:val="21"/>
                <w:szCs w:val="21"/>
                <w:highlight w:val="none"/>
              </w:rPr>
              <w:t>3.终验合格之日起30个日历日内支付合同款项65%</w:t>
            </w:r>
            <w:r>
              <w:rPr>
                <w:rFonts w:hint="eastAsia" w:ascii="宋体" w:hAnsi="宋体" w:cs="宋体"/>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根据考核结果，核减支付金额</w:t>
            </w:r>
            <w:r>
              <w:rPr>
                <w:rFonts w:hint="eastAsia" w:ascii="宋体" w:hAnsi="宋体" w:cs="宋体"/>
                <w:sz w:val="21"/>
                <w:szCs w:val="21"/>
                <w:highlight w:val="none"/>
                <w:lang w:eastAsia="zh-CN"/>
              </w:rPr>
              <w:t>）。</w:t>
            </w:r>
          </w:p>
        </w:tc>
        <w:tc>
          <w:tcPr>
            <w:tcW w:w="1022" w:type="dxa"/>
            <w:vAlign w:val="center"/>
          </w:tcPr>
          <w:p w14:paraId="6E4C72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w:t>
            </w:r>
          </w:p>
        </w:tc>
        <w:tc>
          <w:tcPr>
            <w:tcW w:w="1189" w:type="dxa"/>
            <w:vAlign w:val="center"/>
          </w:tcPr>
          <w:p w14:paraId="50E498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zh-CN" w:eastAsia="zh-CN"/>
              </w:rPr>
              <w:t>承诺</w:t>
            </w:r>
            <w:r>
              <w:rPr>
                <w:rFonts w:hint="eastAsia" w:ascii="宋体" w:hAnsi="宋体" w:eastAsia="宋体" w:cs="宋体"/>
                <w:sz w:val="21"/>
                <w:szCs w:val="21"/>
                <w:highlight w:val="none"/>
                <w:lang w:val="en-US" w:eastAsia="zh-CN"/>
              </w:rPr>
              <w:t>函</w:t>
            </w:r>
            <w:r>
              <w:rPr>
                <w:rFonts w:hint="eastAsia" w:ascii="宋体" w:hAnsi="宋体" w:eastAsia="宋体" w:cs="宋体"/>
                <w:sz w:val="21"/>
                <w:szCs w:val="21"/>
                <w:highlight w:val="none"/>
                <w:lang w:val="zh-CN" w:eastAsia="zh-CN"/>
              </w:rPr>
              <w:t>并盖投标人公章</w:t>
            </w:r>
          </w:p>
        </w:tc>
      </w:tr>
    </w:tbl>
    <w:p w14:paraId="2A3D9CD9">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kern w:val="2"/>
          <w:sz w:val="21"/>
          <w:szCs w:val="21"/>
          <w:highlight w:val="none"/>
          <w:lang w:val="en-US" w:eastAsia="zh-CN" w:bidi="ar-SA"/>
        </w:rPr>
      </w:pPr>
    </w:p>
    <w:p w14:paraId="5B3F8CD9">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4.1</w:t>
      </w:r>
      <w:r>
        <w:rPr>
          <w:rFonts w:hint="eastAsia" w:ascii="宋体" w:hAnsi="宋体" w:cs="宋体"/>
          <w:b/>
          <w:kern w:val="2"/>
          <w:sz w:val="21"/>
          <w:szCs w:val="21"/>
          <w:highlight w:val="none"/>
          <w:lang w:val="en-US" w:eastAsia="zh-CN" w:bidi="ar-SA"/>
        </w:rPr>
        <w:t>2</w:t>
      </w:r>
      <w:r>
        <w:rPr>
          <w:rFonts w:hint="eastAsia" w:ascii="宋体" w:hAnsi="宋体" w:eastAsia="宋体" w:cs="宋体"/>
          <w:b/>
          <w:kern w:val="2"/>
          <w:sz w:val="21"/>
          <w:szCs w:val="21"/>
          <w:highlight w:val="none"/>
          <w:lang w:val="en-US" w:eastAsia="zh-CN" w:bidi="ar-SA"/>
        </w:rPr>
        <w:t xml:space="preserve"> 服务的时间、地点、方式、项目服务期限</w:t>
      </w:r>
    </w:p>
    <w:tbl>
      <w:tblPr>
        <w:tblStyle w:val="24"/>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97"/>
        <w:gridCol w:w="4847"/>
        <w:gridCol w:w="1022"/>
        <w:gridCol w:w="1189"/>
      </w:tblGrid>
      <w:tr w14:paraId="3B6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0D0DDE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197" w:type="dxa"/>
            <w:vAlign w:val="center"/>
          </w:tcPr>
          <w:p w14:paraId="3B1440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指标名称</w:t>
            </w:r>
          </w:p>
        </w:tc>
        <w:tc>
          <w:tcPr>
            <w:tcW w:w="4847" w:type="dxa"/>
            <w:vAlign w:val="center"/>
          </w:tcPr>
          <w:p w14:paraId="21A006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指标内容</w:t>
            </w:r>
          </w:p>
        </w:tc>
        <w:tc>
          <w:tcPr>
            <w:tcW w:w="1022" w:type="dxa"/>
            <w:vAlign w:val="center"/>
          </w:tcPr>
          <w:p w14:paraId="06B9DC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指标重要度</w:t>
            </w:r>
          </w:p>
        </w:tc>
        <w:tc>
          <w:tcPr>
            <w:tcW w:w="1189" w:type="dxa"/>
            <w:vAlign w:val="center"/>
          </w:tcPr>
          <w:p w14:paraId="045224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是否需要证明材料</w:t>
            </w:r>
          </w:p>
        </w:tc>
      </w:tr>
      <w:tr w14:paraId="5989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23" w:type="dxa"/>
            <w:vAlign w:val="center"/>
          </w:tcPr>
          <w:p w14:paraId="15D523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7" w:type="dxa"/>
            <w:vAlign w:val="center"/>
          </w:tcPr>
          <w:p w14:paraId="5191A2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服务的时间、地点、方式、项目服务期限</w:t>
            </w:r>
          </w:p>
        </w:tc>
        <w:tc>
          <w:tcPr>
            <w:tcW w:w="4847" w:type="dxa"/>
            <w:vAlign w:val="center"/>
          </w:tcPr>
          <w:p w14:paraId="351F5E1F">
            <w:pPr>
              <w:widowControl w:val="0"/>
              <w:numPr>
                <w:ilvl w:val="0"/>
                <w:numId w:val="0"/>
              </w:numPr>
              <w:spacing w:line="400" w:lineRule="exact"/>
              <w:contextualSpacing/>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提供服务的时间：</w:t>
            </w:r>
            <w:r>
              <w:rPr>
                <w:rFonts w:hint="eastAsia" w:ascii="宋体" w:hAnsi="宋体" w:cs="宋体"/>
                <w:kern w:val="0"/>
                <w:sz w:val="21"/>
                <w:szCs w:val="21"/>
                <w:highlight w:val="none"/>
                <w:lang w:eastAsia="zh-CN"/>
              </w:rPr>
              <w:t>2025年1月1日至2025年12月31日</w:t>
            </w:r>
            <w:r>
              <w:rPr>
                <w:rFonts w:hint="eastAsia" w:ascii="宋体" w:hAnsi="宋体" w:eastAsia="宋体" w:cs="宋体"/>
                <w:kern w:val="0"/>
                <w:sz w:val="21"/>
                <w:szCs w:val="21"/>
                <w:highlight w:val="none"/>
                <w:lang w:eastAsia="zh-CN"/>
              </w:rPr>
              <w:t>。</w:t>
            </w:r>
          </w:p>
          <w:p w14:paraId="6FDC3911">
            <w:pPr>
              <w:widowControl w:val="0"/>
              <w:numPr>
                <w:ilvl w:val="0"/>
                <w:numId w:val="0"/>
              </w:numPr>
              <w:spacing w:line="400" w:lineRule="exact"/>
              <w:contextualSpacing/>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提供服务的地点：环保路机房及辅助工作区域（机房；办公区B栋一楼、负一楼UPS电池间），友谊路机房及辅助工作区域（机房；办公区八楼整层；负一楼UPS室及电池间），省税务政务云机房（中国移动东方红路机房三楼；中国移动东方红路机房四楼），</w:t>
            </w:r>
            <w:r>
              <w:rPr>
                <w:rFonts w:hint="eastAsia" w:ascii="宋体" w:hAnsi="宋体" w:eastAsia="宋体" w:cs="宋体"/>
                <w:kern w:val="0"/>
                <w:sz w:val="21"/>
                <w:szCs w:val="21"/>
                <w:highlight w:val="none"/>
                <w:lang w:val="en-US" w:eastAsia="zh-CN"/>
              </w:rPr>
              <w:t>以及</w:t>
            </w:r>
            <w:r>
              <w:rPr>
                <w:rFonts w:hint="eastAsia" w:ascii="宋体" w:hAnsi="宋体" w:eastAsia="宋体" w:cs="宋体"/>
                <w:kern w:val="0"/>
                <w:sz w:val="21"/>
                <w:szCs w:val="21"/>
                <w:highlight w:val="none"/>
                <w:lang w:eastAsia="zh-CN"/>
              </w:rPr>
              <w:t>项目合同期内采购人可能的租赁或扩建区域。</w:t>
            </w:r>
          </w:p>
          <w:p w14:paraId="656B2689">
            <w:pPr>
              <w:widowControl w:val="0"/>
              <w:numPr>
                <w:ilvl w:val="0"/>
                <w:numId w:val="0"/>
              </w:numPr>
              <w:spacing w:line="400" w:lineRule="exact"/>
              <w:contextualSpacing/>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提供服务的方式：现场服务和驻场服务。</w:t>
            </w:r>
          </w:p>
          <w:p w14:paraId="047B08F3">
            <w:pPr>
              <w:widowControl w:val="0"/>
              <w:numPr>
                <w:ilvl w:val="0"/>
                <w:numId w:val="0"/>
              </w:numPr>
              <w:spacing w:line="400" w:lineRule="exact"/>
              <w:contextualSpacing/>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项目服务期限：</w:t>
            </w:r>
            <w:r>
              <w:rPr>
                <w:rFonts w:hint="eastAsia" w:ascii="宋体" w:hAnsi="宋体" w:cs="宋体"/>
                <w:kern w:val="0"/>
                <w:sz w:val="21"/>
                <w:szCs w:val="21"/>
                <w:highlight w:val="none"/>
                <w:lang w:eastAsia="zh-CN"/>
              </w:rPr>
              <w:t>2025年1月1日至2025年12月31日</w:t>
            </w:r>
            <w:r>
              <w:rPr>
                <w:rFonts w:hint="eastAsia" w:ascii="宋体" w:hAnsi="宋体" w:eastAsia="宋体" w:cs="宋体"/>
                <w:kern w:val="0"/>
                <w:sz w:val="21"/>
                <w:szCs w:val="21"/>
                <w:highlight w:val="none"/>
                <w:lang w:eastAsia="zh-CN"/>
              </w:rPr>
              <w:t>。</w:t>
            </w:r>
          </w:p>
        </w:tc>
        <w:tc>
          <w:tcPr>
            <w:tcW w:w="1022" w:type="dxa"/>
            <w:vAlign w:val="center"/>
          </w:tcPr>
          <w:p w14:paraId="72DB14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w:t>
            </w:r>
          </w:p>
        </w:tc>
        <w:tc>
          <w:tcPr>
            <w:tcW w:w="1189" w:type="dxa"/>
            <w:vAlign w:val="center"/>
          </w:tcPr>
          <w:p w14:paraId="0CD9F6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lang w:val="zh-CN" w:eastAsia="zh-CN"/>
              </w:rPr>
              <w:t>承诺</w:t>
            </w:r>
            <w:r>
              <w:rPr>
                <w:rFonts w:hint="eastAsia" w:ascii="宋体" w:hAnsi="宋体" w:eastAsia="宋体" w:cs="宋体"/>
                <w:sz w:val="21"/>
                <w:szCs w:val="21"/>
                <w:highlight w:val="none"/>
                <w:lang w:val="en-US" w:eastAsia="zh-CN"/>
              </w:rPr>
              <w:t>函</w:t>
            </w:r>
            <w:r>
              <w:rPr>
                <w:rFonts w:hint="eastAsia" w:ascii="宋体" w:hAnsi="宋体" w:eastAsia="宋体" w:cs="宋体"/>
                <w:sz w:val="21"/>
                <w:szCs w:val="21"/>
                <w:highlight w:val="none"/>
                <w:lang w:val="zh-CN" w:eastAsia="zh-CN"/>
              </w:rPr>
              <w:t>并盖投标人公章</w:t>
            </w:r>
          </w:p>
        </w:tc>
      </w:tr>
    </w:tbl>
    <w:p w14:paraId="33064798">
      <w:pPr>
        <w:pStyle w:val="2"/>
        <w:ind w:left="0" w:leftChars="0" w:firstLine="0" w:firstLineChars="0"/>
        <w:rPr>
          <w:rFonts w:hint="default"/>
          <w:highlight w:val="none"/>
          <w:lang w:val="en-US" w:eastAsia="zh-CN"/>
        </w:rPr>
      </w:pPr>
    </w:p>
    <w:sectPr>
      <w:pgSz w:w="11907" w:h="16839"/>
      <w:pgMar w:top="1440" w:right="1286" w:bottom="1440" w:left="1380"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2F6DF34-6412-46E4-96A5-AF84DAFD3D10}"/>
  </w:font>
  <w:font w:name="黑体">
    <w:panose1 w:val="02010609060101010101"/>
    <w:charset w:val="86"/>
    <w:family w:val="auto"/>
    <w:pitch w:val="default"/>
    <w:sig w:usb0="800002BF" w:usb1="38CF7CFA" w:usb2="00000016" w:usb3="00000000" w:csb0="00040001" w:csb1="00000000"/>
    <w:embedRegular r:id="rId2" w:fontKey="{A728A7DC-79C1-462D-99B8-D72B2A9E0D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2045B72-F361-4930-BFE8-2628129135BD}"/>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814A28C4-1C49-43EF-A9E1-9C792A5FFED6}"/>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embedRegular r:id="rId5" w:fontKey="{4C0CFC71-7C33-40C9-80BB-DAF126175248}"/>
  </w:font>
  <w:font w:name="Wingdings 2">
    <w:panose1 w:val="05020102010507070707"/>
    <w:charset w:val="02"/>
    <w:family w:val="roman"/>
    <w:pitch w:val="default"/>
    <w:sig w:usb0="00000000" w:usb1="00000000" w:usb2="00000000" w:usb3="00000000" w:csb0="80000000" w:csb1="00000000"/>
    <w:embedRegular r:id="rId6" w:fontKey="{6F53843E-CD79-46FB-A233-D34A5828DBF8}"/>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A4C4F">
    <w:pPr>
      <w:spacing w:before="240" w:after="120"/>
      <w:ind w:firstLine="480"/>
      <w:jc w:val="center"/>
      <w:rPr>
        <w:rFonts w:ascii="宋体" w:hAns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5BD1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6C5BD1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6A997">
    <w:pPr>
      <w:pStyle w:val="18"/>
      <w:framePr w:wrap="around" w:vAnchor="text" w:hAnchor="margin" w:xAlign="center" w:y="1"/>
      <w:spacing w:before="240" w:after="120"/>
      <w:ind w:firstLine="360"/>
      <w:rPr>
        <w:rStyle w:val="28"/>
      </w:rPr>
    </w:pPr>
    <w:r>
      <w:fldChar w:fldCharType="begin"/>
    </w:r>
    <w:r>
      <w:rPr>
        <w:rStyle w:val="28"/>
      </w:rPr>
      <w:instrText xml:space="preserve">PAGE  </w:instrText>
    </w:r>
    <w:r>
      <w:fldChar w:fldCharType="end"/>
    </w:r>
  </w:p>
  <w:p w14:paraId="28886EF0">
    <w:pPr>
      <w:pStyle w:val="18"/>
      <w:spacing w:before="240" w:after="120"/>
      <w:ind w:firstLine="360"/>
    </w:pPr>
  </w:p>
  <w:p w14:paraId="4B264358">
    <w:pPr>
      <w:spacing w:before="240" w:after="120"/>
    </w:pPr>
  </w:p>
  <w:p w14:paraId="64DF79C0">
    <w:pPr>
      <w:spacing w:before="240" w:after="120"/>
    </w:pPr>
  </w:p>
  <w:p w14:paraId="00C49C46">
    <w:pPr>
      <w:spacing w:before="240" w:after="120"/>
    </w:pPr>
  </w:p>
  <w:p w14:paraId="23F9ADF3">
    <w:pPr>
      <w:spacing w:before="240" w:after="120"/>
    </w:pPr>
  </w:p>
  <w:p w14:paraId="347EF69E">
    <w:pPr>
      <w:spacing w:before="240" w:after="120"/>
    </w:pPr>
  </w:p>
  <w:p w14:paraId="4CC85057">
    <w:pPr>
      <w:spacing w:before="240" w:after="120"/>
    </w:pPr>
  </w:p>
  <w:p w14:paraId="22DBCB22">
    <w:pPr>
      <w:spacing w:before="240" w:after="120"/>
    </w:pPr>
  </w:p>
  <w:p w14:paraId="5FF2E19E">
    <w:pPr>
      <w:spacing w:before="240" w:after="120"/>
    </w:pPr>
  </w:p>
  <w:p w14:paraId="7D944845">
    <w:pPr>
      <w:spacing w:before="240" w:after="120"/>
    </w:pPr>
  </w:p>
  <w:p w14:paraId="6C4B7803">
    <w:pPr>
      <w:spacing w:before="240" w:after="120"/>
    </w:pPr>
  </w:p>
  <w:p w14:paraId="77C3BBFE">
    <w:pPr>
      <w:spacing w:before="240" w:after="120"/>
    </w:pPr>
  </w:p>
  <w:p w14:paraId="4BAC5875">
    <w:pPr>
      <w:spacing w:before="240" w:after="120"/>
    </w:pPr>
  </w:p>
  <w:p w14:paraId="086110AB">
    <w:pPr>
      <w:spacing w:before="240" w:after="120"/>
    </w:pPr>
  </w:p>
  <w:p w14:paraId="09B3B402">
    <w:pPr>
      <w:spacing w:before="240" w:after="120"/>
    </w:pPr>
  </w:p>
  <w:p w14:paraId="5B35FFDD">
    <w:pPr>
      <w:spacing w:before="240" w:after="120"/>
    </w:pPr>
  </w:p>
  <w:p w14:paraId="2986AA8C">
    <w:pPr>
      <w:spacing w:before="240" w:after="120"/>
    </w:pPr>
  </w:p>
  <w:p w14:paraId="1069A356">
    <w:pPr>
      <w:spacing w:before="240" w:after="120"/>
    </w:pPr>
  </w:p>
  <w:p w14:paraId="5D28E82A">
    <w:pPr>
      <w:spacing w:before="240" w:after="120"/>
    </w:pPr>
  </w:p>
  <w:p w14:paraId="5228D126">
    <w:pPr>
      <w:spacing w:before="240" w:after="120"/>
    </w:pPr>
  </w:p>
  <w:p w14:paraId="0D9B8E18">
    <w:pPr>
      <w:spacing w:before="240" w:after="120"/>
    </w:pPr>
  </w:p>
  <w:p w14:paraId="2E499718">
    <w:pPr>
      <w:spacing w:before="240" w:after="120"/>
    </w:pPr>
  </w:p>
  <w:p w14:paraId="154043D7">
    <w:pPr>
      <w:spacing w:before="240" w:after="120"/>
    </w:pPr>
  </w:p>
  <w:p w14:paraId="3F4F92B0">
    <w:pPr>
      <w:spacing w:before="240" w:after="120"/>
    </w:pPr>
  </w:p>
  <w:p w14:paraId="3E3BCBCE">
    <w:pPr>
      <w:spacing w:before="240" w:after="120"/>
    </w:pPr>
  </w:p>
  <w:p w14:paraId="596CEB43">
    <w:pPr>
      <w:spacing w:before="240" w:after="120"/>
    </w:pPr>
  </w:p>
  <w:p w14:paraId="3417C184">
    <w:pPr>
      <w:spacing w:before="240" w:after="120"/>
    </w:pPr>
  </w:p>
  <w:p w14:paraId="4559DFF9">
    <w:pPr>
      <w:spacing w:before="240" w:after="120"/>
    </w:pPr>
  </w:p>
  <w:p w14:paraId="1BC28652">
    <w:pPr>
      <w:spacing w:before="240" w:after="120"/>
    </w:pPr>
  </w:p>
  <w:p w14:paraId="46CC075B">
    <w:pPr>
      <w:spacing w:before="240" w:after="120"/>
    </w:pPr>
  </w:p>
  <w:p w14:paraId="59A93143">
    <w:pPr>
      <w:spacing w:before="240" w:after="120"/>
    </w:pPr>
  </w:p>
  <w:p w14:paraId="735419BB">
    <w:pPr>
      <w:spacing w:before="240" w:after="120"/>
    </w:pPr>
  </w:p>
  <w:p w14:paraId="26F305D4">
    <w:pPr>
      <w:spacing w:before="240" w:after="120"/>
    </w:pPr>
  </w:p>
  <w:p w14:paraId="2FB924DB">
    <w:pPr>
      <w:spacing w:before="240" w:after="120"/>
    </w:pPr>
  </w:p>
  <w:p w14:paraId="281881A2">
    <w:pPr>
      <w:spacing w:before="240" w:after="120"/>
    </w:pPr>
  </w:p>
  <w:p w14:paraId="72AAB141">
    <w:pPr>
      <w:spacing w:before="240" w:after="120"/>
    </w:pPr>
  </w:p>
  <w:p w14:paraId="549A9D0C">
    <w:pPr>
      <w:spacing w:before="240" w:after="120"/>
    </w:pPr>
  </w:p>
  <w:p w14:paraId="3CAFFAE0">
    <w:pPr>
      <w:spacing w:before="240" w:after="120"/>
    </w:pPr>
  </w:p>
  <w:p w14:paraId="1E0B0E02">
    <w:pPr>
      <w:spacing w:before="240" w:after="120"/>
    </w:pPr>
  </w:p>
  <w:p w14:paraId="270EDD5F">
    <w:pPr>
      <w:spacing w:before="240" w:after="120"/>
    </w:pPr>
  </w:p>
  <w:p w14:paraId="35DD056B">
    <w:pPr>
      <w:spacing w:before="240" w:after="120"/>
    </w:pPr>
  </w:p>
  <w:p w14:paraId="51320B84">
    <w:pPr>
      <w:spacing w:before="240" w:after="120"/>
    </w:pPr>
  </w:p>
  <w:p w14:paraId="29651CEA">
    <w:pPr>
      <w:spacing w:before="240" w:after="120"/>
    </w:pPr>
  </w:p>
  <w:p w14:paraId="2A0F5FF5">
    <w:pPr>
      <w:spacing w:before="240" w:after="120"/>
    </w:pPr>
  </w:p>
  <w:p w14:paraId="734E0529">
    <w:pPr>
      <w:spacing w:before="240" w:after="120"/>
    </w:pPr>
  </w:p>
  <w:p w14:paraId="78C87BF8">
    <w:pPr>
      <w:spacing w:before="240" w:after="120"/>
    </w:pPr>
  </w:p>
  <w:p w14:paraId="56D92D55">
    <w:pPr>
      <w:spacing w:before="240" w:after="120"/>
    </w:pPr>
  </w:p>
  <w:p w14:paraId="33875850">
    <w:pPr>
      <w:spacing w:before="240" w:after="120"/>
    </w:pPr>
  </w:p>
  <w:p w14:paraId="05BB9047">
    <w:pPr>
      <w:spacing w:before="240" w:after="120"/>
    </w:pPr>
  </w:p>
  <w:p w14:paraId="4A545B4D">
    <w:pPr>
      <w:spacing w:before="240" w:after="120"/>
    </w:pPr>
  </w:p>
  <w:p w14:paraId="0EAE2407">
    <w:pPr>
      <w:spacing w:before="240" w:after="120"/>
    </w:pPr>
  </w:p>
  <w:p w14:paraId="26511BE9">
    <w:pPr>
      <w:spacing w:before="240" w:after="120"/>
    </w:pPr>
  </w:p>
  <w:p w14:paraId="400529E6">
    <w:pPr>
      <w:spacing w:before="240" w:after="120"/>
    </w:pPr>
  </w:p>
  <w:p w14:paraId="03A94EBE">
    <w:pPr>
      <w:spacing w:before="240" w:after="120"/>
    </w:pPr>
  </w:p>
  <w:p w14:paraId="739F0D0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4A37B">
    <w:pPr>
      <w:jc w:val="center"/>
      <w:rPr>
        <w:rFonts w:ascii="宋体" w:hAnsi="宋体"/>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DF22E">
    <w:pPr>
      <w:spacing w:before="240" w:after="120"/>
      <w:jc w:val="left"/>
      <w:rPr>
        <w:rFonts w:hint="eastAsia" w:eastAsia="宋体"/>
        <w:sz w:val="18"/>
        <w:szCs w:val="18"/>
        <w:lang w:eastAsia="zh-CN"/>
      </w:rPr>
    </w:pPr>
    <w:r>
      <w:rPr>
        <w:sz w:val="18"/>
        <w:szCs w:val="18"/>
      </w:rPr>
      <mc:AlternateContent>
        <mc:Choice Requires="wps">
          <w:drawing>
            <wp:anchor distT="0" distB="0" distL="114300" distR="114300" simplePos="0" relativeHeight="251661312" behindDoc="0" locked="0" layoutInCell="1" allowOverlap="1">
              <wp:simplePos x="0" y="0"/>
              <wp:positionH relativeFrom="margin">
                <wp:posOffset>5785485</wp:posOffset>
              </wp:positionH>
              <wp:positionV relativeFrom="paragraph">
                <wp:posOffset>161290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15063">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5.55pt;margin-top:12.7pt;height:144pt;width:144pt;mso-position-horizontal-relative:margin;mso-wrap-style:none;z-index:251661312;mso-width-relative:page;mso-height-relative:page;" filled="f" stroked="f" coordsize="21600,21600" o:gfxdata="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kae6j9gAAAALAQAADwAAAAAAAAABACAAAAAiAAAAZHJzL2Rvd25yZXYueG1sUEsBAhQA&#10;FAAAAAgAh07iQHt2TVYrAgAAVwQAAA4AAAAAAAAAAQAgAAAAJwEAAGRycy9lMm9Eb2MueG1sUEsF&#10;BgAAAAAGAAYAWQEAAMQFAAAAAA==&#10;">
              <v:fill on="f" focussize="0,0"/>
              <v:stroke on="f" weight="0.5pt"/>
              <v:imagedata o:title=""/>
              <o:lock v:ext="edit" aspectratio="f"/>
              <v:textbox inset="0mm,0mm,0mm,0mm" style="mso-fit-shape-to-text:t;">
                <w:txbxContent>
                  <w:p w14:paraId="77B15063">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szCs w:val="18"/>
        <w:lang w:eastAsia="zh-CN"/>
      </w:rPr>
      <w:t>天鉴国际工程管理有限公司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76A92">
    <w:pPr>
      <w:spacing w:before="240" w:after="120"/>
      <w:ind w:firstLine="480"/>
      <w:jc w:val="center"/>
      <w:rPr>
        <w:rFonts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8E3B09">
                          <w:pPr>
                            <w:jc w:val="center"/>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1B8E3B09">
                    <w:pPr>
                      <w:jc w:val="center"/>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54FF3">
    <w:pPr>
      <w:spacing w:before="240" w:after="120"/>
      <w:jc w:val="left"/>
      <w:rPr>
        <w:rFonts w:hint="eastAsia" w:ascii="宋体" w:hAnsi="宋体" w:eastAsia="宋体"/>
        <w:sz w:val="18"/>
        <w:szCs w:val="18"/>
        <w:lang w:eastAsia="zh-CN"/>
      </w:rPr>
    </w:pPr>
    <w:r>
      <w:rPr>
        <w:sz w:val="18"/>
        <w:szCs w:val="18"/>
      </w:rPr>
      <mc:AlternateContent>
        <mc:Choice Requires="wps">
          <w:drawing>
            <wp:anchor distT="0" distB="0" distL="114300" distR="114300" simplePos="0" relativeHeight="251662336" behindDoc="0" locked="0" layoutInCell="1" allowOverlap="1">
              <wp:simplePos x="0" y="0"/>
              <wp:positionH relativeFrom="margin">
                <wp:posOffset>5669915</wp:posOffset>
              </wp:positionH>
              <wp:positionV relativeFrom="paragraph">
                <wp:posOffset>215265</wp:posOffset>
              </wp:positionV>
              <wp:extent cx="158115"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581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EB164">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6.45pt;margin-top:16.95pt;height:144pt;width:12.45pt;mso-position-horizontal-relative:margin;z-index:251662336;mso-width-relative:page;mso-height-relative:page;" filled="f" stroked="f" coordsize="21600,21600" o:gfxdata="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GQu+fYAAAACgEAAA8AAAAAAAAAAQAgAAAAIgAAAGRycy9kb3ducmV2Lnht&#10;bFBLAQIUABQAAAAIAIdO4kDIseS4MgIAAFgEAAAOAAAAAAAAAAEAIAAAACcBAABkcnMvZTJvRG9j&#10;LnhtbFBLBQYAAAAABgAGAFkBAADLBQAAAAA=&#10;">
              <v:fill on="f" focussize="0,0"/>
              <v:stroke on="f" weight="0.5pt"/>
              <v:imagedata o:title=""/>
              <o:lock v:ext="edit" aspectratio="f"/>
              <v:textbox inset="0mm,0mm,0mm,0mm" style="mso-fit-shape-to-text:t;">
                <w:txbxContent>
                  <w:p w14:paraId="467EB164">
                    <w:pPr>
                      <w:pStyle w:val="1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sz w:val="18"/>
        <w:szCs w:val="18"/>
        <w:lang w:eastAsia="zh-CN"/>
      </w:rPr>
      <w:t>天鉴国际工程管理有限公司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AC91D">
    <w:pPr>
      <w:spacing w:before="240" w:after="120"/>
      <w:jc w:val="left"/>
      <w:rPr>
        <w:rFonts w:hint="eastAsia" w:ascii="宋体" w:hAnsi="宋体" w:eastAsia="宋体"/>
        <w:sz w:val="18"/>
        <w:szCs w:val="18"/>
        <w:lang w:eastAsia="zh-CN"/>
      </w:rPr>
    </w:pPr>
    <w:r>
      <w:rPr>
        <w:sz w:val="18"/>
        <w:szCs w:val="18"/>
      </w:rPr>
      <mc:AlternateContent>
        <mc:Choice Requires="wps">
          <w:drawing>
            <wp:anchor distT="0" distB="0" distL="114300" distR="114300" simplePos="0" relativeHeight="251662336" behindDoc="0" locked="0" layoutInCell="1" allowOverlap="1">
              <wp:simplePos x="0" y="0"/>
              <wp:positionH relativeFrom="margin">
                <wp:posOffset>5790565</wp:posOffset>
              </wp:positionH>
              <wp:positionV relativeFrom="paragraph">
                <wp:posOffset>201295</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66888">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5.95pt;margin-top:15.85pt;height:144pt;width:144pt;mso-position-horizontal-relative:margin;mso-wrap-style:none;z-index:251662336;mso-width-relative:page;mso-height-relative:page;" filled="f" stroked="f" coordsize="21600,21600" o:gfxdata="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EDAT3WAAAACwEAAA8AAAAAAAAAAQAgAAAAIgAAAGRycy9kb3ducmV2LnhtbFBLAQIUABQA&#10;AAAIAIdO4kBJut5jKwIAAFcEAAAOAAAAAAAAAAEAIAAAACUBAABkcnMvZTJvRG9jLnhtbFBLBQYA&#10;AAAABgAGAFkBAADCBQAAAAA=&#10;">
              <v:fill on="f" focussize="0,0"/>
              <v:stroke on="f" weight="0.5pt"/>
              <v:imagedata o:title=""/>
              <o:lock v:ext="edit" aspectratio="f"/>
              <v:textbox inset="0mm,0mm,0mm,0mm" style="mso-fit-shape-to-text:t;">
                <w:txbxContent>
                  <w:p w14:paraId="66A66888">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sz w:val="18"/>
        <w:szCs w:val="18"/>
        <w:lang w:eastAsia="zh-CN"/>
      </w:rPr>
      <w:t>天鉴国际工程管理有限公司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E410">
    <w:pPr>
      <w:spacing w:before="240" w:after="120"/>
      <w:jc w:val="left"/>
      <w:rPr>
        <w:rFonts w:hint="eastAsia" w:ascii="宋体" w:hAnsi="宋体" w:eastAsia="宋体"/>
        <w:sz w:val="18"/>
        <w:szCs w:val="18"/>
        <w:lang w:eastAsia="zh-CN"/>
      </w:rPr>
    </w:pPr>
    <w:r>
      <w:rPr>
        <w:sz w:val="18"/>
        <w:szCs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162560</wp:posOffset>
              </wp:positionV>
              <wp:extent cx="208280" cy="1828800"/>
              <wp:effectExtent l="0" t="0" r="1270" b="6350"/>
              <wp:wrapNone/>
              <wp:docPr id="19" name="文本框 19"/>
              <wp:cNvGraphicFramePr/>
              <a:graphic xmlns:a="http://schemas.openxmlformats.org/drawingml/2006/main">
                <a:graphicData uri="http://schemas.microsoft.com/office/word/2010/wordprocessingShape">
                  <wps:wsp>
                    <wps:cNvSpPr txBox="1"/>
                    <wps:spPr>
                      <a:xfrm>
                        <a:off x="0" y="0"/>
                        <a:ext cx="20828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3F9AA">
                          <w:pPr>
                            <w:pStyle w:val="1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2.8pt;height:144pt;width:16.4pt;mso-position-horizontal:right;mso-position-horizontal-relative:margin;z-index:251663360;mso-width-relative:page;mso-height-relative:page;" filled="f" stroked="f" coordsize="21600,21600" o:gfxdata="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9WSEdUAAAAGAQAADwAAAAAAAAABACAAAAAiAAAAZHJzL2Rvd25yZXYueG1sUEsBAhQA&#10;FAAAAAgAh07iQH3/zOsuAgAAWAQAAA4AAAAAAAAAAQAgAAAAJAEAAGRycy9lMm9Eb2MueG1sUEsF&#10;BgAAAAAGAAYAWQEAAMQFAAAAAA==&#10;">
              <v:fill on="f" focussize="0,0"/>
              <v:stroke on="f" weight="0.5pt"/>
              <v:imagedata o:title=""/>
              <o:lock v:ext="edit" aspectratio="f"/>
              <v:textbox inset="0mm,0mm,0mm,0mm" style="mso-fit-shape-to-text:t;">
                <w:txbxContent>
                  <w:p w14:paraId="65B3F9AA">
                    <w:pPr>
                      <w:pStyle w:val="18"/>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ascii="宋体" w:hAnsi="宋体"/>
        <w:sz w:val="18"/>
        <w:szCs w:val="18"/>
        <w:lang w:eastAsia="zh-CN"/>
      </w:rPr>
      <w:t>天鉴国际工程管理有限公司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1D3B1">
    <w:pPr>
      <w:spacing w:before="240" w:after="120"/>
      <w:jc w:val="left"/>
      <w:rPr>
        <w:rFonts w:hint="eastAsia" w:ascii="宋体" w:hAnsi="宋体" w:eastAsia="宋体"/>
        <w:sz w:val="18"/>
        <w:szCs w:val="18"/>
        <w:lang w:eastAsia="zh-CN"/>
      </w:rPr>
    </w:pPr>
    <w:r>
      <w:rPr>
        <w:sz w:val="18"/>
        <w:szCs w:val="18"/>
      </w:rPr>
      <mc:AlternateContent>
        <mc:Choice Requires="wps">
          <w:drawing>
            <wp:anchor distT="0" distB="0" distL="114300" distR="114300" simplePos="0" relativeHeight="251664384" behindDoc="0" locked="0" layoutInCell="1" allowOverlap="1">
              <wp:simplePos x="0" y="0"/>
              <wp:positionH relativeFrom="margin">
                <wp:posOffset>5728335</wp:posOffset>
              </wp:positionH>
              <wp:positionV relativeFrom="paragraph">
                <wp:posOffset>187960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92B14">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1.05pt;margin-top:14.8pt;height:144pt;width:144pt;mso-position-horizontal-relative:margin;mso-wrap-style:none;z-index:251664384;mso-width-relative:page;mso-height-relative:page;" filled="f" stroked="f" coordsize="21600,21600" o:gfxdata="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yXsxtgAAAALAQAADwAAAAAAAAABACAAAAAiAAAAZHJzL2Rvd25yZXYueG1sUEsBAhQA&#10;FAAAAAgAh07iQDJScb8rAgAAVwQAAA4AAAAAAAAAAQAgAAAAJwEAAGRycy9lMm9Eb2MueG1sUEsF&#10;BgAAAAAGAAYAWQEAAMQFAAAAAA==&#10;">
              <v:fill on="f" focussize="0,0"/>
              <v:stroke on="f" weight="0.5pt"/>
              <v:imagedata o:title=""/>
              <o:lock v:ext="edit" aspectratio="f"/>
              <v:textbox inset="0mm,0mm,0mm,0mm" style="mso-fit-shape-to-text:t;">
                <w:txbxContent>
                  <w:p w14:paraId="46B92B14">
                    <w:pPr>
                      <w:pStyle w:val="18"/>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sz w:val="18"/>
        <w:szCs w:val="18"/>
        <w:lang w:eastAsia="zh-CN"/>
      </w:rPr>
      <w:t>天鉴国际工程管理有限公司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91F67">
    <w:pPr>
      <w:pStyle w:val="19"/>
      <w:spacing w:before="240" w:after="120"/>
      <w:ind w:firstLine="360"/>
      <w:jc w:val="left"/>
      <w:rPr>
        <w:rFonts w:asciiTheme="minorEastAsia" w:hAnsiTheme="minorEastAsia" w:eastAsiaTheme="minorEastAsia" w:cstheme="minorEastAsia"/>
        <w:szCs w:val="18"/>
      </w:rPr>
    </w:pPr>
    <w:r>
      <w:rPr>
        <w:rFonts w:hint="eastAsia" w:asciiTheme="minorEastAsia" w:hAnsiTheme="minorEastAsia" w:eastAsiaTheme="minorEastAsia" w:cstheme="minorEastAsia"/>
        <w:szCs w:val="18"/>
        <w:lang w:eastAsia="zh-CN"/>
      </w:rPr>
      <w:t>国家税务总局湖南省税务局2025年数据中心运行维护项目（第二次）</w:t>
    </w:r>
    <w:r>
      <w:rPr>
        <w:rFonts w:hint="eastAsia" w:asciiTheme="minorEastAsia" w:hAnsiTheme="minorEastAsia" w:eastAsiaTheme="minorEastAsia" w:cstheme="minorEastAsia"/>
        <w:szCs w:val="18"/>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20B52">
    <w:pPr>
      <w:spacing w:before="240" w:after="120"/>
    </w:pPr>
  </w:p>
  <w:p w14:paraId="682291ED">
    <w:pPr>
      <w:spacing w:before="240" w:after="120"/>
    </w:pPr>
  </w:p>
  <w:p w14:paraId="137A2236">
    <w:pPr>
      <w:spacing w:before="240" w:after="120"/>
    </w:pPr>
  </w:p>
  <w:p w14:paraId="35E173CC">
    <w:pPr>
      <w:spacing w:before="240" w:after="120"/>
    </w:pPr>
  </w:p>
  <w:p w14:paraId="45A459D2">
    <w:pPr>
      <w:spacing w:before="240" w:after="120"/>
    </w:pPr>
  </w:p>
  <w:p w14:paraId="1F48F721">
    <w:pPr>
      <w:spacing w:before="240" w:after="120"/>
    </w:pPr>
  </w:p>
  <w:p w14:paraId="2CE5F0EE">
    <w:pPr>
      <w:spacing w:before="240" w:after="120"/>
    </w:pPr>
  </w:p>
  <w:p w14:paraId="48058AFD">
    <w:pPr>
      <w:spacing w:before="240" w:after="120"/>
    </w:pPr>
  </w:p>
  <w:p w14:paraId="7C75E0D0">
    <w:pPr>
      <w:spacing w:before="240" w:after="120"/>
    </w:pPr>
  </w:p>
  <w:p w14:paraId="484BF937">
    <w:pPr>
      <w:spacing w:before="240" w:after="120"/>
    </w:pPr>
  </w:p>
  <w:p w14:paraId="7970CFFA">
    <w:pPr>
      <w:spacing w:before="240" w:after="120"/>
    </w:pPr>
  </w:p>
  <w:p w14:paraId="00F80F0B">
    <w:pPr>
      <w:spacing w:before="240" w:after="120"/>
    </w:pPr>
  </w:p>
  <w:p w14:paraId="54F87F03">
    <w:pPr>
      <w:spacing w:before="240" w:after="120"/>
    </w:pPr>
  </w:p>
  <w:p w14:paraId="1BF5F13D">
    <w:pPr>
      <w:spacing w:before="240" w:after="120"/>
    </w:pPr>
  </w:p>
  <w:p w14:paraId="52C389B2">
    <w:pPr>
      <w:spacing w:before="240" w:after="120"/>
    </w:pPr>
  </w:p>
  <w:p w14:paraId="1E6F2B09">
    <w:pPr>
      <w:spacing w:before="240" w:after="120"/>
    </w:pPr>
  </w:p>
  <w:p w14:paraId="6DA1D1BF">
    <w:pPr>
      <w:spacing w:before="240" w:after="120"/>
    </w:pPr>
  </w:p>
  <w:p w14:paraId="026EA94D">
    <w:pPr>
      <w:spacing w:before="240" w:after="120"/>
    </w:pPr>
  </w:p>
  <w:p w14:paraId="78BD70DC">
    <w:pPr>
      <w:spacing w:before="240" w:after="120"/>
    </w:pPr>
  </w:p>
  <w:p w14:paraId="3A40CDD6">
    <w:pPr>
      <w:spacing w:before="240" w:after="120"/>
    </w:pPr>
  </w:p>
  <w:p w14:paraId="56547C4A">
    <w:pPr>
      <w:spacing w:before="240" w:after="120"/>
    </w:pPr>
  </w:p>
  <w:p w14:paraId="13BB62D8">
    <w:pPr>
      <w:spacing w:before="240" w:after="120"/>
    </w:pPr>
  </w:p>
  <w:p w14:paraId="0D81CCA5">
    <w:pPr>
      <w:spacing w:before="240" w:after="120"/>
    </w:pPr>
  </w:p>
  <w:p w14:paraId="77B75816">
    <w:pPr>
      <w:spacing w:before="240" w:after="120"/>
    </w:pPr>
  </w:p>
  <w:p w14:paraId="3BB61403">
    <w:pPr>
      <w:spacing w:before="240" w:after="120"/>
    </w:pPr>
  </w:p>
  <w:p w14:paraId="67B5685A">
    <w:pPr>
      <w:spacing w:before="240" w:after="120"/>
    </w:pPr>
  </w:p>
  <w:p w14:paraId="6A0DCD9A">
    <w:pPr>
      <w:spacing w:before="240" w:after="120"/>
    </w:pPr>
  </w:p>
  <w:p w14:paraId="3A53EFF9">
    <w:pPr>
      <w:spacing w:before="240" w:after="120"/>
    </w:pPr>
  </w:p>
  <w:p w14:paraId="1A3C3679">
    <w:pPr>
      <w:spacing w:before="240" w:after="120"/>
    </w:pPr>
  </w:p>
  <w:p w14:paraId="34164C04">
    <w:pPr>
      <w:spacing w:before="240" w:after="120"/>
    </w:pPr>
  </w:p>
  <w:p w14:paraId="1C824984">
    <w:pPr>
      <w:spacing w:before="240" w:after="120"/>
    </w:pPr>
  </w:p>
  <w:p w14:paraId="56D41672">
    <w:pPr>
      <w:spacing w:before="240" w:after="120"/>
    </w:pPr>
  </w:p>
  <w:p w14:paraId="332EAC97">
    <w:pPr>
      <w:spacing w:before="240" w:after="120"/>
    </w:pPr>
  </w:p>
  <w:p w14:paraId="4CA126EF">
    <w:pPr>
      <w:spacing w:before="240" w:after="120"/>
    </w:pPr>
  </w:p>
  <w:p w14:paraId="7A8BC256">
    <w:pPr>
      <w:spacing w:before="240" w:after="120"/>
    </w:pPr>
  </w:p>
  <w:p w14:paraId="282D4E9D">
    <w:pPr>
      <w:spacing w:before="240" w:after="120"/>
    </w:pPr>
  </w:p>
  <w:p w14:paraId="73A020F5">
    <w:pPr>
      <w:spacing w:before="240" w:after="120"/>
    </w:pPr>
  </w:p>
  <w:p w14:paraId="06C2467C">
    <w:pPr>
      <w:spacing w:before="240" w:after="120"/>
    </w:pPr>
  </w:p>
  <w:p w14:paraId="1D53FF16">
    <w:pPr>
      <w:spacing w:before="240" w:after="120"/>
    </w:pPr>
  </w:p>
  <w:p w14:paraId="122DE58C">
    <w:pPr>
      <w:spacing w:before="240" w:after="120"/>
    </w:pPr>
  </w:p>
  <w:p w14:paraId="3EB743EA">
    <w:pPr>
      <w:spacing w:before="240" w:after="120"/>
    </w:pPr>
  </w:p>
  <w:p w14:paraId="1303EFFF">
    <w:pPr>
      <w:spacing w:before="240" w:after="120"/>
    </w:pPr>
  </w:p>
  <w:p w14:paraId="087F146F">
    <w:pPr>
      <w:spacing w:before="240" w:after="120"/>
    </w:pPr>
  </w:p>
  <w:p w14:paraId="3FF22602">
    <w:pPr>
      <w:spacing w:before="240" w:after="120"/>
    </w:pPr>
  </w:p>
  <w:p w14:paraId="1371F435">
    <w:pPr>
      <w:spacing w:before="240" w:after="120"/>
    </w:pPr>
  </w:p>
  <w:p w14:paraId="742FB54F">
    <w:pPr>
      <w:spacing w:before="240" w:after="120"/>
    </w:pPr>
  </w:p>
  <w:p w14:paraId="73D6D980">
    <w:pPr>
      <w:spacing w:before="240" w:after="120"/>
    </w:pPr>
  </w:p>
  <w:p w14:paraId="4471F747">
    <w:pPr>
      <w:spacing w:before="240" w:after="120"/>
    </w:pPr>
  </w:p>
  <w:p w14:paraId="03FE1F89">
    <w:pPr>
      <w:spacing w:before="240" w:after="120"/>
    </w:pPr>
  </w:p>
  <w:p w14:paraId="0E062C1F">
    <w:pPr>
      <w:spacing w:before="240" w:after="120"/>
    </w:pPr>
  </w:p>
  <w:p w14:paraId="18DBB1E7">
    <w:pPr>
      <w:spacing w:before="240" w:after="120"/>
    </w:pPr>
  </w:p>
  <w:p w14:paraId="0A9346C6">
    <w:pPr>
      <w:spacing w:before="240" w:after="120"/>
    </w:pPr>
  </w:p>
  <w:p w14:paraId="6D697DF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7A61">
    <w:pPr>
      <w:pStyle w:val="19"/>
      <w:jc w:val="left"/>
      <w:rPr>
        <w:rFonts w:eastAsiaTheme="minorEastAsia"/>
      </w:rPr>
    </w:pPr>
    <w:r>
      <w:rPr>
        <w:rFonts w:hint="eastAsia" w:asciiTheme="minorEastAsia" w:hAnsiTheme="minorEastAsia" w:eastAsiaTheme="minorEastAsia" w:cstheme="minorEastAsia"/>
        <w:szCs w:val="18"/>
        <w:lang w:eastAsia="zh-CN"/>
      </w:rPr>
      <w:t>国家税务总局湖南省税务局2025年数据中心运行维护项目（第二次）</w:t>
    </w:r>
    <w:r>
      <w:rPr>
        <w:rFonts w:hint="eastAsia" w:asciiTheme="minorEastAsia" w:hAnsiTheme="minorEastAsia" w:eastAsiaTheme="minorEastAsia" w:cstheme="minorEastAsia"/>
        <w:szCs w:val="18"/>
      </w:rPr>
      <w:t xml:space="preserve">              </w:t>
    </w:r>
    <w:r>
      <w:rPr>
        <w:rFonts w:hint="eastAsia" w:asciiTheme="minorEastAsia" w:hAnsiTheme="minorEastAsia" w:eastAsiaTheme="minorEastAsia" w:cstheme="minorEastAsia"/>
        <w:szCs w:val="18"/>
        <w:lang w:val="en-US" w:eastAsia="zh-CN"/>
      </w:rPr>
      <w:t xml:space="preserve">     </w:t>
    </w:r>
    <w:r>
      <w:rPr>
        <w:rFonts w:hint="eastAsia" w:asciiTheme="minorEastAsia" w:hAnsiTheme="minorEastAsia" w:eastAsiaTheme="minorEastAsia" w:cstheme="minorEastAsia"/>
        <w:szCs w:val="18"/>
      </w:rPr>
      <w:t xml:space="preserve">        </w:t>
    </w:r>
    <w:r>
      <w:rPr>
        <w:rFonts w:hint="eastAsia" w:asciiTheme="minorEastAsia" w:hAnsiTheme="minorEastAsia" w:eastAsiaTheme="minorEastAsia" w:cstheme="minorEastAsia"/>
        <w:szCs w:val="18"/>
        <w:lang w:val="en-US" w:eastAsia="zh-CN"/>
      </w:rPr>
      <w:t xml:space="preserve">     </w:t>
    </w:r>
    <w:r>
      <w:rPr>
        <w:rFonts w:hint="eastAsia" w:asciiTheme="minorEastAsia" w:hAnsiTheme="minorEastAsia" w:eastAsiaTheme="minorEastAsia" w:cstheme="minorEastAsia"/>
        <w:szCs w:val="18"/>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8515F">
    <w:pPr>
      <w:pStyle w:val="19"/>
      <w:spacing w:before="240" w:after="120"/>
      <w:jc w:val="left"/>
      <w:rPr>
        <w:rFonts w:asciiTheme="minorEastAsia" w:hAnsiTheme="minorEastAsia" w:eastAsiaTheme="minorEastAsia" w:cstheme="minorEastAsia"/>
        <w:szCs w:val="18"/>
      </w:rPr>
    </w:pPr>
    <w:r>
      <w:rPr>
        <w:rFonts w:hint="eastAsia" w:asciiTheme="minorEastAsia" w:hAnsiTheme="minorEastAsia" w:eastAsiaTheme="minorEastAsia" w:cstheme="minorEastAsia"/>
        <w:szCs w:val="18"/>
        <w:lang w:eastAsia="zh-CN"/>
      </w:rPr>
      <w:t>国家税务总局湖南省税务局2025年数据中心运行维护项目（第二次）</w:t>
    </w:r>
    <w:r>
      <w:rPr>
        <w:rFonts w:hint="eastAsia" w:asciiTheme="minorEastAsia" w:hAnsiTheme="minorEastAsia" w:eastAsiaTheme="minorEastAsia" w:cstheme="minorEastAsia"/>
        <w:szCs w:val="18"/>
      </w:rPr>
      <w:t xml:space="preserve">     </w:t>
    </w:r>
    <w:r>
      <w:rPr>
        <w:rFonts w:hint="eastAsia" w:asciiTheme="minorEastAsia" w:hAnsiTheme="minorEastAsia" w:eastAsiaTheme="minorEastAsia" w:cstheme="minorEastAsia"/>
        <w:szCs w:val="18"/>
        <w:lang w:val="en-US" w:eastAsia="zh-CN"/>
      </w:rPr>
      <w:t xml:space="preserve">     </w:t>
    </w:r>
    <w:r>
      <w:rPr>
        <w:rFonts w:hint="eastAsia" w:asciiTheme="minorEastAsia" w:hAnsiTheme="minorEastAsia" w:eastAsiaTheme="minorEastAsia" w:cstheme="minorEastAsia"/>
        <w:szCs w:val="18"/>
      </w:rPr>
      <w:t xml:space="preserve">             </w:t>
    </w:r>
    <w:r>
      <w:rPr>
        <w:rFonts w:hint="eastAsia" w:asciiTheme="minorEastAsia" w:hAnsiTheme="minorEastAsia" w:eastAsiaTheme="minorEastAsia" w:cstheme="minorEastAsia"/>
        <w:szCs w:val="18"/>
        <w:lang w:val="en-US" w:eastAsia="zh-CN"/>
      </w:rPr>
      <w:t xml:space="preserve">         </w:t>
    </w:r>
    <w:r>
      <w:rPr>
        <w:rFonts w:hint="eastAsia" w:asciiTheme="minorEastAsia" w:hAnsiTheme="minorEastAsia" w:eastAsiaTheme="minorEastAsia" w:cstheme="minorEastAsia"/>
        <w:szCs w:val="18"/>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4209A"/>
    <w:multiLevelType w:val="multilevel"/>
    <w:tmpl w:val="C9C4209A"/>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黑体" w:cs="宋体"/>
      </w:rPr>
    </w:lvl>
    <w:lvl w:ilvl="2" w:tentative="0">
      <w:start w:val="1"/>
      <w:numFmt w:val="decimal"/>
      <w:lvlText w:val="%1.%2.%3."/>
      <w:lvlJc w:val="left"/>
      <w:pPr>
        <w:ind w:left="709" w:hanging="709"/>
      </w:pPr>
      <w:rPr>
        <w:rFonts w:hint="default" w:ascii="宋体" w:hAnsi="宋体" w:eastAsia="黑体" w:cs="宋体"/>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pStyle w:val="64"/>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ascii="宋体" w:hAnsi="宋体" w:eastAsia="宋体" w:cs="宋体"/>
      </w:rPr>
    </w:lvl>
    <w:lvl w:ilvl="6" w:tentative="0">
      <w:start w:val="1"/>
      <w:numFmt w:val="decimal"/>
      <w:lvlText w:val="%1.%2.%3.%4.%5.%6.%7."/>
      <w:lvlJc w:val="left"/>
      <w:pPr>
        <w:ind w:left="1275" w:hanging="1275"/>
      </w:pPr>
      <w:rPr>
        <w:rFonts w:hint="default" w:ascii="宋体" w:hAnsi="宋体" w:eastAsia="宋体" w:cs="宋体"/>
      </w:rPr>
    </w:lvl>
    <w:lvl w:ilvl="7" w:tentative="0">
      <w:start w:val="1"/>
      <w:numFmt w:val="decimal"/>
      <w:lvlText w:val="%1.%2.%3.%4.%5.%6.%7.%8."/>
      <w:lvlJc w:val="left"/>
      <w:pPr>
        <w:ind w:left="1418" w:hanging="1418"/>
      </w:pPr>
      <w:rPr>
        <w:rFonts w:hint="default" w:ascii="宋体" w:hAnsi="宋体" w:eastAsia="宋体" w:cs="宋体"/>
      </w:rPr>
    </w:lvl>
    <w:lvl w:ilvl="8" w:tentative="0">
      <w:start w:val="1"/>
      <w:numFmt w:val="decimal"/>
      <w:lvlText w:val="%1.%2.%3.%4.%5.%6.%7.%8.%9."/>
      <w:lvlJc w:val="left"/>
      <w:pPr>
        <w:ind w:left="1558" w:hanging="1558"/>
      </w:pPr>
      <w:rPr>
        <w:rFonts w:hint="default" w:ascii="宋体" w:hAnsi="宋体" w:eastAsia="宋体" w:cs="宋体"/>
      </w:rPr>
    </w:lvl>
  </w:abstractNum>
  <w:abstractNum w:abstractNumId="1">
    <w:nsid w:val="68CE1DCC"/>
    <w:multiLevelType w:val="singleLevel"/>
    <w:tmpl w:val="68CE1DCC"/>
    <w:lvl w:ilvl="0" w:tentative="0">
      <w:start w:val="1"/>
      <w:numFmt w:val="decimal"/>
      <w:pStyle w:val="12"/>
      <w:lvlText w:val="%1."/>
      <w:lvlJc w:val="left"/>
      <w:pPr>
        <w:tabs>
          <w:tab w:val="left" w:pos="780"/>
        </w:tabs>
        <w:ind w:left="7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3YmIzOGY5MjUzMzY5MWUwNzMwOWM3NDM2ZWU2NGIifQ=="/>
  </w:docVars>
  <w:rsids>
    <w:rsidRoot w:val="609A50AC"/>
    <w:rsid w:val="0000231F"/>
    <w:rsid w:val="00014D07"/>
    <w:rsid w:val="00015D24"/>
    <w:rsid w:val="00016056"/>
    <w:rsid w:val="00036752"/>
    <w:rsid w:val="00044EF2"/>
    <w:rsid w:val="00085D43"/>
    <w:rsid w:val="00150388"/>
    <w:rsid w:val="001F0AC2"/>
    <w:rsid w:val="00247978"/>
    <w:rsid w:val="00275E80"/>
    <w:rsid w:val="002A2E8B"/>
    <w:rsid w:val="002C5CE6"/>
    <w:rsid w:val="00315E46"/>
    <w:rsid w:val="00327755"/>
    <w:rsid w:val="00375FB8"/>
    <w:rsid w:val="0038056C"/>
    <w:rsid w:val="00390E8B"/>
    <w:rsid w:val="003B6ADA"/>
    <w:rsid w:val="00425BED"/>
    <w:rsid w:val="00430C72"/>
    <w:rsid w:val="00465982"/>
    <w:rsid w:val="004675EC"/>
    <w:rsid w:val="004978AC"/>
    <w:rsid w:val="004B1FCD"/>
    <w:rsid w:val="00532B53"/>
    <w:rsid w:val="00560BD5"/>
    <w:rsid w:val="005B3883"/>
    <w:rsid w:val="005C0003"/>
    <w:rsid w:val="00634741"/>
    <w:rsid w:val="00675179"/>
    <w:rsid w:val="006E7333"/>
    <w:rsid w:val="00725A0E"/>
    <w:rsid w:val="007465BF"/>
    <w:rsid w:val="0075174E"/>
    <w:rsid w:val="0075703F"/>
    <w:rsid w:val="00766A7A"/>
    <w:rsid w:val="00796D19"/>
    <w:rsid w:val="007C5C4C"/>
    <w:rsid w:val="007C61FA"/>
    <w:rsid w:val="007C79F7"/>
    <w:rsid w:val="007D4A94"/>
    <w:rsid w:val="008878D1"/>
    <w:rsid w:val="008B45AA"/>
    <w:rsid w:val="008C6B2A"/>
    <w:rsid w:val="009256F0"/>
    <w:rsid w:val="009B0005"/>
    <w:rsid w:val="009B784E"/>
    <w:rsid w:val="009C15CF"/>
    <w:rsid w:val="00A23883"/>
    <w:rsid w:val="00AA5377"/>
    <w:rsid w:val="00AC21D1"/>
    <w:rsid w:val="00B33159"/>
    <w:rsid w:val="00B4398A"/>
    <w:rsid w:val="00B444FD"/>
    <w:rsid w:val="00B53581"/>
    <w:rsid w:val="00B7589F"/>
    <w:rsid w:val="00CA05C7"/>
    <w:rsid w:val="00CD04CF"/>
    <w:rsid w:val="00CE19B6"/>
    <w:rsid w:val="00D14791"/>
    <w:rsid w:val="00D64E98"/>
    <w:rsid w:val="00E14DA6"/>
    <w:rsid w:val="00E745F3"/>
    <w:rsid w:val="00EE632E"/>
    <w:rsid w:val="00F35CC1"/>
    <w:rsid w:val="00FA2B5B"/>
    <w:rsid w:val="00FC5470"/>
    <w:rsid w:val="00FD3156"/>
    <w:rsid w:val="01174E5F"/>
    <w:rsid w:val="01213882"/>
    <w:rsid w:val="0155524A"/>
    <w:rsid w:val="017E630C"/>
    <w:rsid w:val="01901B05"/>
    <w:rsid w:val="01B14C06"/>
    <w:rsid w:val="01DE3ADE"/>
    <w:rsid w:val="03323AA8"/>
    <w:rsid w:val="035D27C3"/>
    <w:rsid w:val="038C547B"/>
    <w:rsid w:val="03B34112"/>
    <w:rsid w:val="03BE614D"/>
    <w:rsid w:val="04063DAC"/>
    <w:rsid w:val="04416F0E"/>
    <w:rsid w:val="04A9250C"/>
    <w:rsid w:val="04DE55E9"/>
    <w:rsid w:val="05003798"/>
    <w:rsid w:val="0506254A"/>
    <w:rsid w:val="0538557A"/>
    <w:rsid w:val="05662134"/>
    <w:rsid w:val="056D2AAF"/>
    <w:rsid w:val="05731C70"/>
    <w:rsid w:val="05BB24F7"/>
    <w:rsid w:val="05D57DAC"/>
    <w:rsid w:val="05DE1521"/>
    <w:rsid w:val="063D2F0C"/>
    <w:rsid w:val="067B1C86"/>
    <w:rsid w:val="06F55595"/>
    <w:rsid w:val="07230354"/>
    <w:rsid w:val="07A952A5"/>
    <w:rsid w:val="08CC22E5"/>
    <w:rsid w:val="091A7E4E"/>
    <w:rsid w:val="09200D61"/>
    <w:rsid w:val="09CB6A81"/>
    <w:rsid w:val="09E66848"/>
    <w:rsid w:val="0A711C33"/>
    <w:rsid w:val="0AD028F9"/>
    <w:rsid w:val="0B0B64D3"/>
    <w:rsid w:val="0B0F6608"/>
    <w:rsid w:val="0BA852CC"/>
    <w:rsid w:val="0C7927C4"/>
    <w:rsid w:val="0C99485C"/>
    <w:rsid w:val="0CC70D9B"/>
    <w:rsid w:val="0CCE03B8"/>
    <w:rsid w:val="0CD36378"/>
    <w:rsid w:val="0CD83DE1"/>
    <w:rsid w:val="0D2A3ABE"/>
    <w:rsid w:val="0D4D6BBA"/>
    <w:rsid w:val="0D8B6C53"/>
    <w:rsid w:val="0DCA3598"/>
    <w:rsid w:val="0DFC348F"/>
    <w:rsid w:val="0E071364"/>
    <w:rsid w:val="0F296723"/>
    <w:rsid w:val="0FFB0AD5"/>
    <w:rsid w:val="104125A9"/>
    <w:rsid w:val="1049319E"/>
    <w:rsid w:val="10E04D96"/>
    <w:rsid w:val="10FB7C4C"/>
    <w:rsid w:val="12142996"/>
    <w:rsid w:val="12301B77"/>
    <w:rsid w:val="12384E57"/>
    <w:rsid w:val="123F24AA"/>
    <w:rsid w:val="12934CCE"/>
    <w:rsid w:val="12D75B40"/>
    <w:rsid w:val="138A78C6"/>
    <w:rsid w:val="1426049F"/>
    <w:rsid w:val="143E2671"/>
    <w:rsid w:val="14493FE4"/>
    <w:rsid w:val="144B07D6"/>
    <w:rsid w:val="14686B12"/>
    <w:rsid w:val="14BD76C0"/>
    <w:rsid w:val="14BE7059"/>
    <w:rsid w:val="155C4659"/>
    <w:rsid w:val="15897372"/>
    <w:rsid w:val="15ED7568"/>
    <w:rsid w:val="16590D93"/>
    <w:rsid w:val="16AE750E"/>
    <w:rsid w:val="16D206EC"/>
    <w:rsid w:val="17351A2C"/>
    <w:rsid w:val="17450FC6"/>
    <w:rsid w:val="174F6F43"/>
    <w:rsid w:val="176E1137"/>
    <w:rsid w:val="177C760C"/>
    <w:rsid w:val="17C074F9"/>
    <w:rsid w:val="18166C22"/>
    <w:rsid w:val="182201B4"/>
    <w:rsid w:val="183105E3"/>
    <w:rsid w:val="185E3459"/>
    <w:rsid w:val="18623B3B"/>
    <w:rsid w:val="18795FA9"/>
    <w:rsid w:val="189F1804"/>
    <w:rsid w:val="18E63730"/>
    <w:rsid w:val="1A54242A"/>
    <w:rsid w:val="1A576D9F"/>
    <w:rsid w:val="1A657DFA"/>
    <w:rsid w:val="1AE6371B"/>
    <w:rsid w:val="1AEE25CF"/>
    <w:rsid w:val="1B610AD6"/>
    <w:rsid w:val="1B6B1E72"/>
    <w:rsid w:val="1BA1144D"/>
    <w:rsid w:val="1BB13D28"/>
    <w:rsid w:val="1BC828B2"/>
    <w:rsid w:val="1BF142A3"/>
    <w:rsid w:val="1C164119"/>
    <w:rsid w:val="1C5C6219"/>
    <w:rsid w:val="1C9378D2"/>
    <w:rsid w:val="1CA639C4"/>
    <w:rsid w:val="1CAC7089"/>
    <w:rsid w:val="1CE035CC"/>
    <w:rsid w:val="1CED6FE2"/>
    <w:rsid w:val="1CF8743B"/>
    <w:rsid w:val="1D32613B"/>
    <w:rsid w:val="1D54432D"/>
    <w:rsid w:val="1D69682B"/>
    <w:rsid w:val="1D807CC2"/>
    <w:rsid w:val="1DEE0D67"/>
    <w:rsid w:val="1DF73547"/>
    <w:rsid w:val="1E1262C2"/>
    <w:rsid w:val="1E66766E"/>
    <w:rsid w:val="1F5A3986"/>
    <w:rsid w:val="1F5C1F0B"/>
    <w:rsid w:val="1FB97C5C"/>
    <w:rsid w:val="1FBB2A1F"/>
    <w:rsid w:val="20325DE6"/>
    <w:rsid w:val="2080016D"/>
    <w:rsid w:val="208A2D9A"/>
    <w:rsid w:val="20B26C87"/>
    <w:rsid w:val="20B6486E"/>
    <w:rsid w:val="210B6F14"/>
    <w:rsid w:val="211F34E2"/>
    <w:rsid w:val="215B3668"/>
    <w:rsid w:val="215D05F8"/>
    <w:rsid w:val="21885B6A"/>
    <w:rsid w:val="21C83B7A"/>
    <w:rsid w:val="22543660"/>
    <w:rsid w:val="22D71A68"/>
    <w:rsid w:val="233F05A2"/>
    <w:rsid w:val="23825060"/>
    <w:rsid w:val="23A81370"/>
    <w:rsid w:val="2432313D"/>
    <w:rsid w:val="2450123F"/>
    <w:rsid w:val="24AE5267"/>
    <w:rsid w:val="2530340C"/>
    <w:rsid w:val="2572277A"/>
    <w:rsid w:val="258778A8"/>
    <w:rsid w:val="25AC7804"/>
    <w:rsid w:val="25B43B09"/>
    <w:rsid w:val="25E914C4"/>
    <w:rsid w:val="261D6874"/>
    <w:rsid w:val="2627274E"/>
    <w:rsid w:val="269E1B58"/>
    <w:rsid w:val="26E0627B"/>
    <w:rsid w:val="26F50752"/>
    <w:rsid w:val="27871DE1"/>
    <w:rsid w:val="279F537D"/>
    <w:rsid w:val="27E67E69"/>
    <w:rsid w:val="280B48A6"/>
    <w:rsid w:val="28114664"/>
    <w:rsid w:val="282D4E46"/>
    <w:rsid w:val="284071C7"/>
    <w:rsid w:val="2937477E"/>
    <w:rsid w:val="294A3813"/>
    <w:rsid w:val="29685944"/>
    <w:rsid w:val="29714AF7"/>
    <w:rsid w:val="29A359F7"/>
    <w:rsid w:val="29B64C00"/>
    <w:rsid w:val="29EE439A"/>
    <w:rsid w:val="2A722643"/>
    <w:rsid w:val="2AFA28CA"/>
    <w:rsid w:val="2B18613F"/>
    <w:rsid w:val="2B313F8A"/>
    <w:rsid w:val="2BD263CC"/>
    <w:rsid w:val="2BDB00FF"/>
    <w:rsid w:val="2BEE486B"/>
    <w:rsid w:val="2C4B4A59"/>
    <w:rsid w:val="2C6170A5"/>
    <w:rsid w:val="2CA35285"/>
    <w:rsid w:val="2CD422AD"/>
    <w:rsid w:val="2CD63D6C"/>
    <w:rsid w:val="2D2A56E9"/>
    <w:rsid w:val="2D5903B7"/>
    <w:rsid w:val="2D616C31"/>
    <w:rsid w:val="2D6C229F"/>
    <w:rsid w:val="2D7B4196"/>
    <w:rsid w:val="2D8D7A26"/>
    <w:rsid w:val="2D942F2B"/>
    <w:rsid w:val="2E0F39F1"/>
    <w:rsid w:val="2E201EAF"/>
    <w:rsid w:val="2E461D92"/>
    <w:rsid w:val="2ED76120"/>
    <w:rsid w:val="2EF22236"/>
    <w:rsid w:val="2F125E19"/>
    <w:rsid w:val="2F2E724D"/>
    <w:rsid w:val="2F451D68"/>
    <w:rsid w:val="2F457396"/>
    <w:rsid w:val="2F4862A1"/>
    <w:rsid w:val="2F5B7594"/>
    <w:rsid w:val="2FB75A2F"/>
    <w:rsid w:val="2FF10740"/>
    <w:rsid w:val="2FF23CEA"/>
    <w:rsid w:val="30C46377"/>
    <w:rsid w:val="316D4161"/>
    <w:rsid w:val="32014C27"/>
    <w:rsid w:val="32806966"/>
    <w:rsid w:val="336F591D"/>
    <w:rsid w:val="34833930"/>
    <w:rsid w:val="34B05393"/>
    <w:rsid w:val="354216B2"/>
    <w:rsid w:val="35985339"/>
    <w:rsid w:val="35D73F34"/>
    <w:rsid w:val="36335B61"/>
    <w:rsid w:val="36794FEB"/>
    <w:rsid w:val="36AD1255"/>
    <w:rsid w:val="36DC5DD1"/>
    <w:rsid w:val="36F13DD3"/>
    <w:rsid w:val="36FF1BFA"/>
    <w:rsid w:val="37290AD3"/>
    <w:rsid w:val="37AB2466"/>
    <w:rsid w:val="38964C5E"/>
    <w:rsid w:val="38E77E20"/>
    <w:rsid w:val="39202F10"/>
    <w:rsid w:val="394D38A0"/>
    <w:rsid w:val="39736B31"/>
    <w:rsid w:val="3A7A72A7"/>
    <w:rsid w:val="3A8905AF"/>
    <w:rsid w:val="3AB71C38"/>
    <w:rsid w:val="3AD11AB3"/>
    <w:rsid w:val="3AD4278D"/>
    <w:rsid w:val="3B832E86"/>
    <w:rsid w:val="3C7E15AD"/>
    <w:rsid w:val="3CBB45AF"/>
    <w:rsid w:val="3CCB3811"/>
    <w:rsid w:val="3CCE797F"/>
    <w:rsid w:val="3D0A783B"/>
    <w:rsid w:val="3D346A31"/>
    <w:rsid w:val="3D781B51"/>
    <w:rsid w:val="3D7B14E5"/>
    <w:rsid w:val="3D89020A"/>
    <w:rsid w:val="3E111954"/>
    <w:rsid w:val="3E2B306F"/>
    <w:rsid w:val="3E363338"/>
    <w:rsid w:val="3E85016D"/>
    <w:rsid w:val="3E974CE9"/>
    <w:rsid w:val="3EE84AE4"/>
    <w:rsid w:val="3F747046"/>
    <w:rsid w:val="3F920DD1"/>
    <w:rsid w:val="3FAD1A74"/>
    <w:rsid w:val="400125F0"/>
    <w:rsid w:val="400B3F8F"/>
    <w:rsid w:val="40D20DC5"/>
    <w:rsid w:val="426C4F62"/>
    <w:rsid w:val="42953641"/>
    <w:rsid w:val="42E64AEA"/>
    <w:rsid w:val="42E64DD9"/>
    <w:rsid w:val="43211E24"/>
    <w:rsid w:val="435074A8"/>
    <w:rsid w:val="43994F1E"/>
    <w:rsid w:val="43B166A2"/>
    <w:rsid w:val="43B67EE8"/>
    <w:rsid w:val="43E207E3"/>
    <w:rsid w:val="44587568"/>
    <w:rsid w:val="446F427D"/>
    <w:rsid w:val="4510288D"/>
    <w:rsid w:val="455235D7"/>
    <w:rsid w:val="45E87A97"/>
    <w:rsid w:val="469576C5"/>
    <w:rsid w:val="479A005B"/>
    <w:rsid w:val="47F77FFE"/>
    <w:rsid w:val="482B71EF"/>
    <w:rsid w:val="49724248"/>
    <w:rsid w:val="49E972AE"/>
    <w:rsid w:val="4AA35829"/>
    <w:rsid w:val="4ACD66AA"/>
    <w:rsid w:val="4AF572F9"/>
    <w:rsid w:val="4B456699"/>
    <w:rsid w:val="4B806BD2"/>
    <w:rsid w:val="4B8642A6"/>
    <w:rsid w:val="4BD46F55"/>
    <w:rsid w:val="4C160075"/>
    <w:rsid w:val="4D9C7C8B"/>
    <w:rsid w:val="4DF86038"/>
    <w:rsid w:val="4E3221F7"/>
    <w:rsid w:val="4E4E0C00"/>
    <w:rsid w:val="4E5C081F"/>
    <w:rsid w:val="4EC9088A"/>
    <w:rsid w:val="4F442B20"/>
    <w:rsid w:val="4FA42F73"/>
    <w:rsid w:val="4FED3B29"/>
    <w:rsid w:val="4FF87B3F"/>
    <w:rsid w:val="501E3D0E"/>
    <w:rsid w:val="502D1C86"/>
    <w:rsid w:val="505C17AE"/>
    <w:rsid w:val="507408A5"/>
    <w:rsid w:val="50B125DA"/>
    <w:rsid w:val="50CC248F"/>
    <w:rsid w:val="50F54814"/>
    <w:rsid w:val="50F848B3"/>
    <w:rsid w:val="51037480"/>
    <w:rsid w:val="510460CD"/>
    <w:rsid w:val="515660BD"/>
    <w:rsid w:val="515F7CD7"/>
    <w:rsid w:val="52F0632B"/>
    <w:rsid w:val="543D6BFA"/>
    <w:rsid w:val="544574D6"/>
    <w:rsid w:val="5469790E"/>
    <w:rsid w:val="54AE00FE"/>
    <w:rsid w:val="55236D3E"/>
    <w:rsid w:val="555D0733"/>
    <w:rsid w:val="56222CCF"/>
    <w:rsid w:val="56D4546C"/>
    <w:rsid w:val="56D47806"/>
    <w:rsid w:val="56D66679"/>
    <w:rsid w:val="571B3FAF"/>
    <w:rsid w:val="57F26C37"/>
    <w:rsid w:val="581035A9"/>
    <w:rsid w:val="588C3988"/>
    <w:rsid w:val="58CB22BD"/>
    <w:rsid w:val="59282B75"/>
    <w:rsid w:val="59371D6F"/>
    <w:rsid w:val="593B01B6"/>
    <w:rsid w:val="597E7244"/>
    <w:rsid w:val="5985111B"/>
    <w:rsid w:val="59AF294E"/>
    <w:rsid w:val="59F51775"/>
    <w:rsid w:val="5A751DEA"/>
    <w:rsid w:val="5AE605F2"/>
    <w:rsid w:val="5B1B724B"/>
    <w:rsid w:val="5C580980"/>
    <w:rsid w:val="5C7165E1"/>
    <w:rsid w:val="5D4B6E32"/>
    <w:rsid w:val="5DA80CF8"/>
    <w:rsid w:val="5E671A49"/>
    <w:rsid w:val="5E8C5D8E"/>
    <w:rsid w:val="5EA60D3D"/>
    <w:rsid w:val="5EF07C91"/>
    <w:rsid w:val="5F2C73C7"/>
    <w:rsid w:val="5F487ACD"/>
    <w:rsid w:val="5F8623A3"/>
    <w:rsid w:val="5FC678B4"/>
    <w:rsid w:val="60151855"/>
    <w:rsid w:val="60240C33"/>
    <w:rsid w:val="609A50AC"/>
    <w:rsid w:val="60CB0841"/>
    <w:rsid w:val="60CE4002"/>
    <w:rsid w:val="61045C75"/>
    <w:rsid w:val="611867DD"/>
    <w:rsid w:val="61412A26"/>
    <w:rsid w:val="614B4504"/>
    <w:rsid w:val="62A2557A"/>
    <w:rsid w:val="62F85366"/>
    <w:rsid w:val="634D47D9"/>
    <w:rsid w:val="634F20F4"/>
    <w:rsid w:val="63CF5861"/>
    <w:rsid w:val="63FC2AEA"/>
    <w:rsid w:val="647C2086"/>
    <w:rsid w:val="64BE438D"/>
    <w:rsid w:val="64F953C5"/>
    <w:rsid w:val="65923615"/>
    <w:rsid w:val="65992506"/>
    <w:rsid w:val="6650370B"/>
    <w:rsid w:val="66B2655C"/>
    <w:rsid w:val="672203E0"/>
    <w:rsid w:val="679235EF"/>
    <w:rsid w:val="68881C65"/>
    <w:rsid w:val="689125A3"/>
    <w:rsid w:val="68FE2FAA"/>
    <w:rsid w:val="693A6B0A"/>
    <w:rsid w:val="694C124C"/>
    <w:rsid w:val="696E5872"/>
    <w:rsid w:val="6A6E32BA"/>
    <w:rsid w:val="6A6E49D3"/>
    <w:rsid w:val="6AE178F1"/>
    <w:rsid w:val="6B200811"/>
    <w:rsid w:val="6B225A2C"/>
    <w:rsid w:val="6B451521"/>
    <w:rsid w:val="6B7C4F79"/>
    <w:rsid w:val="6BCA388B"/>
    <w:rsid w:val="6C776166"/>
    <w:rsid w:val="6D0A3A8C"/>
    <w:rsid w:val="6D65184A"/>
    <w:rsid w:val="6D98300E"/>
    <w:rsid w:val="6D9A4072"/>
    <w:rsid w:val="6DB85E1E"/>
    <w:rsid w:val="6DDC5C02"/>
    <w:rsid w:val="6DF2778B"/>
    <w:rsid w:val="6E542F4D"/>
    <w:rsid w:val="6E5F0C6A"/>
    <w:rsid w:val="6E6C623F"/>
    <w:rsid w:val="6EAE0FCF"/>
    <w:rsid w:val="6F606291"/>
    <w:rsid w:val="6FE860A9"/>
    <w:rsid w:val="70194B6E"/>
    <w:rsid w:val="710250A6"/>
    <w:rsid w:val="7148395C"/>
    <w:rsid w:val="716C181F"/>
    <w:rsid w:val="72BE76D7"/>
    <w:rsid w:val="72D37256"/>
    <w:rsid w:val="72E729E1"/>
    <w:rsid w:val="737F01DA"/>
    <w:rsid w:val="73D47729"/>
    <w:rsid w:val="73D94D40"/>
    <w:rsid w:val="74BF26D9"/>
    <w:rsid w:val="74C70FE0"/>
    <w:rsid w:val="74D3257B"/>
    <w:rsid w:val="752B56FD"/>
    <w:rsid w:val="7542441F"/>
    <w:rsid w:val="75580E94"/>
    <w:rsid w:val="756923C9"/>
    <w:rsid w:val="75770E51"/>
    <w:rsid w:val="75A777B2"/>
    <w:rsid w:val="75BF12D6"/>
    <w:rsid w:val="7605642F"/>
    <w:rsid w:val="76612DCA"/>
    <w:rsid w:val="77AC0530"/>
    <w:rsid w:val="77B062CA"/>
    <w:rsid w:val="780F1EEF"/>
    <w:rsid w:val="78AD78FC"/>
    <w:rsid w:val="78FD797A"/>
    <w:rsid w:val="79915775"/>
    <w:rsid w:val="7AED10D1"/>
    <w:rsid w:val="7B113011"/>
    <w:rsid w:val="7B2A7C2F"/>
    <w:rsid w:val="7B3E7406"/>
    <w:rsid w:val="7C6A2A2A"/>
    <w:rsid w:val="7C701FB9"/>
    <w:rsid w:val="7CD43304"/>
    <w:rsid w:val="7D11008D"/>
    <w:rsid w:val="7D1B1F25"/>
    <w:rsid w:val="7DF84014"/>
    <w:rsid w:val="7E0A70B6"/>
    <w:rsid w:val="7E305516"/>
    <w:rsid w:val="7E420A1B"/>
    <w:rsid w:val="7E461224"/>
    <w:rsid w:val="7F4B2CEE"/>
    <w:rsid w:val="7F534C25"/>
    <w:rsid w:val="7F562EE9"/>
    <w:rsid w:val="7FED72E8"/>
    <w:rsid w:val="7FF73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13"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1"/>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link w:val="4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qFormat/>
    <w:uiPriority w:val="9"/>
    <w:pPr>
      <w:keepNext/>
      <w:keepLines/>
      <w:adjustRightInd w:val="0"/>
      <w:spacing w:before="260" w:after="260" w:line="360" w:lineRule="auto"/>
      <w:jc w:val="left"/>
      <w:outlineLvl w:val="2"/>
    </w:pPr>
    <w:rPr>
      <w:rFonts w:eastAsia="黑体"/>
      <w:bCs/>
      <w:sz w:val="32"/>
      <w:szCs w:val="32"/>
    </w:rPr>
  </w:style>
  <w:style w:type="paragraph" w:styleId="7">
    <w:name w:val="heading 4"/>
    <w:basedOn w:val="1"/>
    <w:next w:val="1"/>
    <w:link w:val="42"/>
    <w:qFormat/>
    <w:uiPriority w:val="0"/>
    <w:pPr>
      <w:ind w:left="1200" w:hanging="400"/>
      <w:outlineLvl w:val="3"/>
    </w:pPr>
    <w:rPr>
      <w:rFonts w:asciiTheme="minorHAnsi" w:hAnsiTheme="minorHAnsi" w:eastAsiaTheme="minorEastAsia" w:cstheme="minorBidi"/>
      <w:b/>
      <w:kern w:val="0"/>
      <w:szCs w:val="21"/>
    </w:rPr>
  </w:style>
  <w:style w:type="paragraph" w:styleId="8">
    <w:name w:val="heading 5"/>
    <w:basedOn w:val="1"/>
    <w:next w:val="9"/>
    <w:qFormat/>
    <w:uiPriority w:val="0"/>
    <w:pPr>
      <w:keepNext/>
      <w:keepLines/>
      <w:tabs>
        <w:tab w:val="left" w:pos="780"/>
      </w:tabs>
      <w:spacing w:before="280" w:after="290" w:line="377" w:lineRule="auto"/>
      <w:ind w:firstLine="200" w:firstLineChars="200"/>
      <w:outlineLvl w:val="4"/>
    </w:pPr>
    <w:rPr>
      <w:rFonts w:ascii="Times New Roman" w:hAnsi="Times New Roman" w:eastAsia="仿宋_GB2312"/>
      <w:bCs/>
      <w:szCs w:val="28"/>
    </w:rPr>
  </w:style>
  <w:style w:type="paragraph" w:styleId="10">
    <w:name w:val="heading 6"/>
    <w:basedOn w:val="1"/>
    <w:next w:val="1"/>
    <w:link w:val="53"/>
    <w:semiHidden/>
    <w:unhideWhenUsed/>
    <w:qFormat/>
    <w:uiPriority w:val="0"/>
    <w:pPr>
      <w:keepNext/>
      <w:keepLines/>
      <w:spacing w:before="240" w:after="64" w:line="319" w:lineRule="auto"/>
      <w:outlineLvl w:val="5"/>
    </w:pPr>
    <w:rPr>
      <w:rFonts w:ascii="Cambria" w:hAnsi="Cambria"/>
      <w:b/>
      <w:bCs/>
      <w:sz w:val="24"/>
      <w:szCs w:val="24"/>
    </w:rPr>
  </w:style>
  <w:style w:type="paragraph" w:styleId="11">
    <w:name w:val="heading 7"/>
    <w:basedOn w:val="1"/>
    <w:next w:val="1"/>
    <w:qFormat/>
    <w:uiPriority w:val="13"/>
    <w:pPr>
      <w:keepNext/>
      <w:keepLines/>
      <w:spacing w:before="240" w:after="64" w:line="320" w:lineRule="auto"/>
      <w:outlineLvl w:val="6"/>
    </w:pPr>
    <w:rPr>
      <w:b/>
      <w:bCs/>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link w:val="52"/>
    <w:qFormat/>
    <w:uiPriority w:val="0"/>
    <w:pPr>
      <w:spacing w:after="120"/>
      <w:ind w:left="420" w:leftChars="200"/>
    </w:p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List Number 2"/>
    <w:basedOn w:val="1"/>
    <w:qFormat/>
    <w:uiPriority w:val="0"/>
    <w:pPr>
      <w:numPr>
        <w:ilvl w:val="0"/>
        <w:numId w:val="1"/>
      </w:numPr>
    </w:pPr>
  </w:style>
  <w:style w:type="paragraph" w:styleId="13">
    <w:name w:val="toa heading"/>
    <w:basedOn w:val="1"/>
    <w:next w:val="1"/>
    <w:qFormat/>
    <w:uiPriority w:val="0"/>
    <w:pPr>
      <w:spacing w:before="120" w:after="100" w:afterAutospacing="1"/>
    </w:pPr>
    <w:rPr>
      <w:rFonts w:ascii="Arial" w:hAnsi="Arial" w:cs="Arial"/>
      <w:sz w:val="24"/>
      <w:szCs w:val="24"/>
    </w:rPr>
  </w:style>
  <w:style w:type="paragraph" w:styleId="14">
    <w:name w:val="annotation text"/>
    <w:basedOn w:val="1"/>
    <w:link w:val="48"/>
    <w:qFormat/>
    <w:uiPriority w:val="99"/>
    <w:pPr>
      <w:jc w:val="left"/>
    </w:pPr>
  </w:style>
  <w:style w:type="paragraph" w:styleId="15">
    <w:name w:val="Body Text"/>
    <w:basedOn w:val="1"/>
    <w:link w:val="46"/>
    <w:qFormat/>
    <w:uiPriority w:val="99"/>
    <w:rPr>
      <w:b/>
      <w:szCs w:val="24"/>
    </w:rPr>
  </w:style>
  <w:style w:type="paragraph" w:styleId="16">
    <w:name w:val="Plain Text"/>
    <w:basedOn w:val="1"/>
    <w:link w:val="54"/>
    <w:unhideWhenUsed/>
    <w:qFormat/>
    <w:uiPriority w:val="0"/>
    <w:rPr>
      <w:rFonts w:ascii="宋体" w:hAnsi="Courier New" w:cs="Courier New"/>
      <w:szCs w:val="21"/>
    </w:rPr>
  </w:style>
  <w:style w:type="paragraph" w:styleId="17">
    <w:name w:val="Body Text Indent 2"/>
    <w:basedOn w:val="1"/>
    <w:qFormat/>
    <w:uiPriority w:val="0"/>
    <w:pPr>
      <w:spacing w:after="120" w:line="480" w:lineRule="auto"/>
      <w:ind w:left="420" w:leftChars="200"/>
    </w:pPr>
    <w:rPr>
      <w:kern w:val="0"/>
      <w:sz w:val="24"/>
      <w:szCs w:val="24"/>
    </w:rPr>
  </w:style>
  <w:style w:type="paragraph" w:styleId="18">
    <w:name w:val="footer"/>
    <w:basedOn w:val="1"/>
    <w:unhideWhenUsed/>
    <w:qFormat/>
    <w:uiPriority w:val="99"/>
    <w:pPr>
      <w:tabs>
        <w:tab w:val="center" w:pos="4153"/>
        <w:tab w:val="right" w:pos="8306"/>
      </w:tabs>
      <w:snapToGrid w:val="0"/>
      <w:jc w:val="left"/>
    </w:pPr>
    <w:rPr>
      <w:sz w:val="18"/>
      <w:szCs w:val="18"/>
    </w:rPr>
  </w:style>
  <w:style w:type="paragraph" w:styleId="19">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unhideWhenUsed/>
    <w:qFormat/>
    <w:uiPriority w:val="39"/>
  </w:style>
  <w:style w:type="paragraph" w:styleId="21">
    <w:name w:val="toc 2"/>
    <w:basedOn w:val="1"/>
    <w:next w:val="1"/>
    <w:unhideWhenUsed/>
    <w:qFormat/>
    <w:uiPriority w:val="39"/>
    <w:pPr>
      <w:tabs>
        <w:tab w:val="right" w:leader="dot" w:pos="9231"/>
      </w:tabs>
      <w:ind w:left="420" w:leftChars="200"/>
    </w:pPr>
    <w:rPr>
      <w:rFonts w:ascii="宋体" w:hAnsi="宋体" w:cs="仿宋_GB2312"/>
      <w:b/>
      <w:bCs/>
    </w:rPr>
  </w:style>
  <w:style w:type="paragraph" w:styleId="2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left"/>
    </w:pPr>
    <w:rPr>
      <w:rFonts w:ascii="宋体" w:hAnsi="宋体" w:cs="宋体"/>
      <w:kern w:val="0"/>
      <w:szCs w:val="24"/>
      <w:lang w:bidi="ar"/>
    </w:rPr>
  </w:style>
  <w:style w:type="paragraph" w:styleId="23">
    <w:name w:val="annotation subject"/>
    <w:basedOn w:val="14"/>
    <w:next w:val="14"/>
    <w:link w:val="49"/>
    <w:unhideWhenUsed/>
    <w:qFormat/>
    <w:uiPriority w:val="99"/>
    <w:rPr>
      <w:rFonts w:asciiTheme="minorHAnsi" w:hAnsiTheme="minorHAnsi" w:eastAsiaTheme="minorEastAsia" w:cstheme="minorBidi"/>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0"/>
    <w:rPr>
      <w:b/>
      <w:w w:val="100"/>
      <w:sz w:val="21"/>
      <w:szCs w:val="21"/>
      <w:shd w:val="clear" w:color="auto" w:fill="auto"/>
    </w:rPr>
  </w:style>
  <w:style w:type="character" w:styleId="28">
    <w:name w:val="page number"/>
    <w:basedOn w:val="26"/>
    <w:qFormat/>
    <w:uiPriority w:val="99"/>
  </w:style>
  <w:style w:type="character" w:styleId="29">
    <w:name w:val="FollowedHyperlink"/>
    <w:basedOn w:val="26"/>
    <w:qFormat/>
    <w:uiPriority w:val="0"/>
    <w:rPr>
      <w:color w:val="000000"/>
      <w:u w:val="none"/>
    </w:rPr>
  </w:style>
  <w:style w:type="character" w:styleId="30">
    <w:name w:val="Hyperlink"/>
    <w:unhideWhenUsed/>
    <w:qFormat/>
    <w:uiPriority w:val="99"/>
    <w:rPr>
      <w:color w:val="0000FF"/>
      <w:u w:val="single"/>
    </w:rPr>
  </w:style>
  <w:style w:type="character" w:styleId="31">
    <w:name w:val="annotation reference"/>
    <w:basedOn w:val="26"/>
    <w:qFormat/>
    <w:uiPriority w:val="99"/>
    <w:rPr>
      <w:sz w:val="21"/>
      <w:szCs w:val="21"/>
    </w:rPr>
  </w:style>
  <w:style w:type="paragraph" w:customStyle="1" w:styleId="32">
    <w:name w:val="列出段落1"/>
    <w:basedOn w:val="33"/>
    <w:qFormat/>
    <w:uiPriority w:val="0"/>
    <w:pPr>
      <w:ind w:firstLine="420" w:firstLineChars="200"/>
    </w:pPr>
    <w:rPr>
      <w:rFonts w:ascii="Times New Roman" w:hAnsi="Times New Roman"/>
    </w:rPr>
  </w:style>
  <w:style w:type="paragraph" w:customStyle="1" w:styleId="33">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标题 3 字符"/>
    <w:link w:val="6"/>
    <w:qFormat/>
    <w:uiPriority w:val="9"/>
    <w:rPr>
      <w:rFonts w:eastAsia="黑体"/>
      <w:bCs/>
      <w:sz w:val="32"/>
      <w:szCs w:val="32"/>
    </w:rPr>
  </w:style>
  <w:style w:type="paragraph" w:customStyle="1" w:styleId="35">
    <w:name w:val="null3"/>
    <w:qFormat/>
    <w:uiPriority w:val="0"/>
    <w:rPr>
      <w:rFonts w:hint="eastAsia" w:ascii="Calibri" w:hAnsi="Calibri" w:eastAsia="宋体" w:cs="Times New Roman"/>
      <w:lang w:val="en-US" w:eastAsia="zh-CN" w:bidi="ar-SA"/>
    </w:rPr>
  </w:style>
  <w:style w:type="paragraph" w:customStyle="1" w:styleId="36">
    <w:name w:val="样式1"/>
    <w:basedOn w:val="1"/>
    <w:qFormat/>
    <w:uiPriority w:val="0"/>
    <w:pPr>
      <w:jc w:val="center"/>
    </w:pPr>
    <w:rPr>
      <w:rFonts w:eastAsia="方正大标宋简体"/>
      <w:sz w:val="52"/>
    </w:rPr>
  </w:style>
  <w:style w:type="paragraph" w:customStyle="1" w:styleId="37">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38">
    <w:name w:val="Table Text"/>
    <w:basedOn w:val="1"/>
    <w:semiHidden/>
    <w:qFormat/>
    <w:uiPriority w:val="0"/>
    <w:rPr>
      <w:rFonts w:ascii="宋体" w:hAnsi="宋体" w:cs="宋体"/>
      <w:sz w:val="24"/>
      <w:szCs w:val="24"/>
      <w:lang w:eastAsia="en-US"/>
    </w:rPr>
  </w:style>
  <w:style w:type="paragraph" w:styleId="39">
    <w:name w:val="List Paragraph"/>
    <w:basedOn w:val="1"/>
    <w:qFormat/>
    <w:uiPriority w:val="34"/>
    <w:pPr>
      <w:ind w:firstLine="420" w:firstLineChars="200"/>
    </w:pPr>
  </w:style>
  <w:style w:type="character" w:customStyle="1" w:styleId="40">
    <w:name w:val="font41"/>
    <w:basedOn w:val="26"/>
    <w:qFormat/>
    <w:uiPriority w:val="0"/>
    <w:rPr>
      <w:rFonts w:hint="eastAsia" w:ascii="宋体" w:hAnsi="宋体" w:eastAsia="宋体" w:cs="宋体"/>
      <w:color w:val="000000"/>
      <w:sz w:val="20"/>
      <w:szCs w:val="20"/>
      <w:u w:val="none"/>
    </w:rPr>
  </w:style>
  <w:style w:type="character" w:customStyle="1" w:styleId="41">
    <w:name w:val="标题 1 字符"/>
    <w:basedOn w:val="26"/>
    <w:link w:val="4"/>
    <w:qFormat/>
    <w:uiPriority w:val="9"/>
    <w:rPr>
      <w:b/>
      <w:bCs/>
      <w:kern w:val="44"/>
      <w:sz w:val="44"/>
      <w:szCs w:val="44"/>
    </w:rPr>
  </w:style>
  <w:style w:type="character" w:customStyle="1" w:styleId="42">
    <w:name w:val="标题 4 字符"/>
    <w:basedOn w:val="26"/>
    <w:link w:val="7"/>
    <w:qFormat/>
    <w:uiPriority w:val="0"/>
    <w:rPr>
      <w:b/>
      <w:sz w:val="21"/>
      <w:szCs w:val="21"/>
    </w:rPr>
  </w:style>
  <w:style w:type="character" w:customStyle="1" w:styleId="43">
    <w:name w:val="font51"/>
    <w:basedOn w:val="26"/>
    <w:qFormat/>
    <w:uiPriority w:val="0"/>
    <w:rPr>
      <w:rFonts w:hint="default" w:ascii="Symbol" w:hAnsi="Symbol" w:cs="Symbol"/>
      <w:color w:val="000000"/>
      <w:sz w:val="20"/>
      <w:szCs w:val="20"/>
      <w:u w:val="none"/>
    </w:rPr>
  </w:style>
  <w:style w:type="character" w:customStyle="1" w:styleId="44">
    <w:name w:val="font61"/>
    <w:basedOn w:val="26"/>
    <w:qFormat/>
    <w:uiPriority w:val="0"/>
    <w:rPr>
      <w:rFonts w:hint="eastAsia" w:ascii="宋体" w:hAnsi="宋体" w:eastAsia="宋体" w:cs="宋体"/>
      <w:color w:val="000000"/>
      <w:sz w:val="20"/>
      <w:szCs w:val="20"/>
      <w:u w:val="none"/>
    </w:rPr>
  </w:style>
  <w:style w:type="character" w:customStyle="1" w:styleId="45">
    <w:name w:val="标题 2 字符"/>
    <w:basedOn w:val="26"/>
    <w:link w:val="5"/>
    <w:qFormat/>
    <w:uiPriority w:val="9"/>
    <w:rPr>
      <w:rFonts w:asciiTheme="majorHAnsi" w:hAnsiTheme="majorHAnsi" w:eastAsiaTheme="majorEastAsia" w:cstheme="majorBidi"/>
      <w:b/>
      <w:bCs/>
      <w:kern w:val="2"/>
      <w:sz w:val="32"/>
      <w:szCs w:val="32"/>
    </w:rPr>
  </w:style>
  <w:style w:type="character" w:customStyle="1" w:styleId="46">
    <w:name w:val="正文文本 字符"/>
    <w:basedOn w:val="26"/>
    <w:link w:val="15"/>
    <w:qFormat/>
    <w:uiPriority w:val="99"/>
    <w:rPr>
      <w:rFonts w:ascii="Calibri" w:hAnsi="Calibri" w:eastAsia="宋体" w:cs="Times New Roman"/>
      <w:b/>
      <w:kern w:val="2"/>
      <w:sz w:val="21"/>
      <w:szCs w:val="24"/>
    </w:rPr>
  </w:style>
  <w:style w:type="character" w:customStyle="1" w:styleId="47">
    <w:name w:val="批注文字 字符"/>
    <w:basedOn w:val="26"/>
    <w:semiHidden/>
    <w:qFormat/>
    <w:uiPriority w:val="99"/>
    <w:rPr>
      <w:rFonts w:asciiTheme="minorHAnsi" w:hAnsiTheme="minorHAnsi" w:eastAsiaTheme="minorEastAsia" w:cstheme="minorBidi"/>
      <w:kern w:val="2"/>
      <w:sz w:val="21"/>
      <w:szCs w:val="22"/>
    </w:rPr>
  </w:style>
  <w:style w:type="character" w:customStyle="1" w:styleId="48">
    <w:name w:val="批注文字 字符1"/>
    <w:basedOn w:val="26"/>
    <w:link w:val="14"/>
    <w:qFormat/>
    <w:uiPriority w:val="99"/>
    <w:rPr>
      <w:rFonts w:ascii="Calibri" w:hAnsi="Calibri" w:eastAsia="宋体" w:cs="Times New Roman"/>
      <w:kern w:val="2"/>
      <w:sz w:val="21"/>
      <w:szCs w:val="22"/>
    </w:rPr>
  </w:style>
  <w:style w:type="character" w:customStyle="1" w:styleId="49">
    <w:name w:val="批注主题 字符"/>
    <w:basedOn w:val="48"/>
    <w:link w:val="23"/>
    <w:qFormat/>
    <w:uiPriority w:val="99"/>
    <w:rPr>
      <w:rFonts w:ascii="Calibri" w:hAnsi="Calibri" w:eastAsia="宋体" w:cs="Times New Roman"/>
      <w:b/>
      <w:bCs/>
      <w:kern w:val="2"/>
      <w:sz w:val="21"/>
      <w:szCs w:val="22"/>
    </w:rPr>
  </w:style>
  <w:style w:type="character" w:customStyle="1" w:styleId="50">
    <w:name w:val="纯文本 字符"/>
    <w:qFormat/>
    <w:uiPriority w:val="0"/>
    <w:rPr>
      <w:rFonts w:ascii="宋体" w:hAnsi="Courier New" w:eastAsia="宋体" w:cs="Courier New"/>
      <w:kern w:val="2"/>
      <w:sz w:val="21"/>
      <w:szCs w:val="21"/>
    </w:rPr>
  </w:style>
  <w:style w:type="character" w:customStyle="1" w:styleId="51">
    <w:name w:val="正文文本首行缩进 2 字符"/>
    <w:basedOn w:val="52"/>
    <w:qFormat/>
    <w:uiPriority w:val="0"/>
    <w:rPr>
      <w:rFonts w:hint="default" w:ascii="Calibri" w:hAnsi="Calibri" w:eastAsia="宋体" w:cs="Times New Roman"/>
      <w:kern w:val="2"/>
      <w:sz w:val="21"/>
      <w:szCs w:val="22"/>
    </w:rPr>
  </w:style>
  <w:style w:type="character" w:customStyle="1" w:styleId="52">
    <w:name w:val="正文文本缩进 字符"/>
    <w:basedOn w:val="26"/>
    <w:link w:val="3"/>
    <w:qFormat/>
    <w:uiPriority w:val="0"/>
    <w:rPr>
      <w:rFonts w:hint="default" w:ascii="Calibri" w:hAnsi="Calibri" w:eastAsia="宋体" w:cs="Times New Roman"/>
      <w:kern w:val="2"/>
      <w:sz w:val="21"/>
      <w:szCs w:val="22"/>
    </w:rPr>
  </w:style>
  <w:style w:type="character" w:customStyle="1" w:styleId="53">
    <w:name w:val="标题 6 字符"/>
    <w:basedOn w:val="26"/>
    <w:link w:val="10"/>
    <w:qFormat/>
    <w:uiPriority w:val="0"/>
    <w:rPr>
      <w:rFonts w:hint="default" w:ascii="Cambria" w:hAnsi="Cambria" w:eastAsia="宋体" w:cs="Times New Roman"/>
      <w:b/>
      <w:bCs/>
      <w:kern w:val="2"/>
      <w:sz w:val="24"/>
      <w:szCs w:val="24"/>
    </w:rPr>
  </w:style>
  <w:style w:type="character" w:customStyle="1" w:styleId="54">
    <w:name w:val="纯文本 字符1"/>
    <w:basedOn w:val="26"/>
    <w:link w:val="16"/>
    <w:qFormat/>
    <w:uiPriority w:val="0"/>
    <w:rPr>
      <w:rFonts w:hint="eastAsia" w:ascii="宋体" w:hAnsi="Courier New" w:eastAsia="宋体" w:cs="Times New Roman"/>
      <w:kern w:val="2"/>
      <w:sz w:val="21"/>
      <w:szCs w:val="21"/>
    </w:rPr>
  </w:style>
  <w:style w:type="paragraph" w:customStyle="1" w:styleId="55">
    <w:name w:val="纯文本1"/>
    <w:basedOn w:val="1"/>
    <w:qFormat/>
    <w:uiPriority w:val="0"/>
    <w:rPr>
      <w:rFonts w:hint="eastAsia" w:ascii="宋体" w:hAnsi="Courier New"/>
      <w:szCs w:val="21"/>
    </w:rPr>
  </w:style>
  <w:style w:type="paragraph" w:customStyle="1" w:styleId="56">
    <w:name w:val="Revision"/>
    <w:hidden/>
    <w:unhideWhenUsed/>
    <w:qFormat/>
    <w:uiPriority w:val="99"/>
    <w:rPr>
      <w:rFonts w:ascii="Calibri" w:hAnsi="Calibri" w:eastAsia="宋体" w:cs="Times New Roman"/>
      <w:kern w:val="2"/>
      <w:sz w:val="21"/>
      <w:szCs w:val="22"/>
      <w:lang w:val="en-US" w:eastAsia="zh-CN" w:bidi="ar-SA"/>
    </w:rPr>
  </w:style>
  <w:style w:type="character" w:customStyle="1" w:styleId="57">
    <w:name w:val="first-child"/>
    <w:basedOn w:val="26"/>
    <w:qFormat/>
    <w:uiPriority w:val="0"/>
  </w:style>
  <w:style w:type="character" w:customStyle="1" w:styleId="58">
    <w:name w:val="first-child1"/>
    <w:basedOn w:val="26"/>
    <w:qFormat/>
    <w:uiPriority w:val="0"/>
  </w:style>
  <w:style w:type="character" w:customStyle="1" w:styleId="59">
    <w:name w:val="on"/>
    <w:basedOn w:val="26"/>
    <w:qFormat/>
    <w:uiPriority w:val="0"/>
    <w:rPr>
      <w:color w:val="C40001"/>
    </w:rPr>
  </w:style>
  <w:style w:type="character" w:customStyle="1" w:styleId="60">
    <w:name w:val="bar"/>
    <w:basedOn w:val="26"/>
    <w:qFormat/>
    <w:uiPriority w:val="0"/>
  </w:style>
  <w:style w:type="character" w:customStyle="1" w:styleId="61">
    <w:name w:val="font71"/>
    <w:basedOn w:val="26"/>
    <w:qFormat/>
    <w:uiPriority w:val="0"/>
    <w:rPr>
      <w:rFonts w:hint="eastAsia" w:ascii="宋体" w:hAnsi="宋体" w:eastAsia="宋体" w:cs="宋体"/>
      <w:color w:val="FF0000"/>
      <w:sz w:val="21"/>
      <w:szCs w:val="21"/>
      <w:u w:val="none"/>
    </w:rPr>
  </w:style>
  <w:style w:type="paragraph" w:customStyle="1" w:styleId="62">
    <w:name w:val="Heading 1_0"/>
    <w:basedOn w:val="1"/>
    <w:next w:val="63"/>
    <w:qFormat/>
    <w:uiPriority w:val="0"/>
    <w:pPr>
      <w:keepNext/>
      <w:keepLines/>
      <w:wordWrap w:val="0"/>
      <w:spacing w:after="160" w:line="360" w:lineRule="auto"/>
      <w:jc w:val="left"/>
      <w:outlineLvl w:val="0"/>
    </w:pPr>
    <w:rPr>
      <w:rFonts w:ascii="等线" w:hAnsi="等线"/>
      <w:b/>
      <w:bCs/>
      <w:kern w:val="44"/>
      <w:sz w:val="36"/>
      <w:szCs w:val="44"/>
    </w:rPr>
  </w:style>
  <w:style w:type="paragraph" w:customStyle="1" w:styleId="63">
    <w:name w:val="Normal_0_0"/>
    <w:next w:val="64"/>
    <w:qFormat/>
    <w:uiPriority w:val="0"/>
    <w:pPr>
      <w:widowControl w:val="0"/>
      <w:wordWrap w:val="0"/>
      <w:spacing w:after="160" w:line="360" w:lineRule="auto"/>
      <w:jc w:val="both"/>
    </w:pPr>
    <w:rPr>
      <w:rFonts w:ascii="宋体" w:hAnsi="宋体" w:eastAsia="宋体" w:cs="Times New Roman"/>
      <w:kern w:val="2"/>
      <w:sz w:val="24"/>
      <w:lang w:val="en-US" w:eastAsia="zh-CN" w:bidi="ar-SA"/>
    </w:rPr>
  </w:style>
  <w:style w:type="paragraph" w:customStyle="1" w:styleId="64">
    <w:name w:val="Heading 5_0"/>
    <w:basedOn w:val="1"/>
    <w:next w:val="63"/>
    <w:qFormat/>
    <w:uiPriority w:val="9"/>
    <w:pPr>
      <w:keepNext/>
      <w:keepLines/>
      <w:widowControl/>
      <w:numPr>
        <w:ilvl w:val="4"/>
        <w:numId w:val="2"/>
      </w:numPr>
      <w:tabs>
        <w:tab w:val="left" w:pos="425"/>
        <w:tab w:val="left" w:pos="991"/>
        <w:tab w:val="left" w:pos="1008"/>
      </w:tabs>
      <w:overflowPunct w:val="0"/>
      <w:autoSpaceDE w:val="0"/>
      <w:autoSpaceDN w:val="0"/>
      <w:adjustRightInd w:val="0"/>
      <w:spacing w:after="160" w:line="360" w:lineRule="auto"/>
      <w:jc w:val="left"/>
      <w:outlineLvl w:val="4"/>
    </w:pPr>
    <w:rPr>
      <w:rFonts w:eastAsia="黑体"/>
      <w:b/>
      <w:bCs/>
      <w:kern w:val="0"/>
      <w:sz w:val="32"/>
      <w:szCs w:val="28"/>
    </w:rPr>
  </w:style>
  <w:style w:type="paragraph" w:customStyle="1" w:styleId="65">
    <w:name w:val="Normal_0"/>
    <w:next w:val="66"/>
    <w:qFormat/>
    <w:uiPriority w:val="0"/>
    <w:pPr>
      <w:widowControl w:val="0"/>
      <w:spacing w:after="160" w:line="259" w:lineRule="auto"/>
      <w:jc w:val="both"/>
    </w:pPr>
    <w:rPr>
      <w:rFonts w:ascii="Times New Roman" w:hAnsi="Times New Roman" w:eastAsia="宋体" w:cs="Times New Roman"/>
      <w:kern w:val="2"/>
      <w:sz w:val="24"/>
      <w:lang w:val="en-US" w:eastAsia="zh-CN" w:bidi="ar-SA"/>
    </w:rPr>
  </w:style>
  <w:style w:type="paragraph" w:customStyle="1" w:styleId="66">
    <w:name w:val="Normal Indent1_0"/>
    <w:qFormat/>
    <w:uiPriority w:val="0"/>
    <w:pPr>
      <w:spacing w:after="160" w:afterLines="50" w:line="360" w:lineRule="auto"/>
      <w:ind w:firstLine="420" w:firstLine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119</Pages>
  <Words>20721</Words>
  <Characters>22057</Characters>
  <Lines>422</Lines>
  <Paragraphs>119</Paragraphs>
  <TotalTime>3</TotalTime>
  <ScaleCrop>false</ScaleCrop>
  <LinksUpToDate>false</LinksUpToDate>
  <CharactersWithSpaces>22636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2024-02-22T06:21:00Z</dcterms:created>
  <dc:creator>Dunge</dc:creator>
  <cp:lastModifiedBy>末来し</cp:lastModifiedBy>
  <dcterms:modified xsi:type="dcterms:W3CDTF">2024-12-24T08:17:26Z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53CDCAE6657C4DCDBB68B4ED878BAF80_13</vt:lpwstr>
  </property>
</Properties>
</file>