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3A56B">
      <w:pPr>
        <w:pStyle w:val="17"/>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mc:AlternateContent>
        <mc:Choice Requires="wpsCustomData">
          <wpsCustomData:docfieldStart id="0" docfieldname="标题_1" hidden="0" print="1" readonly="0" index="2"/>
        </mc:Choice>
      </mc:AlternateContent>
      <w:r>
        <w:rPr>
          <w:rFonts w:hint="eastAsia" w:ascii="黑体" w:hAnsi="黑体" w:eastAsia="黑体" w:cs="黑体"/>
          <w:sz w:val="32"/>
          <w:szCs w:val="32"/>
          <w:lang w:val="en-US" w:eastAsia="zh-CN"/>
        </w:rPr>
        <w:t>附件</w:t>
      </w:r>
    </w:p>
    <w:p w14:paraId="604B875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黑体" w:hAnsi="黑体" w:eastAsia="黑体" w:cs="黑体"/>
          <w:sz w:val="32"/>
          <w:szCs w:val="32"/>
          <w:lang w:val="en-US" w:eastAsia="zh-CN"/>
        </w:rPr>
      </w:pPr>
    </w:p>
    <w:p w14:paraId="0250DAE8">
      <w:pPr>
        <w:pStyle w:val="17"/>
        <w:keepNext w:val="0"/>
        <w:keepLines w:val="0"/>
        <w:pageBreakBefore w:val="0"/>
        <w:widowControl w:val="0"/>
        <w:kinsoku/>
        <w:wordWrap/>
        <w:overflowPunct/>
        <w:topLinePunct w:val="0"/>
        <w:autoSpaceDE/>
        <w:autoSpaceDN/>
        <w:bidi w:val="0"/>
        <w:adjustRightInd/>
        <w:snapToGrid/>
        <w:spacing w:line="600" w:lineRule="exact"/>
        <w:jc w:val="center"/>
        <w:textAlignment w:val="auto"/>
      </w:pPr>
      <w:r>
        <w:t>关于加强贵州省自然资源领域工程建设</w:t>
      </w:r>
      <w:r>
        <w:br w:type="textWrapping"/>
      </w:r>
      <w:r>
        <w:t>项目招标投标监管的指导意见</w:t>
      </w:r>
    </w:p>
    <w:p w14:paraId="5774A888">
      <w:pPr>
        <w:pStyle w:val="17"/>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b/>
          <w:bCs/>
          <w:sz w:val="44"/>
          <w:szCs w:val="44"/>
          <w:lang w:eastAsia="zh-CN"/>
        </w:rPr>
      </w:pPr>
      <w:r>
        <w:rPr>
          <w:rFonts w:hint="eastAsia" w:ascii="楷体_GB2312" w:hAnsi="楷体_GB2312" w:eastAsia="楷体_GB2312" w:cs="楷体_GB2312"/>
          <w:b/>
          <w:bCs/>
          <w:sz w:val="44"/>
          <w:szCs w:val="44"/>
          <w:lang w:eastAsia="zh-CN"/>
        </w:rPr>
        <w:t>（</w:t>
      </w:r>
      <w:r>
        <w:rPr>
          <w:rFonts w:hint="eastAsia" w:ascii="楷体_GB2312" w:hAnsi="楷体_GB2312" w:eastAsia="楷体_GB2312" w:cs="楷体_GB2312"/>
          <w:b/>
          <w:bCs/>
          <w:sz w:val="44"/>
          <w:szCs w:val="44"/>
          <w:lang w:val="en-US" w:eastAsia="zh-CN"/>
        </w:rPr>
        <w:t>征求意见稿</w:t>
      </w:r>
      <w:r>
        <w:rPr>
          <w:rFonts w:hint="eastAsia" w:ascii="楷体_GB2312" w:hAnsi="楷体_GB2312" w:eastAsia="楷体_GB2312" w:cs="楷体_GB2312"/>
          <w:b/>
          <w:bCs/>
          <w:sz w:val="44"/>
          <w:szCs w:val="44"/>
          <w:lang w:eastAsia="zh-CN"/>
        </w:rPr>
        <w:t>）</w:t>
      </w:r>
      <mc:AlternateContent>
        <mc:Choice Requires="wpsCustomData">
          <wpsCustomData:docfieldEnd id="0"/>
        </mc:Choice>
      </mc:AlternateContent>
    </w:p>
    <w:p w14:paraId="4A2EAB1F">
      <w:pPr>
        <w:pStyle w:val="12"/>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16" w:firstLineChars="200"/>
        <w:textAlignment w:val="auto"/>
      </w:pPr>
    </w:p>
    <w:p w14:paraId="0580C3D7">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pacing w:val="0"/>
          <w:sz w:val="32"/>
          <w:szCs w:val="32"/>
          <w:lang w:val="en-US" w:eastAsia="zh-CN"/>
        </w:rPr>
      </w:pPr>
      <w:r>
        <w:rPr>
          <w:rFonts w:hint="eastAsia" w:ascii="Times New Roman" w:hAnsi="Times New Roman" w:eastAsia="仿宋_GB2312" w:cs="仿宋_GB2312"/>
          <w:spacing w:val="0"/>
          <w:sz w:val="32"/>
          <w:szCs w:val="32"/>
        </w:rPr>
        <w:t>为深入贯彻落实《国务院办公厅关于创新完善体制机制推动招标投标市场规范健康发展的意见》（国办发〔2024〕21号），按照《省发展改革委关于印发＜贵州省招标投标领域省级行政监督责任清单＞的通知》（黔发改法规〔2025〕619号）明确的监管职责分工，规范全省自然资源领域工程建设项目招标投标活动，强化全流程闭环监管，维护公平竞争市场秩序，根据《中华人民共和国招标投标法》《中华人民共和国招标投标法实施条例》《贵州省招标投标条例》《公平竞</w:t>
      </w:r>
      <w:bookmarkStart w:id="0" w:name="_GoBack"/>
      <w:bookmarkEnd w:id="0"/>
      <w:r>
        <w:rPr>
          <w:rFonts w:hint="eastAsia" w:ascii="Times New Roman" w:hAnsi="Times New Roman" w:eastAsia="仿宋_GB2312" w:cs="仿宋_GB2312"/>
          <w:spacing w:val="0"/>
          <w:sz w:val="32"/>
          <w:szCs w:val="32"/>
        </w:rPr>
        <w:t>争审查条例》《招标投标领域公平竞争审查规则》等法律法规</w:t>
      </w:r>
      <w:r>
        <w:rPr>
          <w:rFonts w:hint="eastAsia" w:cs="仿宋_GB2312"/>
          <w:spacing w:val="0"/>
          <w:sz w:val="32"/>
          <w:szCs w:val="32"/>
          <w:lang w:val="en-US" w:eastAsia="zh-CN"/>
        </w:rPr>
        <w:t>规章</w:t>
      </w:r>
      <w:r>
        <w:rPr>
          <w:rFonts w:hint="eastAsia" w:ascii="Times New Roman" w:hAnsi="Times New Roman" w:eastAsia="仿宋_GB2312" w:cs="仿宋_GB2312"/>
          <w:spacing w:val="0"/>
          <w:sz w:val="32"/>
          <w:szCs w:val="32"/>
        </w:rPr>
        <w:t>，以及我省招标投标领域突出问题专项整治有关要求，制定本指导意见</w:t>
      </w:r>
      <w:r>
        <w:rPr>
          <w:rFonts w:ascii="Times New Roman" w:hAnsi="Times New Roman" w:eastAsia="仿宋_GB2312" w:cs="仿宋_GB2312"/>
          <w:spacing w:val="0"/>
          <w:sz w:val="32"/>
          <w:szCs w:val="32"/>
        </w:rPr>
        <w:t>。</w:t>
      </w:r>
    </w:p>
    <w:p w14:paraId="2B254F73">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黑体" w:hAnsi="黑体" w:eastAsia="黑体" w:cs="黑体"/>
          <w:spacing w:val="0"/>
          <w:sz w:val="32"/>
        </w:rPr>
      </w:pPr>
      <w:r>
        <w:rPr>
          <w:rFonts w:hint="eastAsia" w:ascii="黑体" w:hAnsi="黑体" w:eastAsia="黑体" w:cs="黑体"/>
          <w:spacing w:val="0"/>
          <w:sz w:val="32"/>
        </w:rPr>
        <w:t>一、适用范围</w:t>
      </w:r>
    </w:p>
    <w:p w14:paraId="7F6E269C">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仿宋_GB2312" w:cs="仿宋_GB2312"/>
          <w:color w:val="auto"/>
          <w:spacing w:val="0"/>
          <w:kern w:val="0"/>
          <w:sz w:val="32"/>
          <w:szCs w:val="32"/>
          <w14:ligatures w14:val="none"/>
        </w:rPr>
      </w:pPr>
      <w:r>
        <w:rPr>
          <w:rFonts w:hint="eastAsia" w:ascii="Times New Roman" w:hAnsi="Times New Roman" w:eastAsia="仿宋_GB2312" w:cs="仿宋_GB2312"/>
          <w:color w:val="auto"/>
          <w:spacing w:val="0"/>
          <w:kern w:val="0"/>
          <w:sz w:val="32"/>
          <w:szCs w:val="32"/>
          <w14:ligatures w14:val="none"/>
        </w:rPr>
        <w:t>本意见适用于全省自然资源领域使用财政性资金、国有资金或国家融资的工程建设项目的招标投标活动监督管理，包括土地整治、山水林田湖草生态保护修复工程、矿山</w:t>
      </w:r>
      <w:r>
        <w:rPr>
          <w:rFonts w:hint="eastAsia" w:ascii="Times New Roman" w:hAnsi="Times New Roman" w:eastAsia="仿宋_GB2312" w:cs="仿宋_GB2312"/>
          <w:color w:val="auto"/>
          <w:spacing w:val="0"/>
          <w:kern w:val="0"/>
          <w:sz w:val="32"/>
          <w:szCs w:val="32"/>
          <w:lang w:val="en-US" w:eastAsia="zh-CN"/>
          <w14:ligatures w14:val="none"/>
        </w:rPr>
        <w:t>生态修复</w:t>
      </w:r>
      <w:r>
        <w:rPr>
          <w:rFonts w:hint="eastAsia" w:ascii="Times New Roman" w:hAnsi="Times New Roman" w:eastAsia="仿宋_GB2312" w:cs="仿宋_GB2312"/>
          <w:color w:val="auto"/>
          <w:spacing w:val="0"/>
          <w:kern w:val="0"/>
          <w:sz w:val="32"/>
          <w:szCs w:val="32"/>
          <w14:ligatures w14:val="none"/>
        </w:rPr>
        <w:t>、矿产资源开采、地质灾害预防和治理等。其他资金来源的项目参照执行，但涉及依法必须招标范围的，应当严格遵守《必须招标的工程项目规定》。</w:t>
      </w:r>
    </w:p>
    <w:p w14:paraId="3D31FAB8">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黑体" w:hAnsi="黑体" w:eastAsia="黑体" w:cs="黑体"/>
          <w:spacing w:val="0"/>
          <w:sz w:val="32"/>
        </w:rPr>
      </w:pPr>
      <w:r>
        <w:rPr>
          <w:rFonts w:hint="eastAsia" w:ascii="黑体" w:hAnsi="黑体" w:eastAsia="黑体" w:cs="黑体"/>
          <w:spacing w:val="0"/>
          <w:sz w:val="32"/>
          <w:lang w:val="en-US" w:eastAsia="zh-CN"/>
        </w:rPr>
        <w:t>二</w:t>
      </w:r>
      <w:r>
        <w:rPr>
          <w:rFonts w:hint="eastAsia" w:ascii="黑体" w:hAnsi="黑体" w:eastAsia="黑体" w:cs="黑体"/>
          <w:spacing w:val="0"/>
          <w:sz w:val="32"/>
          <w:lang w:eastAsia="zh-CN"/>
        </w:rPr>
        <w:t>、</w:t>
      </w:r>
      <w:r>
        <w:rPr>
          <w:rFonts w:hint="eastAsia" w:ascii="黑体" w:hAnsi="黑体" w:eastAsia="黑体" w:cs="黑体"/>
          <w:spacing w:val="0"/>
          <w:sz w:val="32"/>
        </w:rPr>
        <w:t>分级监管职责</w:t>
      </w:r>
    </w:p>
    <w:p w14:paraId="7864AB76">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pacing w:val="0"/>
          <w:sz w:val="32"/>
          <w:szCs w:val="32"/>
          <w:lang w:eastAsia="zh-CN"/>
        </w:rPr>
      </w:pPr>
      <w:r>
        <w:rPr>
          <w:rFonts w:hint="eastAsia" w:ascii="Times New Roman" w:hAnsi="Times New Roman" w:eastAsia="仿宋_GB2312" w:cs="仿宋_GB2312"/>
          <w:color w:val="auto"/>
          <w:spacing w:val="0"/>
          <w:kern w:val="0"/>
          <w:sz w:val="32"/>
          <w:szCs w:val="32"/>
          <w14:ligatures w14:val="none"/>
        </w:rPr>
        <w:t>坚持“管行业必须管招投标”原则，按照属地管理、分级负责的原则，落实省、市、县三级自然资源主管部门监管职责。各级自然资源主管部门在履行监督职责中，应当尊重和保障招标人法定权利，不得非法干涉招标人依法享有的组织招标、选择招标代理机构、编制招标文件、委派代表参加评标等自主权。自然资源主管部门及其直属单位作为招标人（项目业主）组织实施的项目，其招标投标活动的行政监督，应当由上级自然资源主管部门或者本级人民政府指定的其他行政监督部门负责，实行“管办分离”，确保监督的独立性和公正性。</w:t>
      </w:r>
    </w:p>
    <w:p w14:paraId="7FD904A6">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lang w:val="en-US" w:eastAsia="zh-CN"/>
        </w:rPr>
        <w:t>一</w:t>
      </w:r>
      <w:r>
        <w:rPr>
          <w:rFonts w:hint="eastAsia" w:ascii="楷体_GB2312" w:hAnsi="楷体_GB2312" w:eastAsia="楷体_GB2312" w:cs="楷体_GB2312"/>
          <w:spacing w:val="0"/>
          <w:sz w:val="32"/>
          <w:szCs w:val="32"/>
          <w:lang w:eastAsia="zh-CN"/>
        </w:rPr>
        <w:t>）省自然资源厅。</w:t>
      </w:r>
      <w:r>
        <w:rPr>
          <w:rFonts w:hint="eastAsia" w:cs="仿宋_GB2312"/>
          <w:spacing w:val="0"/>
          <w:sz w:val="32"/>
          <w:szCs w:val="32"/>
          <w:lang w:eastAsia="zh-CN"/>
        </w:rPr>
        <w:t>统筹全省自然资源领域招标投标监管工作，配合省发展改革委等综合监督部门，制定本行业监管细则、招标文件示范文本和行业信用评价标准；对省级审批（核准）的自然资源领域工程项目招标投标活动实施重点监管；配合省综合评标专家库管理部门，做好本领域评标专家的推荐、培训、考核等工作；组织开展专项检查、业务培训和工作考核；对省级自然资源主管部门及其直属单位作为招标人的项目，主动协调本级人民政府指定其他行政监督部门实施监督或提请上一级监督部门实施提级监管；发现违法违规行为属于其他部门职责范围的，应当按照黔发改法规〔2025〕619号要求，做好案卷记录后按照相关程序进行移送。</w:t>
      </w:r>
    </w:p>
    <w:p w14:paraId="79533864">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仿宋_GB2312"/>
          <w:spacing w:val="0"/>
          <w:sz w:val="32"/>
          <w:szCs w:val="32"/>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lang w:val="en-US" w:eastAsia="zh-CN"/>
        </w:rPr>
        <w:t>二</w:t>
      </w: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lang w:val="en-US" w:eastAsia="zh-CN"/>
        </w:rPr>
        <w:t>市（州）</w:t>
      </w:r>
      <w:r>
        <w:rPr>
          <w:rFonts w:hint="eastAsia" w:ascii="楷体_GB2312" w:hAnsi="楷体_GB2312" w:eastAsia="楷体_GB2312" w:cs="楷体_GB2312"/>
          <w:spacing w:val="0"/>
          <w:sz w:val="32"/>
          <w:szCs w:val="32"/>
          <w:lang w:eastAsia="zh-CN"/>
        </w:rPr>
        <w:t>自然资源主管部门。</w:t>
      </w:r>
      <w:r>
        <w:rPr>
          <w:rFonts w:hint="eastAsia" w:cs="仿宋_GB2312"/>
          <w:spacing w:val="0"/>
          <w:sz w:val="32"/>
          <w:szCs w:val="32"/>
          <w:lang w:val="en-US" w:eastAsia="zh-CN"/>
        </w:rPr>
        <w:t>负责对辖区内招标投标活动依法实施全流程行政监督；制定并组织实施本辖区监管细则和考核办法，指导县（市、区）开展监管工作；依法受理和处理涉及本行业招标投标活动的投诉举报；对市（州）自然资源主管部门及其直属单位作为招标人的项目，应当主动协调本级人民政府指定其他行政监督部门实施监督或提请上一级监督部门实施提级监管；协同相关部门查处违法违规行为；组织项目自查排查，建立监管台账，定期向省自然资源厅报送信息。在履行监督职责中，不得干涉招标人依法享有的自主权</w:t>
      </w:r>
      <w:r>
        <w:rPr>
          <w:rFonts w:hint="eastAsia" w:cs="仿宋_GB2312"/>
          <w:spacing w:val="0"/>
          <w:sz w:val="32"/>
          <w:szCs w:val="32"/>
          <w:lang w:eastAsia="zh-CN"/>
        </w:rPr>
        <w:t>。</w:t>
      </w:r>
    </w:p>
    <w:p w14:paraId="30F3B8F8">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lang w:val="en-US" w:eastAsia="zh-CN"/>
        </w:rPr>
        <w:t>三</w:t>
      </w:r>
      <w:r>
        <w:rPr>
          <w:rFonts w:hint="eastAsia" w:ascii="楷体_GB2312" w:hAnsi="楷体_GB2312" w:eastAsia="楷体_GB2312" w:cs="楷体_GB2312"/>
          <w:spacing w:val="0"/>
          <w:sz w:val="32"/>
          <w:szCs w:val="32"/>
          <w:lang w:eastAsia="zh-CN"/>
        </w:rPr>
        <w:t>）县（市、区）自然资源主管部门。</w:t>
      </w:r>
      <w:r>
        <w:rPr>
          <w:rFonts w:hint="eastAsia" w:cs="仿宋_GB2312"/>
          <w:spacing w:val="0"/>
          <w:sz w:val="32"/>
          <w:szCs w:val="32"/>
          <w:lang w:eastAsia="zh-CN"/>
        </w:rPr>
        <w:t>负责对辖区内招标投标活动依法实施日常行政监督；督促招标人按照公共资源交易平台管理规定办理进场交易手续；依法核查本辖区招标投标违法违规行为，对涉嫌犯罪的及时移送公安机关，对涉及公职人员违纪的按干部管理权限移送纪检监察机关；对县（市、区）自然资源主管部门及其直属单位作为招标人的项目，应当主动协调本级人民政府指定其他行政监督部门实施监督或提请上一级监督部门实施提级监管；收集、整理本辖区招标投标监管信息，定期向市级自然资源主管部门报送。“日常监督”应当以“双随机、一公开”为主要方式开展。</w:t>
      </w:r>
    </w:p>
    <w:p w14:paraId="6ADF8EFA">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lang w:val="en-US" w:eastAsia="zh-CN"/>
        </w:rPr>
        <w:t>四</w:t>
      </w:r>
      <w:r>
        <w:rPr>
          <w:rFonts w:hint="eastAsia" w:ascii="楷体_GB2312" w:hAnsi="楷体_GB2312" w:eastAsia="楷体_GB2312" w:cs="楷体_GB2312"/>
          <w:spacing w:val="0"/>
          <w:sz w:val="32"/>
          <w:szCs w:val="32"/>
          <w:lang w:eastAsia="zh-CN"/>
        </w:rPr>
        <w:t>）监督回避与提级监管制度。</w:t>
      </w:r>
      <w:r>
        <w:rPr>
          <w:rFonts w:hint="eastAsia" w:cs="仿宋_GB2312"/>
          <w:spacing w:val="0"/>
          <w:sz w:val="32"/>
          <w:szCs w:val="32"/>
          <w:lang w:eastAsia="zh-CN"/>
        </w:rPr>
        <w:t>各级自然资源主管部门及其直属单位作为招标人（项目业主）组织实施工程建设项目招标投标活动的，应当遵守以下规定：</w:t>
      </w:r>
    </w:p>
    <w:p w14:paraId="12BF871B">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spacing w:val="0"/>
          <w:sz w:val="32"/>
          <w:szCs w:val="32"/>
          <w:lang w:val="en-US" w:eastAsia="zh-CN"/>
        </w:rPr>
        <w:t>1.</w:t>
      </w:r>
      <w:r>
        <w:rPr>
          <w:rFonts w:hint="eastAsia" w:cs="仿宋_GB2312"/>
          <w:spacing w:val="0"/>
          <w:sz w:val="32"/>
          <w:szCs w:val="32"/>
          <w:lang w:eastAsia="zh-CN"/>
        </w:rPr>
        <w:t>实行“管办分离”原则。自然资源主管部门及其直属单位作为招标人的项目，其招标投标活动的行政监督，应当由上级自然资源主管部门或者本级人民政府指定的其他行政监督部门负责</w:t>
      </w:r>
      <w:r>
        <w:rPr>
          <w:rFonts w:hint="eastAsia" w:cs="仿宋_GB2312"/>
          <w:spacing wpsCustomData:val="0" w:val="4"/>
          <w:sz w:val="32"/>
          <w:szCs w:val="32"/>
          <w:lang w:eastAsia="zh-CN"/>
        </w:rPr>
        <w:t>。自然资源主管部门不得对自身作为招标人的项目实施行</w:t>
      </w:r>
      <w:r>
        <w:rPr>
          <w:rFonts w:hint="eastAsia" w:cs="仿宋_GB2312"/>
          <w:spacing w:val="0"/>
          <w:sz w:val="32"/>
          <w:szCs w:val="32"/>
          <w:lang w:eastAsia="zh-CN"/>
        </w:rPr>
        <w:t>政监督。</w:t>
      </w:r>
    </w:p>
    <w:p w14:paraId="5B971A6C">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spacing w:val="0"/>
          <w:sz w:val="32"/>
          <w:szCs w:val="32"/>
          <w:lang w:val="en-US" w:eastAsia="zh-CN"/>
        </w:rPr>
        <w:t>2.</w:t>
      </w:r>
      <w:r>
        <w:rPr>
          <w:rFonts w:hint="eastAsia" w:cs="仿宋_GB2312"/>
          <w:spacing w:val="0"/>
          <w:sz w:val="32"/>
          <w:szCs w:val="32"/>
          <w:lang w:eastAsia="zh-CN"/>
        </w:rPr>
        <w:t>提级监管。市、县两级自然资源主管部门及其直属单位作为招标人的项目，其招标投标活动的行政监督由上一级自然资源主管部门负责。省自然资源厅及其直属单位作为招标人的项目，由省自然资源厅提请省人民政府指定其他行政监督部门负责监督，或由省发展改革委（招标投标综合指导协调部门）直接实施监督。</w:t>
      </w:r>
    </w:p>
    <w:p w14:paraId="40434C1C">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spacing w:val="0"/>
          <w:sz w:val="32"/>
          <w:szCs w:val="32"/>
          <w:lang w:val="en-US" w:eastAsia="zh-CN"/>
        </w:rPr>
        <w:t>3.</w:t>
      </w:r>
      <w:r>
        <w:rPr>
          <w:rFonts w:hint="eastAsia" w:cs="仿宋_GB2312"/>
          <w:spacing w:val="0"/>
          <w:sz w:val="32"/>
          <w:szCs w:val="32"/>
          <w:lang w:eastAsia="zh-CN"/>
        </w:rPr>
        <w:t>评标回避。自然资源主管部门作为招标人的项目，该部门及其所属单位的工作人员不得担任本部门负责监督项目的评标委员会成员。</w:t>
      </w:r>
    </w:p>
    <w:p w14:paraId="1002ABD4">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spacing w:val="0"/>
          <w:sz w:val="32"/>
          <w:szCs w:val="32"/>
          <w:lang w:val="en-US" w:eastAsia="zh-CN"/>
        </w:rPr>
        <w:t>4.</w:t>
      </w:r>
      <w:r>
        <w:rPr>
          <w:rFonts w:hint="eastAsia" w:cs="仿宋_GB2312"/>
          <w:spacing w:val="0"/>
          <w:sz w:val="32"/>
          <w:szCs w:val="32"/>
          <w:lang w:eastAsia="zh-CN"/>
        </w:rPr>
        <w:t>交叉监管。鼓励探索建立跨区域交叉监管机制，由上级自然资源主管部门统一调配监管力量，对下级部门作为招标人的项目实施交叉监督检查。</w:t>
      </w:r>
    </w:p>
    <w:p w14:paraId="3EA5223C">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spacing w:val="0"/>
          <w:sz w:val="32"/>
          <w:szCs w:val="32"/>
          <w:lang w:val="en-US" w:eastAsia="zh-CN"/>
        </w:rPr>
        <w:t>5.</w:t>
      </w:r>
      <w:r>
        <w:rPr>
          <w:rFonts w:hint="eastAsia" w:cs="仿宋_GB2312"/>
          <w:spacing w:val="0"/>
          <w:sz w:val="32"/>
          <w:szCs w:val="32"/>
          <w:lang w:eastAsia="zh-CN"/>
        </w:rPr>
        <w:t>对监管职责存在争议、需要回避或没有行政监督部门负责的情形，由招标投标综合指导协调部门（发展改革部门）负责行政监管工作。</w:t>
      </w:r>
    </w:p>
    <w:p w14:paraId="6AF742E0">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lang w:eastAsia="zh-CN"/>
        </w:rPr>
      </w:pPr>
      <w:r>
        <w:rPr>
          <w:rFonts w:hint="eastAsia" w:ascii="黑体" w:hAnsi="黑体" w:eastAsia="黑体" w:cs="黑体"/>
          <w:spacing w:val="0"/>
          <w:sz w:val="32"/>
          <w:lang w:eastAsia="zh-CN"/>
        </w:rPr>
        <w:t>三、招标投标全过程监管</w:t>
      </w:r>
    </w:p>
    <w:p w14:paraId="79376651">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Style w:val="47"/>
          <w:rFonts w:hint="eastAsia" w:eastAsia="楷体_GB2312"/>
          <w:spacing w:val="0"/>
          <w:sz w:val="32"/>
          <w:lang w:val="en-US" w:eastAsia="zh-CN"/>
        </w:rPr>
      </w:pPr>
      <w:r>
        <w:rPr>
          <w:rFonts w:hint="eastAsia" w:cs="仿宋_GB2312"/>
          <w:spacing w:val="0"/>
          <w:sz w:val="32"/>
          <w:szCs w:val="32"/>
          <w:lang w:eastAsia="zh-CN"/>
        </w:rPr>
        <w:t>各级自然资源主管部门应当尊重和保障招标人依法享有的自主权。各级自然资源主管部门依法对招标投标活动实施全链条行政监督，坚持公开、公平、公正原则，保障各类市场主体平等参与竞争。监督不得取代招标人依法应当承担的主体责任，不得非法干涉招标人法定权利。涉及自然资源主管部门及其直属单位作为招标人的项目，监督工作按照</w:t>
      </w:r>
      <w:r>
        <w:rPr>
          <w:rFonts w:hint="eastAsia" w:cs="仿宋_GB2312"/>
          <w:spacing w:val="0"/>
          <w:sz w:val="32"/>
          <w:szCs w:val="32"/>
          <w:lang w:val="en-US" w:eastAsia="zh-CN"/>
        </w:rPr>
        <w:t>本意见第二部分</w:t>
      </w:r>
      <w:r>
        <w:rPr>
          <w:rFonts w:hint="eastAsia" w:cs="仿宋_GB2312"/>
          <w:spacing w:val="0"/>
          <w:sz w:val="32"/>
          <w:szCs w:val="32"/>
          <w:lang w:eastAsia="zh-CN"/>
        </w:rPr>
        <w:t>第（四）条规定执行。</w:t>
      </w:r>
    </w:p>
    <w:p w14:paraId="084AB5F3">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Style w:val="47"/>
          <w:rFonts w:hint="default" w:eastAsia="楷体_GB2312"/>
          <w:b/>
          <w:bCs/>
          <w:spacing w:val="0"/>
          <w:sz w:val="32"/>
          <w:lang w:val="en-US" w:eastAsia="zh-CN"/>
        </w:rPr>
      </w:pPr>
      <w:r>
        <w:rPr>
          <w:rStyle w:val="47"/>
          <w:rFonts w:hint="eastAsia" w:eastAsia="楷体_GB2312"/>
          <w:b/>
          <w:bCs/>
          <w:spacing w:val="0"/>
          <w:sz w:val="32"/>
          <w:lang w:val="en-US" w:eastAsia="zh-CN"/>
        </w:rPr>
        <w:t>（一）招标阶段监管</w:t>
      </w:r>
    </w:p>
    <w:p w14:paraId="79FE6265">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Style w:val="47"/>
          <w:rFonts w:hint="eastAsia" w:ascii="仿宋_GB2312" w:hAnsi="仿宋_GB2312" w:eastAsia="仿宋_GB2312" w:cs="仿宋_GB2312"/>
          <w:b/>
          <w:bCs/>
          <w:spacing w:val="0"/>
          <w:sz w:val="32"/>
          <w:lang w:val="en-US" w:eastAsia="zh-CN"/>
        </w:rPr>
        <w:t>1.招标事项核准。</w:t>
      </w:r>
      <w:r>
        <w:rPr>
          <w:rFonts w:hint="eastAsia" w:cs="仿宋_GB2312"/>
          <w:spacing w:val="0"/>
          <w:sz w:val="32"/>
          <w:szCs w:val="32"/>
          <w:lang w:eastAsia="zh-CN"/>
        </w:rPr>
        <w:t>各级自然资源主管部门在审批、核准项目时，应当明确招标范围、招标方式、招标组织形式，并同步将核准信息通报同级公共资源交易综合监管部门。建立招标方式变更复核机制，招标人确需变更已核准招标事项的，应当报原审批、核准部门批准，自然资源主管部门应当对变更后的招标活动依法加强监督。严禁化整为零、肢解发包等规避招标行为。</w:t>
      </w:r>
    </w:p>
    <w:p w14:paraId="5712E48B">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b/>
          <w:bCs/>
          <w:spacing w:val="0"/>
          <w:sz w:val="32"/>
          <w:szCs w:val="32"/>
          <w:lang w:val="en-US" w:eastAsia="zh-CN"/>
        </w:rPr>
        <w:t>2</w:t>
      </w:r>
      <w:r>
        <w:rPr>
          <w:rFonts w:hint="eastAsia" w:cs="仿宋_GB2312"/>
          <w:b/>
          <w:bCs/>
          <w:spacing w:val="0"/>
          <w:sz w:val="32"/>
          <w:szCs w:val="32"/>
          <w:lang w:eastAsia="zh-CN"/>
        </w:rPr>
        <w:t>.招标计划发布。</w:t>
      </w:r>
      <w:r>
        <w:rPr>
          <w:rFonts w:hint="eastAsia" w:cs="仿宋_GB2312"/>
          <w:spacing w:val="0"/>
          <w:sz w:val="32"/>
          <w:szCs w:val="32"/>
          <w:lang w:eastAsia="zh-CN"/>
        </w:rPr>
        <w:t>对招标人是否按规定提前发布招标计划实施监督；发现未按规定发布招标计划的，应当要求招标人改正，并通报同级公共资源交易中心按照有关规定不予办理进场交易手续。</w:t>
      </w:r>
    </w:p>
    <w:p w14:paraId="030C7BD9">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b/>
          <w:bCs/>
          <w:spacing w:val="0"/>
          <w:sz w:val="32"/>
          <w:szCs w:val="32"/>
          <w:lang w:val="en-US" w:eastAsia="zh-CN"/>
        </w:rPr>
        <w:t>3</w:t>
      </w:r>
      <w:r>
        <w:rPr>
          <w:rFonts w:hint="eastAsia" w:cs="仿宋_GB2312"/>
          <w:b/>
          <w:bCs/>
          <w:spacing w:val="0"/>
          <w:sz w:val="32"/>
          <w:szCs w:val="32"/>
          <w:lang w:eastAsia="zh-CN"/>
        </w:rPr>
        <w:t>.招标文件合规性审查。</w:t>
      </w:r>
      <w:r>
        <w:rPr>
          <w:rFonts w:hint="eastAsia" w:cs="仿宋_GB2312"/>
          <w:spacing w:val="0"/>
          <w:sz w:val="32"/>
          <w:szCs w:val="32"/>
          <w:lang w:eastAsia="zh-CN"/>
        </w:rPr>
        <w:t>采用“双随机、一公开”方式对招标文件开展常态化抽查，明确抽查比例和频次，对照公平竞争审查负面清单逐项核查，重点整治“量身定制参数”、限定特定行政区域或所有制业绩、设置不合理规模条件等排斥、限制潜在投标人问题。推行招标文件智能辅助审查，运用大数据技术自动筛查违规条款。监督招标人依法设置暂估价，对暂估价设置明显不合理、可能规避招标的，应当依法予以纠正。对暂估价中所涉及的工程、货物、服务，达到依法必须招标规模标准的，监督招标人依法组织招标。</w:t>
      </w:r>
    </w:p>
    <w:p w14:paraId="51CBD2F2">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b/>
          <w:bCs/>
          <w:spacing w:val="0"/>
          <w:sz w:val="32"/>
          <w:szCs w:val="32"/>
          <w:lang w:val="en-US" w:eastAsia="zh-CN"/>
        </w:rPr>
        <w:t>4.招标代理机构监管。</w:t>
      </w:r>
      <w:r>
        <w:rPr>
          <w:rFonts w:hint="eastAsia" w:cs="仿宋_GB2312"/>
          <w:b w:val="0"/>
          <w:bCs w:val="0"/>
          <w:spacing w:val="0"/>
          <w:sz w:val="32"/>
          <w:szCs w:val="32"/>
          <w:lang w:val="en-US" w:eastAsia="zh-CN"/>
        </w:rPr>
        <w:t>配合省发展改革委等行业信用管理部门，落实招标代理机构信用管理制度，将本行业招标代理机构操纵评标、非法干预评标活动、违规设置排他性条款、服务不规范等行为纳入信用档案。开展代理机构执业质量评价。对严重违法的招标代理机构及其直接责任人员，按国办发〔2024〕21号要求实行行业禁入，并按程序移送有权处理的部门</w:t>
      </w:r>
      <w:r>
        <w:rPr>
          <w:rFonts w:hint="eastAsia" w:cs="仿宋_GB2312"/>
          <w:spacing w:val="0"/>
          <w:sz w:val="32"/>
          <w:szCs w:val="32"/>
          <w:lang w:eastAsia="zh-CN"/>
        </w:rPr>
        <w:t>。</w:t>
      </w:r>
    </w:p>
    <w:p w14:paraId="1DFFB3D5">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Style w:val="47"/>
          <w:rFonts w:hint="default" w:eastAsia="楷体_GB2312"/>
          <w:b/>
          <w:bCs/>
          <w:spacing w:val="0"/>
          <w:sz w:val="32"/>
          <w:lang w:val="en-US" w:eastAsia="zh-CN"/>
        </w:rPr>
      </w:pPr>
      <w:r>
        <w:rPr>
          <w:rStyle w:val="47"/>
          <w:rFonts w:hint="eastAsia" w:eastAsia="楷体_GB2312"/>
          <w:b/>
          <w:bCs/>
          <w:spacing w:val="0"/>
          <w:sz w:val="32"/>
          <w:lang w:val="en-US" w:eastAsia="zh-CN"/>
        </w:rPr>
        <w:t>（二）投标阶段监管</w:t>
      </w:r>
    </w:p>
    <w:p w14:paraId="26052CCE">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cs="仿宋_GB2312"/>
          <w:spacing w:val="0"/>
          <w:sz w:val="32"/>
          <w:szCs w:val="32"/>
          <w:lang w:val="en-US" w:eastAsia="zh-CN"/>
        </w:rPr>
      </w:pPr>
      <w:r>
        <w:rPr>
          <w:rFonts w:hint="eastAsia" w:cs="仿宋_GB2312"/>
          <w:b/>
          <w:bCs/>
          <w:spacing w:val="0"/>
          <w:sz w:val="32"/>
          <w:szCs w:val="32"/>
          <w:lang w:val="en-US" w:eastAsia="zh-CN"/>
        </w:rPr>
        <w:t>5.投标行为监督。</w:t>
      </w:r>
      <w:r>
        <w:rPr>
          <w:rFonts w:hint="eastAsia" w:cs="仿宋_GB2312"/>
          <w:spacing w:val="0"/>
          <w:sz w:val="32"/>
          <w:szCs w:val="32"/>
          <w:lang w:val="en-US" w:eastAsia="zh-CN"/>
        </w:rPr>
        <w:t>对省公共资源交易中心推送的投标文件雷同性分析等异常交易行为线索，及时组织调查核实，依法认定和处理串通投标、以他人名义投标等违法行为。健全投标企业资质动态核查联动机制，对核查不合格的，按照资质管理规定和程序依法限制其参与对应资质范围的投标活动，并及时通报相关行政监督部门。</w:t>
      </w:r>
    </w:p>
    <w:p w14:paraId="0C192503">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Style w:val="47"/>
          <w:rFonts w:hint="default" w:eastAsia="楷体_GB2312"/>
          <w:b/>
          <w:bCs/>
          <w:spacing w:val="0"/>
          <w:sz w:val="32"/>
          <w:lang w:val="en-US" w:eastAsia="zh-CN"/>
        </w:rPr>
      </w:pPr>
      <w:r>
        <w:rPr>
          <w:rStyle w:val="47"/>
          <w:rFonts w:hint="eastAsia" w:eastAsia="楷体_GB2312"/>
          <w:b/>
          <w:bCs/>
          <w:spacing w:val="0"/>
          <w:sz w:val="32"/>
          <w:lang w:val="en-US" w:eastAsia="zh-CN"/>
        </w:rPr>
        <w:t>（三）开标阶段监管</w:t>
      </w:r>
    </w:p>
    <w:p w14:paraId="39BB4559">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eastAsia="zh-CN"/>
        </w:rPr>
      </w:pPr>
      <w:r>
        <w:rPr>
          <w:rFonts w:hint="eastAsia" w:cs="仿宋_GB2312"/>
          <w:b/>
          <w:bCs/>
          <w:spacing w:val="0"/>
          <w:sz w:val="32"/>
          <w:szCs w:val="32"/>
          <w:lang w:val="en-US" w:eastAsia="zh-CN"/>
        </w:rPr>
        <w:t>6.开标过程监督。</w:t>
      </w:r>
      <w:r>
        <w:rPr>
          <w:rFonts w:hint="eastAsia" w:cs="仿宋_GB2312"/>
          <w:b w:val="0"/>
          <w:bCs w:val="0"/>
          <w:spacing w:val="0"/>
          <w:sz w:val="32"/>
          <w:szCs w:val="32"/>
          <w:lang w:val="en-US" w:eastAsia="zh-CN"/>
        </w:rPr>
        <w:t>各级自然资源主管部门应当依法对开标过程实施监督，重点核查开标时间、地点及程序的合规性。对招标人现场受理的投标人异议处置情况实施监督，发现招标人未依法处置的，应当责令改正；对解密失败、网络故障等异常情况，监督招标人按照应急预案规范处置并如实记录</w:t>
      </w:r>
      <w:r>
        <w:rPr>
          <w:rFonts w:hint="eastAsia" w:cs="仿宋_GB2312"/>
          <w:spacing w:val="0"/>
          <w:sz w:val="32"/>
          <w:szCs w:val="32"/>
          <w:lang w:eastAsia="zh-CN"/>
        </w:rPr>
        <w:t>。</w:t>
      </w:r>
    </w:p>
    <w:p w14:paraId="753B2134">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val="en-US" w:eastAsia="zh-CN"/>
        </w:rPr>
      </w:pPr>
      <w:r>
        <w:rPr>
          <w:rStyle w:val="47"/>
          <w:rFonts w:hint="eastAsia" w:eastAsia="楷体_GB2312"/>
          <w:b/>
          <w:bCs/>
          <w:spacing w:val="0"/>
          <w:sz w:val="32"/>
          <w:lang w:val="en-US" w:eastAsia="zh-CN"/>
        </w:rPr>
        <w:t>（四）评标阶段监管</w:t>
      </w:r>
    </w:p>
    <w:p w14:paraId="70620A86">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b/>
          <w:bCs/>
          <w:spacing w:val="0"/>
          <w:sz w:val="32"/>
          <w:szCs w:val="32"/>
          <w:lang w:val="en-US" w:eastAsia="zh-CN"/>
        </w:rPr>
      </w:pPr>
      <w:r>
        <w:rPr>
          <w:rFonts w:hint="eastAsia" w:cs="仿宋_GB2312"/>
          <w:b/>
          <w:bCs/>
          <w:spacing w:val="0"/>
          <w:sz w:val="32"/>
          <w:szCs w:val="32"/>
          <w:lang w:val="en-US" w:eastAsia="zh-CN"/>
        </w:rPr>
        <w:t>7.专家抽取与管理。</w:t>
      </w:r>
      <w:r>
        <w:rPr>
          <w:rFonts w:hint="eastAsia" w:cs="仿宋_GB2312"/>
          <w:spacing w:val="0"/>
          <w:sz w:val="32"/>
          <w:szCs w:val="32"/>
          <w:lang w:val="en-US" w:eastAsia="zh-CN"/>
        </w:rPr>
        <w:t>监督评标专家抽取程序的合规性，核查专家回避制度执行情况，严禁违规指定专家、干预专家抽取。落实评标专家“一标一评”履职评价制度，对评标不公、履职不到位、违反评标纪律的专家，及时将有关情况报送省综合评标专家库管理部门（省发展改革委），并提出处理建议，落实评标专家终身负责制。涉及本行业评标专家的履职评价信息，应当及时录入省综合评标专家库管理系统。</w:t>
      </w:r>
    </w:p>
    <w:p w14:paraId="07A7B38F">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val="en-US" w:eastAsia="zh-CN"/>
        </w:rPr>
      </w:pPr>
      <w:r>
        <w:rPr>
          <w:rFonts w:hint="eastAsia" w:cs="仿宋_GB2312"/>
          <w:b/>
          <w:bCs/>
          <w:spacing w:val="0"/>
          <w:sz w:val="32"/>
          <w:szCs w:val="32"/>
          <w:lang w:val="en-US" w:eastAsia="zh-CN"/>
        </w:rPr>
        <w:t>8.评标过程监督。</w:t>
      </w:r>
      <w:r>
        <w:rPr>
          <w:rFonts w:hint="eastAsia" w:cs="仿宋_GB2312"/>
          <w:spacing w:val="0"/>
          <w:sz w:val="32"/>
          <w:szCs w:val="32"/>
          <w:lang w:val="en-US" w:eastAsia="zh-CN"/>
        </w:rPr>
        <w:t>各级自然资源主管部门可以通过评标场所监控系统对评标过程实施监督。发现评标专家存在违规携带通讯工具、私下交流、不按招标文件规定标准评标等行为的，应当及时予以制止、纠正，并通知公共资源交易中心如实记录。确需进入评标区处理异议或者突发情况的，应当严格按照公共资源交易中心管理规定履行审批程序，在交易中心工作人员陪同下进入。监</w:t>
      </w:r>
      <w:r>
        <w:rPr>
          <w:rFonts w:hint="eastAsia" w:cs="仿宋_GB2312"/>
          <w:spacing wpsCustomData:val="0" w:val="4"/>
          <w:sz w:val="32"/>
          <w:szCs w:val="32"/>
          <w:lang w:val="en-US" w:eastAsia="zh-CN"/>
        </w:rPr>
        <w:t>督招标人落实暗标评审要求，确保评审全程屏蔽投标人身</w:t>
      </w:r>
      <w:r>
        <w:rPr>
          <w:rFonts w:hint="eastAsia" w:cs="仿宋_GB2312"/>
          <w:spacing w:val="0"/>
          <w:sz w:val="32"/>
          <w:szCs w:val="32"/>
          <w:lang w:val="en-US" w:eastAsia="zh-CN"/>
        </w:rPr>
        <w:t>份信息。</w:t>
      </w:r>
    </w:p>
    <w:p w14:paraId="1B922C65">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val="en-US" w:eastAsia="zh-CN"/>
        </w:rPr>
      </w:pPr>
      <w:r>
        <w:rPr>
          <w:rFonts w:hint="eastAsia" w:cs="仿宋_GB2312"/>
          <w:b/>
          <w:bCs/>
          <w:spacing w:val="0"/>
          <w:sz w:val="32"/>
          <w:szCs w:val="32"/>
          <w:lang w:val="en-US" w:eastAsia="zh-CN"/>
        </w:rPr>
        <w:t>9.异地评标监管。</w:t>
      </w:r>
      <w:r>
        <w:rPr>
          <w:rFonts w:hint="eastAsia" w:cs="仿宋_GB2312"/>
          <w:spacing w:val="0"/>
          <w:sz w:val="32"/>
          <w:szCs w:val="32"/>
          <w:lang w:val="en-US" w:eastAsia="zh-CN"/>
        </w:rPr>
        <w:t>对达到省级规定限额标准的项目，监督招标人按照远程异地评标有关规定执行。压实属地监管责任，与项目所在地行政监督部门建立协同监管机制，依法实施联合监督，打破“熟人圈子”干扰。具体限额标准按照省级有关规定执行。</w:t>
      </w:r>
    </w:p>
    <w:p w14:paraId="59B90B47">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b/>
          <w:bCs/>
          <w:spacing w:val="0"/>
          <w:sz w:val="32"/>
          <w:szCs w:val="32"/>
          <w:lang w:val="en-US" w:eastAsia="zh-CN"/>
        </w:rPr>
      </w:pPr>
      <w:r>
        <w:rPr>
          <w:rStyle w:val="47"/>
          <w:rFonts w:hint="default" w:eastAsia="楷体_GB2312"/>
          <w:b/>
          <w:bCs/>
          <w:spacing w:val="0"/>
          <w:sz w:val="32"/>
          <w:lang w:val="en-US" w:eastAsia="zh-CN"/>
        </w:rPr>
        <w:t>（五）定标阶段</w:t>
      </w:r>
      <w:r>
        <w:rPr>
          <w:rStyle w:val="47"/>
          <w:rFonts w:hint="eastAsia" w:eastAsia="楷体_GB2312"/>
          <w:b/>
          <w:bCs/>
          <w:spacing w:val="0"/>
          <w:sz w:val="32"/>
          <w:lang w:val="en-US" w:eastAsia="zh-CN"/>
        </w:rPr>
        <w:t>监管</w:t>
      </w:r>
    </w:p>
    <w:p w14:paraId="247B9825">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val="en-US" w:eastAsia="zh-CN"/>
        </w:rPr>
      </w:pPr>
      <w:r>
        <w:rPr>
          <w:rFonts w:hint="eastAsia" w:cs="仿宋_GB2312"/>
          <w:b/>
          <w:bCs/>
          <w:spacing w:val="0"/>
          <w:sz w:val="32"/>
          <w:szCs w:val="32"/>
          <w:lang w:val="en-US" w:eastAsia="zh-CN"/>
        </w:rPr>
        <w:t>10.定标程序监督。</w:t>
      </w:r>
      <w:r>
        <w:rPr>
          <w:rFonts w:hint="eastAsia" w:cs="仿宋_GB2312"/>
          <w:spacing w:val="0"/>
          <w:sz w:val="32"/>
          <w:szCs w:val="32"/>
          <w:lang w:val="en-US" w:eastAsia="zh-CN"/>
        </w:rPr>
        <w:t>监督招标人依法定标，确需采用评定分离方式定标的，应当按照国家和省有关规定，在招标文件中事先明确定标方法和程序，并严格按照招标文件规定执行。严禁违法终止招标、更改中标候选人排序、违规指定中标人。定标过程应当实行集体研究、全程记录、书面留痕，档案资料完整可追溯。严禁在定标前泄露评标委员会成员名单、评标过程及结果。</w:t>
      </w:r>
    </w:p>
    <w:p w14:paraId="5B19282B">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s="仿宋_GB2312"/>
          <w:spacing w:val="0"/>
          <w:sz w:val="32"/>
          <w:szCs w:val="32"/>
          <w:lang w:val="en-US" w:eastAsia="zh-CN"/>
        </w:rPr>
      </w:pPr>
      <w:r>
        <w:rPr>
          <w:rFonts w:hint="eastAsia" w:cs="仿宋_GB2312"/>
          <w:b/>
          <w:bCs/>
          <w:spacing w:val="0"/>
          <w:sz w:val="32"/>
          <w:szCs w:val="32"/>
          <w:lang w:val="en-US" w:eastAsia="zh-CN"/>
        </w:rPr>
        <w:t>11.中标候选人公示监督。</w:t>
      </w:r>
      <w:r>
        <w:rPr>
          <w:rFonts w:hint="eastAsia" w:cs="仿宋_GB2312"/>
          <w:spacing w:val="0"/>
          <w:sz w:val="32"/>
          <w:szCs w:val="32"/>
          <w:lang w:val="en-US" w:eastAsia="zh-CN"/>
        </w:rPr>
        <w:t>核查中标候选人公示合规性，确保公示内容包含投标报价、拟任项目负责人、工期、质量标准、否决投标原因及依据等完整信息，公示期不得少于3日，主动接受社会监督。发现公示内容不符合规定的，应当责令招标人改正。</w:t>
      </w:r>
    </w:p>
    <w:p w14:paraId="5F7D2072">
      <w:pPr>
        <w:pStyle w:val="1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Style w:val="47"/>
          <w:rFonts w:hint="eastAsia" w:eastAsia="楷体_GB2312"/>
          <w:b/>
          <w:bCs/>
          <w:spacing w:val="0"/>
          <w:sz w:val="32"/>
          <w:lang w:val="en-US" w:eastAsia="zh-CN"/>
        </w:rPr>
      </w:pPr>
      <w:r>
        <w:rPr>
          <w:rStyle w:val="47"/>
          <w:rFonts w:hint="default" w:eastAsia="楷体_GB2312"/>
          <w:b/>
          <w:bCs/>
          <w:spacing w:val="0"/>
          <w:sz w:val="32"/>
          <w:lang w:val="en-US" w:eastAsia="zh-CN"/>
        </w:rPr>
        <w:t>（</w:t>
      </w:r>
      <w:r>
        <w:rPr>
          <w:rStyle w:val="47"/>
          <w:rFonts w:hint="eastAsia" w:eastAsia="楷体_GB2312"/>
          <w:b/>
          <w:bCs/>
          <w:spacing w:val="0"/>
          <w:sz w:val="32"/>
          <w:lang w:val="en-US" w:eastAsia="zh-CN"/>
        </w:rPr>
        <w:t>六</w:t>
      </w:r>
      <w:r>
        <w:rPr>
          <w:rStyle w:val="47"/>
          <w:rFonts w:hint="default" w:eastAsia="楷体_GB2312"/>
          <w:b/>
          <w:bCs/>
          <w:spacing w:val="0"/>
          <w:sz w:val="32"/>
          <w:lang w:val="en-US" w:eastAsia="zh-CN"/>
        </w:rPr>
        <w:t>）合同履约阶段</w:t>
      </w:r>
      <w:r>
        <w:rPr>
          <w:rStyle w:val="47"/>
          <w:rFonts w:hint="eastAsia" w:eastAsia="楷体_GB2312"/>
          <w:b/>
          <w:bCs/>
          <w:spacing w:val="0"/>
          <w:sz w:val="32"/>
          <w:lang w:val="en-US" w:eastAsia="zh-CN"/>
        </w:rPr>
        <w:t>监管</w:t>
      </w:r>
    </w:p>
    <w:p w14:paraId="6EFD3426">
      <w:pPr>
        <w:pStyle w:val="1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cs="仿宋_GB2312"/>
          <w:spacing w:val="0"/>
          <w:sz w:val="32"/>
          <w:szCs w:val="32"/>
          <w:lang w:val="en-US" w:eastAsia="zh-CN"/>
        </w:rPr>
      </w:pPr>
      <w:r>
        <w:rPr>
          <w:rFonts w:hint="eastAsia" w:cs="仿宋_GB2312"/>
          <w:b/>
          <w:bCs/>
          <w:spacing w:val="0"/>
          <w:sz w:val="32"/>
          <w:szCs w:val="32"/>
          <w:lang w:val="en-US" w:eastAsia="zh-CN"/>
        </w:rPr>
        <w:t>12.合同签订监督：</w:t>
      </w:r>
      <w:r>
        <w:rPr>
          <w:rFonts w:hint="eastAsia" w:cs="仿宋_GB2312"/>
          <w:spacing w:val="0"/>
          <w:sz w:val="32"/>
          <w:szCs w:val="32"/>
          <w:lang w:val="en-US" w:eastAsia="zh-CN"/>
        </w:rPr>
        <w:t>监督招标人在法定期限内（自中标通知书发出之日起三十日内）与中标人签订书面合同，核查合同标的、价款、质量、工期等实质性条款与招标文件、投标文件完全一致，严禁签订“阴阳合同”、实行“低中高结”。合同签订后应当按规定在公共资源交易平台公开合同订立信息，并将合同副本报项目所在地自然资源主管部门备查。</w:t>
      </w:r>
    </w:p>
    <w:p w14:paraId="579074C6">
      <w:pPr>
        <w:pStyle w:val="1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仿宋_GB2312"/>
          <w:spacing w:val="0"/>
          <w:sz w:val="32"/>
          <w:szCs w:val="32"/>
          <w:lang w:eastAsia="zh-CN"/>
        </w:rPr>
      </w:pPr>
      <w:r>
        <w:rPr>
          <w:rFonts w:hint="eastAsia" w:cs="仿宋_GB2312"/>
          <w:b/>
          <w:bCs/>
          <w:spacing w:val="0"/>
          <w:sz w:val="32"/>
          <w:szCs w:val="32"/>
          <w:lang w:val="en-US" w:eastAsia="zh-CN"/>
        </w:rPr>
        <w:t>13.履约动态抽查：</w:t>
      </w:r>
      <w:r>
        <w:rPr>
          <w:rFonts w:hint="eastAsia" w:cs="仿宋_GB2312"/>
          <w:spacing w:val="0"/>
          <w:sz w:val="32"/>
          <w:szCs w:val="32"/>
          <w:lang w:val="en-US" w:eastAsia="zh-CN"/>
        </w:rPr>
        <w:t>采用“双随机、一公开”方式开展履约阶段监督检查，重点核查是否存在转包、违法分包、挂靠等违法行为，以及关键岗位人员到岗履职、合同款支付、重大设计变更等可能影响合同实质性内容的事项。对总投资1000万元以上项目，抽查比例不低于20%，对问题集中领域应当提高抽查比例。行政监督部门应当加强招标投标交易市场与履约现场联动，将履约中发现的违法违规行为线索纳入信用记录。</w:t>
      </w:r>
    </w:p>
    <w:p w14:paraId="2D40865A">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黑体" w:hAnsi="黑体" w:eastAsia="黑体" w:cs="黑体"/>
          <w:spacing w:val="0"/>
          <w:sz w:val="32"/>
          <w:lang w:val="en-US" w:eastAsia="zh-CN"/>
        </w:rPr>
      </w:pPr>
      <w:r>
        <w:rPr>
          <w:rFonts w:hint="eastAsia" w:ascii="黑体" w:hAnsi="黑体" w:eastAsia="黑体" w:cs="黑体"/>
          <w:spacing w:val="0"/>
          <w:sz w:val="32"/>
          <w:lang w:val="en-US" w:eastAsia="zh-CN"/>
        </w:rPr>
        <w:t>四、健全监管支撑体系</w:t>
      </w:r>
    </w:p>
    <w:p w14:paraId="0A9F3D6E">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仿宋_GB2312" w:cs="仿宋_GB2312"/>
          <w:color w:val="auto"/>
          <w:spacing w:val="0"/>
          <w:kern w:val="0"/>
          <w:sz w:val="32"/>
          <w:szCs w:val="32"/>
          <w:lang w:val="en-US" w:eastAsia="zh-CN"/>
          <w14:ligatures w14:val="none"/>
        </w:rPr>
      </w:pPr>
      <w:r>
        <w:rPr>
          <w:rStyle w:val="47"/>
          <w:rFonts w:hint="eastAsia"/>
          <w:b/>
          <w:bCs/>
          <w:color w:val="auto"/>
          <w:spacing w:val="0"/>
          <w:kern w:val="0"/>
          <w:sz w:val="32"/>
          <w:lang w:val="en-US" w:eastAsia="zh-CN"/>
          <w14:ligatures w14:val="none"/>
        </w:rPr>
        <w:t>（一）深化智慧监管。</w:t>
      </w:r>
      <w:r>
        <w:rPr>
          <w:rFonts w:hint="eastAsia" w:ascii="Times New Roman" w:hAnsi="Times New Roman" w:eastAsia="仿宋_GB2312" w:cs="仿宋_GB2312"/>
          <w:color w:val="auto"/>
          <w:spacing w:val="0"/>
          <w:kern w:val="0"/>
          <w:sz w:val="32"/>
          <w:szCs w:val="32"/>
          <w:lang w:val="en-US" w:eastAsia="zh-CN"/>
          <w14:ligatures w14:val="none"/>
        </w:rPr>
        <w:t>依托贵州省公共资源交易“全省一张网”和远程异地评标调度服务系统，推动本行业工程建设项目招标投标全流程电子化，实现招标公告发布、文件获取、投标、开标、评标、中标公示、合同签订等全环节在线办理、全程留痕、可溯可查。各级自然资源主管部门应当充分利用电子监管系统，对招标投标活动实施在线监督。</w:t>
      </w:r>
    </w:p>
    <w:p w14:paraId="0A9CF88B">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仿宋_GB2312" w:cs="仿宋_GB2312"/>
          <w:color w:val="auto"/>
          <w:spacing w:val="0"/>
          <w:kern w:val="0"/>
          <w:sz w:val="32"/>
          <w:szCs w:val="32"/>
          <w:lang w:val="en-US" w:eastAsia="zh-CN"/>
          <w14:ligatures w14:val="none"/>
        </w:rPr>
      </w:pPr>
      <w:r>
        <w:rPr>
          <w:rStyle w:val="47"/>
          <w:rFonts w:hint="eastAsia"/>
          <w:b/>
          <w:bCs/>
          <w:color w:val="auto"/>
          <w:spacing w:val="0"/>
          <w:kern w:val="0"/>
          <w:sz w:val="32"/>
          <w:lang w:val="en-US" w:eastAsia="zh-CN"/>
          <w14:ligatures w14:val="none"/>
        </w:rPr>
        <w:t>（二）完善信用监管。</w:t>
      </w:r>
      <w:r>
        <w:rPr>
          <w:rFonts w:hint="eastAsia" w:ascii="Times New Roman" w:hAnsi="Times New Roman" w:eastAsia="仿宋_GB2312" w:cs="仿宋_GB2312"/>
          <w:color w:val="auto"/>
          <w:spacing w:val="0"/>
          <w:kern w:val="0"/>
          <w:sz w:val="32"/>
          <w:szCs w:val="32"/>
          <w:lang w:val="en-US" w:eastAsia="zh-CN"/>
          <w14:ligatures w14:val="none"/>
        </w:rPr>
        <w:t>按照全省招标投标信用管理体系要求，建立健全本行业信用评价机制，实行信用等级分类监管。在招标文件中事先载明信用评价结果应用标准和权重的前提下，依法将信用评价结果应用于资格审查、评标定标等环节，对失信主体依法实施限制参与、重点监管等措施。发现严重违法的招标代理机构及其直接责任人员，应当及时将线索移送有权处理的部门，依法予以处理并实行行业禁入</w:t>
      </w:r>
      <w:r>
        <w:rPr>
          <w:rFonts w:hint="eastAsia" w:cs="仿宋_GB2312"/>
          <w:color w:val="auto"/>
          <w:spacing w:val="0"/>
          <w:kern w:val="0"/>
          <w:sz w:val="32"/>
          <w:szCs w:val="32"/>
          <w:lang w:val="en-US" w:eastAsia="zh-CN"/>
          <w14:ligatures w14:val="none"/>
        </w:rPr>
        <w:t>。</w:t>
      </w:r>
    </w:p>
    <w:p w14:paraId="00A286A1">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仿宋_GB2312" w:cs="仿宋_GB2312"/>
          <w:color w:val="auto"/>
          <w:spacing w:val="0"/>
          <w:kern w:val="0"/>
          <w:sz w:val="32"/>
          <w:szCs w:val="32"/>
          <w:lang w:val="en-US" w:eastAsia="zh-CN"/>
          <w14:ligatures w14:val="none"/>
        </w:rPr>
      </w:pPr>
      <w:r>
        <w:rPr>
          <w:rStyle w:val="47"/>
          <w:rFonts w:hint="eastAsia"/>
          <w:b/>
          <w:bCs/>
          <w:color w:val="auto"/>
          <w:spacing w:val="0"/>
          <w:kern w:val="0"/>
          <w:sz w:val="32"/>
          <w:lang w:val="en-US" w:eastAsia="zh-CN"/>
          <w14:ligatures w14:val="none"/>
        </w:rPr>
        <w:t>（三）健全协同监管机制。</w:t>
      </w:r>
      <w:r>
        <w:rPr>
          <w:rFonts w:hint="eastAsia" w:ascii="Times New Roman" w:hAnsi="Times New Roman" w:eastAsia="仿宋_GB2312" w:cs="仿宋_GB2312"/>
          <w:color w:val="auto"/>
          <w:spacing w:val="0"/>
          <w:kern w:val="0"/>
          <w:sz w:val="32"/>
          <w:szCs w:val="32"/>
          <w:lang w:val="en-US" w:eastAsia="zh-CN"/>
          <w14:ligatures w14:val="none"/>
        </w:rPr>
        <w:t>加强与发展改革、财政、住房城乡建设、水利等部门，以及公共资源交易中心的信息共享与执法协作，推进违法线索、处理结果、信用信息互联互通，适时开展联合检查、联合惩戒。对监管职责存在争议的事项，按照领域归口、精简高效原则，主动与发展改革等部门协商明确。</w:t>
      </w:r>
    </w:p>
    <w:p w14:paraId="3EEFDBCA">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仿宋_GB2312" w:cs="仿宋_GB2312"/>
          <w:color w:val="auto"/>
          <w:spacing w:val="0"/>
          <w:kern w:val="0"/>
          <w:sz w:val="32"/>
          <w:szCs w:val="32"/>
          <w:lang w:val="en-US" w:eastAsia="zh-CN"/>
          <w14:ligatures w14:val="none"/>
        </w:rPr>
      </w:pPr>
      <w:r>
        <w:rPr>
          <w:rStyle w:val="47"/>
          <w:rFonts w:hint="eastAsia"/>
          <w:b/>
          <w:bCs/>
          <w:color w:val="auto"/>
          <w:spacing w:val="0"/>
          <w:kern w:val="0"/>
          <w:sz w:val="32"/>
          <w:lang w:val="en-US" w:eastAsia="zh-CN"/>
          <w14:ligatures w14:val="none"/>
        </w:rPr>
        <w:t>（四）规范投诉举报处置。</w:t>
      </w:r>
      <w:r>
        <w:rPr>
          <w:rFonts w:hint="eastAsia" w:ascii="Times New Roman" w:hAnsi="Times New Roman" w:eastAsia="仿宋_GB2312" w:cs="仿宋_GB2312"/>
          <w:color w:val="auto"/>
          <w:spacing w:val="0"/>
          <w:kern w:val="0"/>
          <w:sz w:val="32"/>
          <w:szCs w:val="32"/>
          <w:lang w:val="en-US" w:eastAsia="zh-CN"/>
          <w14:ligatures w14:val="none"/>
        </w:rPr>
        <w:t>统一向社会公布投诉受理方式、办理流程和时限要求，严格按照法定时限处理投诉。建立“受理—核查—督办—反馈”全闭环管理台账，查处结果及时告知投诉人并按规定公开。投诉处理时限按照《</w:t>
      </w:r>
      <w:r>
        <w:rPr>
          <w:rFonts w:hint="eastAsia" w:cs="仿宋_GB2312"/>
          <w:color w:val="auto"/>
          <w:spacing w:val="0"/>
          <w:kern w:val="0"/>
          <w:sz w:val="32"/>
          <w:szCs w:val="32"/>
          <w:lang w:val="en-US" w:eastAsia="zh-CN"/>
          <w14:ligatures w14:val="none"/>
        </w:rPr>
        <w:t>中华人民共和国招标投标法实施条例</w:t>
      </w:r>
      <w:r>
        <w:rPr>
          <w:rFonts w:hint="eastAsia" w:ascii="Times New Roman" w:hAnsi="Times New Roman" w:eastAsia="仿宋_GB2312" w:cs="仿宋_GB2312"/>
          <w:color w:val="auto"/>
          <w:spacing w:val="0"/>
          <w:kern w:val="0"/>
          <w:sz w:val="32"/>
          <w:szCs w:val="32"/>
          <w:lang w:val="en-US" w:eastAsia="zh-CN"/>
          <w14:ligatures w14:val="none"/>
        </w:rPr>
        <w:t>》第六十一条执行：自收到投诉之日起3个工作日内决定是否受理，自受理投诉之日起30个工作日内作出书面处理决定。</w:t>
      </w:r>
    </w:p>
    <w:p w14:paraId="1F05F4FC">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仿宋_GB2312" w:cs="仿宋_GB2312"/>
          <w:color w:val="auto"/>
          <w:spacing w:val="0"/>
          <w:kern w:val="0"/>
          <w:sz w:val="32"/>
          <w:szCs w:val="32"/>
          <w:lang w:val="en-US" w:eastAsia="zh-CN"/>
          <w14:ligatures w14:val="none"/>
        </w:rPr>
      </w:pPr>
      <w:r>
        <w:rPr>
          <w:rStyle w:val="47"/>
          <w:rFonts w:hint="eastAsia"/>
          <w:b/>
          <w:bCs/>
          <w:color w:val="auto"/>
          <w:spacing w:val="0"/>
          <w:kern w:val="0"/>
          <w:sz w:val="32"/>
          <w:lang w:val="en-US" w:eastAsia="zh-CN"/>
          <w14:ligatures w14:val="none"/>
        </w:rPr>
        <w:t>（五）严格线索移送与风腐同查。</w:t>
      </w:r>
      <w:r>
        <w:rPr>
          <w:rFonts w:hint="eastAsia" w:ascii="Times New Roman" w:hAnsi="Times New Roman" w:eastAsia="仿宋_GB2312" w:cs="仿宋_GB2312"/>
          <w:color w:val="auto"/>
          <w:spacing w:val="0"/>
          <w:kern w:val="0"/>
          <w:sz w:val="32"/>
          <w:szCs w:val="32"/>
          <w:lang w:val="en-US" w:eastAsia="zh-CN"/>
          <w14:ligatures w14:val="none"/>
        </w:rPr>
        <w:t>在履行监督职责过程中，发现串通投标、弄虚作假等涉嫌犯罪的，应当及时移送公安机关；发现党员干部、公职人员违纪、职务违法行为的，应当按照干部管理权限移送纪检监察机关；发现领导干部违规插手干预招标投标活动的，严格按照《贵州省领导干部插手干预重大事项记录、报告和责任追究办法（试行）》进行记录和报告。发现的相关问题线索应属于其他部门受理范围的，应做好案卷记录后按照相关程序进行移送。</w:t>
      </w:r>
    </w:p>
    <w:p w14:paraId="18256FC7">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hint="eastAsia" w:ascii="黑体" w:hAnsi="黑体" w:eastAsia="黑体" w:cs="黑体"/>
          <w:spacing w:val="0"/>
          <w:sz w:val="32"/>
          <w:lang w:val="en-US" w:eastAsia="zh-CN"/>
        </w:rPr>
      </w:pPr>
      <w:r>
        <w:rPr>
          <w:rFonts w:hint="eastAsia" w:ascii="黑体" w:hAnsi="黑体" w:eastAsia="黑体" w:cs="黑体"/>
          <w:spacing w:val="0"/>
          <w:sz w:val="32"/>
          <w:lang w:val="en-US" w:eastAsia="zh-CN"/>
        </w:rPr>
        <w:t>五、附则</w:t>
      </w:r>
    </w:p>
    <w:p w14:paraId="263555C0">
      <w:pPr>
        <w:pStyle w:val="1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ascii="Times New Roman" w:hAnsi="Times New Roman" w:eastAsia="仿宋_GB2312" w:cs="仿宋_GB2312"/>
          <w:b w:val="0"/>
          <w:spacing w:val="0"/>
          <w:sz w:val="32"/>
          <w:szCs w:val="32"/>
        </w:rPr>
      </w:pPr>
      <w:r>
        <w:rPr>
          <w:rStyle w:val="47"/>
          <w:rFonts w:hint="eastAsia" w:eastAsia="楷体_GB2312"/>
          <w:spacing w:val="0"/>
          <w:sz w:val="32"/>
          <w:lang w:eastAsia="zh-CN"/>
        </w:rPr>
        <w:t>（</w:t>
      </w:r>
      <w:r>
        <w:rPr>
          <w:rStyle w:val="47"/>
          <w:rFonts w:hint="eastAsia" w:eastAsia="楷体_GB2312"/>
          <w:spacing w:val="0"/>
          <w:sz w:val="32"/>
          <w:lang w:val="en-US" w:eastAsia="zh-CN"/>
        </w:rPr>
        <w:t>一</w:t>
      </w:r>
      <w:r>
        <w:rPr>
          <w:rStyle w:val="47"/>
          <w:rFonts w:hint="eastAsia" w:eastAsia="楷体_GB2312"/>
          <w:spacing w:val="0"/>
          <w:sz w:val="32"/>
          <w:lang w:eastAsia="zh-CN"/>
        </w:rPr>
        <w:t>）</w:t>
      </w:r>
      <w:r>
        <w:rPr>
          <w:rFonts w:ascii="Times New Roman" w:hAnsi="Times New Roman" w:eastAsia="仿宋_GB2312" w:cs="仿宋_GB2312"/>
          <w:spacing w:val="0"/>
          <w:sz w:val="32"/>
          <w:szCs w:val="32"/>
        </w:rPr>
        <w:t>本</w:t>
      </w:r>
      <w:r>
        <w:rPr>
          <w:rFonts w:hint="eastAsia" w:ascii="Times New Roman" w:hAnsi="Times New Roman" w:eastAsia="仿宋_GB2312" w:cs="仿宋_GB2312"/>
          <w:spacing w:val="0"/>
          <w:sz w:val="32"/>
          <w:szCs w:val="32"/>
        </w:rPr>
        <w:t>意见由贵州省自然资源厅负责解释。本意见未尽事宜，按照国家及贵州省现行有关招标投标、政府采购、财政资金管理及工程建设的法律法规和政策文件执行</w:t>
      </w:r>
      <w:r>
        <w:rPr>
          <w:rFonts w:ascii="Times New Roman" w:hAnsi="Times New Roman" w:eastAsia="仿宋_GB2312" w:cs="仿宋_GB2312"/>
          <w:spacing w:val="0"/>
          <w:sz w:val="32"/>
          <w:szCs w:val="32"/>
        </w:rPr>
        <w:t>。</w:t>
      </w:r>
    </w:p>
    <w:p w14:paraId="30F30AAB">
      <w:pPr>
        <w:pStyle w:val="1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ascii="Times New Roman" w:hAnsi="Times New Roman" w:eastAsia="仿宋_GB2312" w:cs="仿宋_GB2312"/>
          <w:spacing w:val="0"/>
          <w:sz w:val="32"/>
          <w:szCs w:val="32"/>
        </w:rPr>
      </w:pPr>
      <w:r>
        <w:rPr>
          <w:rStyle w:val="47"/>
          <w:rFonts w:hint="eastAsia" w:eastAsia="楷体_GB2312"/>
          <w:spacing w:val="0"/>
          <w:sz w:val="32"/>
          <w:lang w:eastAsia="zh-CN"/>
        </w:rPr>
        <w:t>（</w:t>
      </w:r>
      <w:r>
        <w:rPr>
          <w:rStyle w:val="47"/>
          <w:rFonts w:hint="eastAsia" w:eastAsia="楷体_GB2312"/>
          <w:spacing w:val="0"/>
          <w:sz w:val="32"/>
          <w:lang w:val="en-US" w:eastAsia="zh-CN"/>
        </w:rPr>
        <w:t>二</w:t>
      </w:r>
      <w:r>
        <w:rPr>
          <w:rStyle w:val="47"/>
          <w:rFonts w:hint="eastAsia" w:eastAsia="楷体_GB2312"/>
          <w:spacing w:val="0"/>
          <w:sz w:val="32"/>
          <w:lang w:eastAsia="zh-CN"/>
        </w:rPr>
        <w:t>）</w:t>
      </w:r>
      <w:r>
        <w:rPr>
          <w:rFonts w:ascii="Times New Roman" w:hAnsi="Times New Roman" w:eastAsia="仿宋_GB2312" w:cs="仿宋_GB2312"/>
          <w:spacing w:val="0"/>
          <w:sz w:val="32"/>
          <w:szCs w:val="32"/>
        </w:rPr>
        <w:t>本意见自发布之日起施行</w:t>
      </w:r>
      <w:r>
        <w:rPr>
          <w:rFonts w:hint="eastAsia" w:cs="仿宋_GB2312"/>
          <w:spacing w:val="0"/>
          <w:sz w:val="32"/>
          <w:szCs w:val="32"/>
          <w:lang w:eastAsia="zh-CN"/>
        </w:rPr>
        <w:t>，有效期5年</w:t>
      </w:r>
      <w:r>
        <w:rPr>
          <w:rFonts w:ascii="Times New Roman" w:hAnsi="Times New Roman" w:eastAsia="仿宋_GB2312" w:cs="仿宋_GB2312"/>
          <w:spacing w:val="0"/>
          <w:sz w:val="32"/>
          <w:szCs w:val="32"/>
        </w:rPr>
        <w:t>。</w:t>
      </w:r>
    </w:p>
    <w:p w14:paraId="3BDA791A">
      <w:pPr>
        <w:pStyle w:val="12"/>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pPr>
    </w:p>
    <w:sectPr>
      <w:headerReference r:id="rId5" w:type="default"/>
      <w:footerReference r:id="rId7" w:type="default"/>
      <w:headerReference r:id="rId6" w:type="even"/>
      <w:footerReference r:id="rId8" w:type="even"/>
      <w:pgSz w:w="11906" w:h="16838"/>
      <w:pgMar w:top="2098" w:right="1474" w:bottom="1984" w:left="1587" w:header="851" w:footer="1417" w:gutter="0"/>
      <w:pgNumType w:fmt="numberInDash"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思源宋体">
    <w:altName w:val="宋体"/>
    <w:panose1 w:val="00000000000000000000"/>
    <w:charset w:val="86"/>
    <w:family w:val="roman"/>
    <w:pitch w:val="default"/>
    <w:sig w:usb0="00000000" w:usb1="00000000" w:usb2="00000016" w:usb3="00000000" w:csb0="0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6D6F7">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785E85">
                          <w:pPr>
                            <w:pStyle w:val="13"/>
                            <w:keepNext w:val="0"/>
                            <w:keepLines w:val="0"/>
                            <w:pageBreakBefore w:val="0"/>
                            <w:widowControl w:val="0"/>
                            <w:kinsoku/>
                            <w:wordWrap/>
                            <w:overflowPunct/>
                            <w:topLinePunct w:val="0"/>
                            <w:bidi w:val="0"/>
                            <w:adjustRightInd/>
                            <w:snapToGrid w:val="0"/>
                            <w:spacing w:after="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785E85">
                    <w:pPr>
                      <w:pStyle w:val="13"/>
                      <w:keepNext w:val="0"/>
                      <w:keepLines w:val="0"/>
                      <w:pageBreakBefore w:val="0"/>
                      <w:widowControl w:val="0"/>
                      <w:kinsoku/>
                      <w:wordWrap/>
                      <w:overflowPunct/>
                      <w:topLinePunct w:val="0"/>
                      <w:bidi w:val="0"/>
                      <w:adjustRightInd/>
                      <w:snapToGrid w:val="0"/>
                      <w:spacing w:after="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976E">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653B8">
                          <w:pPr>
                            <w:pStyle w:val="13"/>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E653B8">
                    <w:pPr>
                      <w:pStyle w:val="13"/>
                    </w:pPr>
                    <w:r>
                      <w:fldChar w:fldCharType="begin"/>
                    </w:r>
                    <w:r>
                      <w:instrText xml:space="preserve"> PAGE  \* MERGEFORMAT </w:instrText>
                    </w:r>
                    <w:r>
                      <w:fldChar w:fldCharType="separate"/>
                    </w:r>
                    <w:r>
                      <w:t>- 2 -</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E03FA">
                          <w:pPr>
                            <w:pStyle w:val="13"/>
                            <w:rPr>
                              <w:rFonts w:ascii="宋体" w:hAnsi="宋体" w:eastAsia="宋体"/>
                              <w:sz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BE03FA">
                    <w:pPr>
                      <w:pStyle w:val="13"/>
                      <w:rPr>
                        <w:rFonts w:ascii="宋体" w:hAnsi="宋体" w:eastAsia="宋体"/>
                        <w:sz w:val="2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8B205">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E8190">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49"/>
    <w:rsid w:val="00014201"/>
    <w:rsid w:val="00070BFA"/>
    <w:rsid w:val="00152DBC"/>
    <w:rsid w:val="001639C6"/>
    <w:rsid w:val="00184DAF"/>
    <w:rsid w:val="001C4E8E"/>
    <w:rsid w:val="002424C4"/>
    <w:rsid w:val="002917ED"/>
    <w:rsid w:val="002E71A9"/>
    <w:rsid w:val="00377893"/>
    <w:rsid w:val="00434083"/>
    <w:rsid w:val="004A6025"/>
    <w:rsid w:val="004C7E57"/>
    <w:rsid w:val="004F3A09"/>
    <w:rsid w:val="00550F94"/>
    <w:rsid w:val="00560B40"/>
    <w:rsid w:val="00584E37"/>
    <w:rsid w:val="005917A2"/>
    <w:rsid w:val="005B1EB3"/>
    <w:rsid w:val="005C257F"/>
    <w:rsid w:val="00657A58"/>
    <w:rsid w:val="00796545"/>
    <w:rsid w:val="008170B8"/>
    <w:rsid w:val="00947D80"/>
    <w:rsid w:val="00A21774"/>
    <w:rsid w:val="00AB2037"/>
    <w:rsid w:val="00AC4515"/>
    <w:rsid w:val="00AE437B"/>
    <w:rsid w:val="00B6755E"/>
    <w:rsid w:val="00B83AC5"/>
    <w:rsid w:val="00BC73EB"/>
    <w:rsid w:val="00C34F6A"/>
    <w:rsid w:val="00D26F49"/>
    <w:rsid w:val="00D372F0"/>
    <w:rsid w:val="00D75EB9"/>
    <w:rsid w:val="00DC0BC0"/>
    <w:rsid w:val="00DC49E7"/>
    <w:rsid w:val="00DF2611"/>
    <w:rsid w:val="00E41F1D"/>
    <w:rsid w:val="00E51B6D"/>
    <w:rsid w:val="00E539C6"/>
    <w:rsid w:val="00F35687"/>
    <w:rsid w:val="00F9575A"/>
    <w:rsid w:val="00FB43A5"/>
    <w:rsid w:val="03C36E72"/>
    <w:rsid w:val="0C9C5154"/>
    <w:rsid w:val="0CED4A67"/>
    <w:rsid w:val="0D654305"/>
    <w:rsid w:val="0ED706B1"/>
    <w:rsid w:val="0F3D21CF"/>
    <w:rsid w:val="107439CE"/>
    <w:rsid w:val="13CF2F24"/>
    <w:rsid w:val="15827F6C"/>
    <w:rsid w:val="17F43647"/>
    <w:rsid w:val="1CD4055C"/>
    <w:rsid w:val="1CD65A31"/>
    <w:rsid w:val="1E2D736A"/>
    <w:rsid w:val="20982E48"/>
    <w:rsid w:val="20E8515B"/>
    <w:rsid w:val="22B826C2"/>
    <w:rsid w:val="25DD571A"/>
    <w:rsid w:val="2984482A"/>
    <w:rsid w:val="2ABB0720"/>
    <w:rsid w:val="30405223"/>
    <w:rsid w:val="372C2B3D"/>
    <w:rsid w:val="3C581F47"/>
    <w:rsid w:val="3C661F62"/>
    <w:rsid w:val="3D6267D9"/>
    <w:rsid w:val="3F5E1222"/>
    <w:rsid w:val="414E2414"/>
    <w:rsid w:val="42602A72"/>
    <w:rsid w:val="46AA2F9F"/>
    <w:rsid w:val="4A63007D"/>
    <w:rsid w:val="4D0343A2"/>
    <w:rsid w:val="507D5DEE"/>
    <w:rsid w:val="52132566"/>
    <w:rsid w:val="558C48E3"/>
    <w:rsid w:val="5B3F0A5A"/>
    <w:rsid w:val="622B69F5"/>
    <w:rsid w:val="6401024A"/>
    <w:rsid w:val="684C0310"/>
    <w:rsid w:val="6AD0778C"/>
    <w:rsid w:val="6B256E59"/>
    <w:rsid w:val="6DF173BD"/>
    <w:rsid w:val="7CAF4890"/>
    <w:rsid w:val="7DFC3B04"/>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imes New Roman" w:hAnsi="Times New Roman" w:eastAsia="仿宋_GB2312" w:cs="仿宋_GB2312"/>
      <w:color w:val="000000" w:themeColor="text1"/>
      <w:kern w:val="2"/>
      <w:sz w:val="32"/>
      <w:szCs w:val="24"/>
      <w:lang w:val="en-US" w:eastAsia="zh-CN" w:bidi="ar-SA"/>
      <w14:textFill>
        <w14:solidFill>
          <w14:schemeClr w14:val="tx1"/>
        </w14:solidFill>
      </w14:textFill>
      <w14:ligatures w14:val="standardContextual"/>
    </w:rPr>
  </w:style>
  <w:style w:type="paragraph" w:styleId="2">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47"/>
    <w:semiHidden/>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9"/>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9"/>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5"/>
    <w:semiHidden/>
    <w:unhideWhenUsed/>
    <w:qFormat/>
    <w:uiPriority w:val="99"/>
  </w:style>
  <w:style w:type="paragraph" w:styleId="12">
    <w:name w:val="Body Text"/>
    <w:link w:val="42"/>
    <w:unhideWhenUsed/>
    <w:qFormat/>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13">
    <w:name w:val="footer"/>
    <w:basedOn w:val="1"/>
    <w:link w:val="44"/>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3"/>
    <w:unhideWhenUsed/>
    <w:qFormat/>
    <w:uiPriority w:val="99"/>
    <w:pPr>
      <w:tabs>
        <w:tab w:val="center" w:pos="4153"/>
        <w:tab w:val="right" w:pos="8306"/>
      </w:tabs>
      <w:snapToGrid w:val="0"/>
      <w:spacing w:line="240" w:lineRule="auto"/>
      <w:jc w:val="center"/>
    </w:pPr>
    <w:rPr>
      <w:sz w:val="18"/>
      <w:szCs w:val="18"/>
    </w:rPr>
  </w:style>
  <w:style w:type="paragraph" w:styleId="15">
    <w:name w:val="Subtitle"/>
    <w:next w:val="1"/>
    <w:qFormat/>
    <w:uiPriority w:val="11"/>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6">
    <w:name w:val="Normal (Web)"/>
    <w:basedOn w:val="1"/>
    <w:semiHidden/>
    <w:unhideWhenUsed/>
    <w:qFormat/>
    <w:uiPriority w:val="99"/>
    <w:rPr>
      <w:sz w:val="24"/>
    </w:rPr>
  </w:style>
  <w:style w:type="paragraph" w:styleId="17">
    <w:name w:val="Title"/>
    <w:next w:val="1"/>
    <w:link w:val="32"/>
    <w:qFormat/>
    <w:uiPriority w:val="10"/>
    <w:pPr>
      <w:spacing w:line="720" w:lineRule="exact"/>
      <w:jc w:val="center"/>
      <w:outlineLvl w:val="9"/>
    </w:pPr>
    <w:rPr>
      <w:rFonts w:ascii="方正小标宋简体" w:hAnsi="方正小标宋简体" w:eastAsia="方正小标宋简体" w:cs="方正小标宋简体"/>
      <w:sz w:val="44"/>
      <w:szCs w:val="44"/>
    </w:rPr>
  </w:style>
  <w:style w:type="paragraph" w:styleId="18">
    <w:name w:val="annotation subject"/>
    <w:basedOn w:val="11"/>
    <w:next w:val="11"/>
    <w:link w:val="46"/>
    <w:semiHidden/>
    <w:unhideWhenUsed/>
    <w:qFormat/>
    <w:uiPriority w:val="99"/>
    <w:rPr>
      <w:b/>
      <w:bCs/>
    </w:rPr>
  </w:style>
  <w:style w:type="character" w:styleId="21">
    <w:name w:val="Strong"/>
    <w:basedOn w:val="20"/>
    <w:qFormat/>
    <w:uiPriority w:val="22"/>
    <w:rPr>
      <w:b/>
    </w:rPr>
  </w:style>
  <w:style w:type="character" w:styleId="22">
    <w:name w:val="annotation reference"/>
    <w:basedOn w:val="20"/>
    <w:semiHidden/>
    <w:unhideWhenUsed/>
    <w:qFormat/>
    <w:uiPriority w:val="99"/>
    <w:rPr>
      <w:sz w:val="21"/>
      <w:szCs w:val="21"/>
    </w:rPr>
  </w:style>
  <w:style w:type="character" w:customStyle="1" w:styleId="23">
    <w:name w:val="标题 1 字符"/>
    <w:basedOn w:val="20"/>
    <w:qFormat/>
    <w:uiPriority w:val="9"/>
    <w:rPr>
      <w:rFonts w:eastAsia="仿宋_GB2312" w:asciiTheme="majorHAnsi" w:hAnsiTheme="majorHAnsi" w:cstheme="majorBidi"/>
      <w:b/>
      <w:sz w:val="36"/>
      <w:szCs w:val="48"/>
    </w:rPr>
  </w:style>
  <w:style w:type="character" w:customStyle="1" w:styleId="24">
    <w:name w:val="标题 2 字符"/>
    <w:basedOn w:val="20"/>
    <w:semiHidden/>
    <w:qFormat/>
    <w:uiPriority w:val="9"/>
    <w:rPr>
      <w:rFonts w:ascii="Times New Roman" w:hAnsi="Times New Roman" w:eastAsia="楷体_GB2312" w:cstheme="majorBidi"/>
      <w:b/>
      <w:color w:val="000000" w:themeColor="text1"/>
      <w:sz w:val="32"/>
      <w:szCs w:val="40"/>
      <w14:textFill>
        <w14:solidFill>
          <w14:schemeClr w14:val="tx1"/>
        </w14:solidFill>
      </w14:textFill>
    </w:rPr>
  </w:style>
  <w:style w:type="character" w:customStyle="1" w:styleId="25">
    <w:name w:val="标题 3 字符"/>
    <w:basedOn w:val="20"/>
    <w:semiHidden/>
    <w:qFormat/>
    <w:uiPriority w:val="9"/>
    <w:rPr>
      <w:rFonts w:asciiTheme="majorHAnsi" w:hAnsiTheme="majorHAnsi" w:eastAsiaTheme="majorEastAsia" w:cstheme="majorBidi"/>
      <w:color w:val="376092" w:themeColor="accent1" w:themeShade="BF"/>
      <w:sz w:val="32"/>
      <w:szCs w:val="32"/>
    </w:rPr>
  </w:style>
  <w:style w:type="character" w:customStyle="1" w:styleId="26">
    <w:name w:val="标题 4 字符"/>
    <w:basedOn w:val="20"/>
    <w:semiHidden/>
    <w:qFormat/>
    <w:uiPriority w:val="9"/>
    <w:rPr>
      <w:rFonts w:cstheme="majorBidi"/>
      <w:color w:val="376092" w:themeColor="accent1" w:themeShade="BF"/>
      <w:sz w:val="28"/>
      <w:szCs w:val="28"/>
    </w:rPr>
  </w:style>
  <w:style w:type="character" w:customStyle="1" w:styleId="27">
    <w:name w:val="标题 5 字符"/>
    <w:basedOn w:val="20"/>
    <w:semiHidden/>
    <w:qFormat/>
    <w:uiPriority w:val="9"/>
    <w:rPr>
      <w:rFonts w:cstheme="majorBidi"/>
      <w:color w:val="376092" w:themeColor="accent1" w:themeShade="BF"/>
      <w:sz w:val="24"/>
    </w:rPr>
  </w:style>
  <w:style w:type="character" w:customStyle="1" w:styleId="28">
    <w:name w:val="标题 6 字符"/>
    <w:basedOn w:val="20"/>
    <w:semiHidden/>
    <w:qFormat/>
    <w:uiPriority w:val="9"/>
    <w:rPr>
      <w:rFonts w:cstheme="majorBidi"/>
      <w:b/>
      <w:bCs/>
      <w:color w:val="376092" w:themeColor="accent1" w:themeShade="BF"/>
    </w:rPr>
  </w:style>
  <w:style w:type="character" w:customStyle="1" w:styleId="29">
    <w:name w:val="标题 7 字符"/>
    <w:basedOn w:val="2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link w:val="17"/>
    <w:qFormat/>
    <w:uiPriority w:val="10"/>
    <w:rPr>
      <w:rFonts w:ascii="楷体_GB2312" w:hAnsi="楷体_GB2312" w:eastAsia="楷体_GB2312" w:cs="楷体_GB2312"/>
      <w:sz w:val="44"/>
      <w:szCs w:val="44"/>
      <w:lang w:val="zh-CN"/>
    </w:rPr>
  </w:style>
  <w:style w:type="character" w:customStyle="1" w:styleId="33">
    <w:name w:val="副标题 字符"/>
    <w:basedOn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0"/>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0"/>
    <w:qFormat/>
    <w:uiPriority w:val="21"/>
    <w:rPr>
      <w:i/>
      <w:iCs/>
      <w:color w:val="376092" w:themeColor="accent1" w:themeShade="BF"/>
    </w:rPr>
  </w:style>
  <w:style w:type="paragraph" w:styleId="38">
    <w:name w:val="Intense Quote"/>
    <w:basedOn w:val="1"/>
    <w:next w:val="1"/>
    <w:link w:val="3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9">
    <w:name w:val="明显引用 字符"/>
    <w:basedOn w:val="20"/>
    <w:link w:val="38"/>
    <w:qFormat/>
    <w:uiPriority w:val="30"/>
    <w:rPr>
      <w:i/>
      <w:iCs/>
      <w:color w:val="376092" w:themeColor="accent1" w:themeShade="BF"/>
    </w:rPr>
  </w:style>
  <w:style w:type="character" w:customStyle="1" w:styleId="40">
    <w:name w:val="Intense Reference"/>
    <w:basedOn w:val="20"/>
    <w:qFormat/>
    <w:uiPriority w:val="32"/>
    <w:rPr>
      <w:b/>
      <w:bCs/>
      <w:smallCaps/>
      <w:color w:val="376092" w:themeColor="accent1" w:themeShade="BF"/>
      <w:spacing w:val="5"/>
    </w:rPr>
  </w:style>
  <w:style w:type="paragraph" w:customStyle="1" w:styleId="41">
    <w:name w:val="Compact"/>
    <w:basedOn w:val="12"/>
    <w:qFormat/>
    <w:uiPriority w:val="0"/>
    <w:pPr>
      <w:widowControl/>
      <w:adjustRightInd w:val="0"/>
      <w:spacing w:after="0" w:line="300" w:lineRule="auto"/>
      <w:jc w:val="both"/>
    </w:pPr>
    <w:rPr>
      <w:rFonts w:ascii="思源宋体" w:eastAsia="思源宋体"/>
      <w:kern w:val="0"/>
      <w:sz w:val="21"/>
      <w:lang w:eastAsia="en-US"/>
      <w14:ligatures w14:val="none"/>
    </w:rPr>
  </w:style>
  <w:style w:type="character" w:customStyle="1" w:styleId="42">
    <w:name w:val="正文文本 字符"/>
    <w:link w:val="12"/>
    <w:semiHidden/>
    <w:qFormat/>
    <w:uiPriority w:val="99"/>
    <w:rPr>
      <w:rFonts w:ascii="Times New Roman" w:hAnsi="Times New Roman" w:eastAsia="仿宋_GB2312" w:cs="仿宋_GB2312"/>
      <w:spacing w:val="-6"/>
      <w:sz w:val="32"/>
      <w:szCs w:val="32"/>
    </w:rPr>
  </w:style>
  <w:style w:type="character" w:customStyle="1" w:styleId="43">
    <w:name w:val="页眉 字符"/>
    <w:basedOn w:val="20"/>
    <w:link w:val="14"/>
    <w:qFormat/>
    <w:uiPriority w:val="99"/>
    <w:rPr>
      <w:sz w:val="18"/>
      <w:szCs w:val="18"/>
    </w:rPr>
  </w:style>
  <w:style w:type="character" w:customStyle="1" w:styleId="44">
    <w:name w:val="页脚 字符"/>
    <w:basedOn w:val="20"/>
    <w:link w:val="13"/>
    <w:qFormat/>
    <w:uiPriority w:val="99"/>
    <w:rPr>
      <w:sz w:val="18"/>
      <w:szCs w:val="18"/>
    </w:rPr>
  </w:style>
  <w:style w:type="character" w:customStyle="1" w:styleId="45">
    <w:name w:val="批注文字 字符"/>
    <w:basedOn w:val="20"/>
    <w:link w:val="11"/>
    <w:semiHidden/>
    <w:qFormat/>
    <w:uiPriority w:val="99"/>
  </w:style>
  <w:style w:type="character" w:customStyle="1" w:styleId="46">
    <w:name w:val="批注主题 字符"/>
    <w:basedOn w:val="45"/>
    <w:link w:val="18"/>
    <w:semiHidden/>
    <w:qFormat/>
    <w:uiPriority w:val="99"/>
    <w:rPr>
      <w:b/>
      <w:bCs/>
    </w:rPr>
  </w:style>
  <w:style w:type="character" w:customStyle="1" w:styleId="47">
    <w:name w:val="标题 2 Char"/>
    <w:link w:val="3"/>
    <w:qFormat/>
    <w:uiPriority w:val="9"/>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4a542d-2005-4dff-93ac-4b998944e13d}">
  <ds:schemaRefs/>
</ds:datastoreItem>
</file>

<file path=customXml/itemProps3.xml><?xml version="1.0" encoding="utf-8"?>
<ds:datastoreItem xmlns:ds="http://schemas.openxmlformats.org/officeDocument/2006/customXml" ds:itemID="{AE7B93FF-CC80-488A-8DCE-1574E9A444BF}">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1224</Words>
  <Characters>1238</Characters>
  <Lines>77</Lines>
  <Paragraphs>50</Paragraphs>
  <TotalTime>2</TotalTime>
  <ScaleCrop>false</ScaleCrop>
  <LinksUpToDate>false</LinksUpToDate>
  <CharactersWithSpaces>1238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2026-05-29T08:34:00Z</dcterms:created>
  <dc:creator>篱 乐正</dc:creator>
  <cp:lastModifiedBy>陌__</cp:lastModifiedBy>
  <cp:lastPrinted>2026-09-22T02:43:00Z</cp:lastPrinted>
  <dcterms:modified xsi:type="dcterms:W3CDTF">2026-09-22T03:43:41Z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eyJoZGlkIjoiMTg4OGZkOTM0MWFlYzM1YjI2ZTE4ZTdhNmRmYTk3MmEiLCJ1c2VySWQiOiIxMDE3Nzc2NDE4In0=</vt:lpwstr>
  </property>
  <property fmtid="{D5CDD505-2E9C-101B-9397-08002B2CF9AE}" pid="3" name="KSOProductBuildVer">
    <vt:lpwstr>2052-12.1.0.28505</vt:lpwstr>
  </property>
  <property fmtid="{D5CDD505-2E9C-101B-9397-08002B2CF9AE}" pid="4" name="ICV">
    <vt:lpwstr>40D81B8CEA544EA3B206C10FE752BA1C_13</vt:lpwstr>
  </property>
</Properties>
</file>