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A23460">
      <w:pPr>
        <w:spacing w:line="594" w:lineRule="exact"/>
        <w:jc w:val="center"/>
        <w:rPr>
          <w:rFonts w:ascii="Times New Roman" w:hAnsi="Times New Roman" w:eastAsia="仿宋_GB2312"/>
          <w:sz w:val="44"/>
          <w:szCs w:val="44"/>
        </w:rPr>
      </w:pPr>
    </w:p>
    <w:p w14:paraId="00BFF13C">
      <w:pPr>
        <w:keepNext w:val="0"/>
        <w:keepLines w:val="0"/>
        <w:pageBreakBefore w:val="0"/>
        <w:kinsoku/>
        <w:wordWrap/>
        <w:autoSpaceDE/>
        <w:autoSpaceDN/>
        <w:bidi w:val="0"/>
        <w:adjustRightInd/>
        <w:snapToGrid/>
        <w:spacing w:line="594" w:lineRule="exact"/>
        <w:ind w:left="0" w:leftChars="0" w:firstLine="0" w:firstLineChars="0"/>
        <w:jc w:val="center"/>
        <w:textAlignment w:val="auto"/>
        <w:rPr>
          <w:rFonts w:hint="eastAsia" w:ascii="Times New Roman" w:hAnsi="Times New Roman" w:eastAsia="方正小标宋简体"/>
          <w:color w:val="auto"/>
          <w:kern w:val="0"/>
          <w:sz w:val="44"/>
          <w:szCs w:val="44"/>
          <w:lang w:eastAsia="zh-CN"/>
        </w:rPr>
      </w:pPr>
      <w:bookmarkStart w:id="0" w:name="_GoBack"/>
      <w:r>
        <w:rPr>
          <w:rFonts w:hint="eastAsia" w:ascii="Times New Roman" w:hAnsi="Times New Roman" w:eastAsia="方正小标宋_GBK"/>
          <w:bCs/>
          <w:color w:val="auto"/>
          <w:sz w:val="44"/>
          <w:szCs w:val="36"/>
        </w:rPr>
        <w:t>关于《</w:t>
      </w:r>
      <w:r>
        <w:rPr>
          <w:rFonts w:hint="eastAsia" w:ascii="方正小标宋简体" w:hAnsi="方正小标宋简体" w:eastAsia="方正小标宋简体" w:cs="方正小标宋简体"/>
          <w:sz w:val="44"/>
          <w:szCs w:val="44"/>
        </w:rPr>
        <w:t>公平竞争审查条例实施办法</w:t>
      </w:r>
    </w:p>
    <w:p w14:paraId="22BE3AEA">
      <w:pPr>
        <w:keepNext w:val="0"/>
        <w:keepLines w:val="0"/>
        <w:pageBreakBefore w:val="0"/>
        <w:kinsoku/>
        <w:wordWrap/>
        <w:autoSpaceDE/>
        <w:autoSpaceDN/>
        <w:bidi w:val="0"/>
        <w:adjustRightInd/>
        <w:snapToGrid/>
        <w:spacing w:line="594" w:lineRule="exact"/>
        <w:ind w:left="0" w:leftChars="0" w:firstLine="0" w:firstLineChars="0"/>
        <w:jc w:val="center"/>
        <w:textAlignment w:val="auto"/>
        <w:rPr>
          <w:rFonts w:ascii="Times New Roman" w:hAnsi="Times New Roman" w:eastAsia="方正小标宋_GBK"/>
          <w:bCs/>
          <w:color w:val="auto"/>
          <w:sz w:val="44"/>
          <w:szCs w:val="36"/>
        </w:rPr>
      </w:pPr>
      <w:r>
        <w:rPr>
          <w:rFonts w:hint="eastAsia" w:ascii="Times New Roman" w:hAnsi="Times New Roman" w:eastAsia="方正小标宋_GBK"/>
          <w:color w:val="auto"/>
          <w:kern w:val="0"/>
          <w:sz w:val="44"/>
          <w:szCs w:val="44"/>
        </w:rPr>
        <w:t>（</w:t>
      </w:r>
      <w:r>
        <w:rPr>
          <w:rFonts w:hint="eastAsia" w:ascii="方正小标宋简体" w:hAnsi="方正小标宋简体" w:eastAsia="方正小标宋简体" w:cs="方正小标宋简体"/>
          <w:sz w:val="44"/>
          <w:szCs w:val="44"/>
          <w:lang w:eastAsia="zh-CN"/>
        </w:rPr>
        <w:t>修正草案</w:t>
      </w:r>
      <w:r>
        <w:rPr>
          <w:rFonts w:hint="eastAsia" w:ascii="Times New Roman" w:hAnsi="Times New Roman" w:eastAsia="方正小标宋_GBK"/>
          <w:color w:val="auto"/>
          <w:kern w:val="0"/>
          <w:sz w:val="44"/>
          <w:szCs w:val="44"/>
          <w:lang w:eastAsia="zh-CN"/>
        </w:rPr>
        <w:t>征求意见稿</w:t>
      </w:r>
      <w:r>
        <w:rPr>
          <w:rFonts w:hint="eastAsia" w:ascii="Times New Roman" w:hAnsi="Times New Roman" w:eastAsia="方正小标宋_GBK"/>
          <w:color w:val="auto"/>
          <w:kern w:val="0"/>
          <w:sz w:val="44"/>
          <w:szCs w:val="44"/>
        </w:rPr>
        <w:t>）</w:t>
      </w:r>
      <w:r>
        <w:rPr>
          <w:rFonts w:hint="eastAsia" w:ascii="Times New Roman" w:hAnsi="Times New Roman" w:eastAsia="方正小标宋_GBK"/>
          <w:bCs/>
          <w:color w:val="auto"/>
          <w:sz w:val="44"/>
          <w:szCs w:val="36"/>
        </w:rPr>
        <w:t>》的说明</w:t>
      </w:r>
    </w:p>
    <w:bookmarkEnd w:id="0"/>
    <w:p w14:paraId="253C9839">
      <w:pPr>
        <w:spacing w:line="594" w:lineRule="exact"/>
        <w:ind w:firstLine="640" w:firstLineChars="200"/>
        <w:rPr>
          <w:rFonts w:hint="eastAsia" w:ascii="Times New Roman" w:hAnsi="Times New Roman" w:eastAsia="仿宋_GB2312" w:cs="Times New Roman"/>
          <w:sz w:val="32"/>
          <w:szCs w:val="32"/>
          <w:lang w:eastAsia="zh-CN"/>
        </w:rPr>
      </w:pPr>
    </w:p>
    <w:p w14:paraId="0D902773">
      <w:pPr>
        <w:spacing w:line="594"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为贯彻党的二十届三中、四中全会精神和</w:t>
      </w:r>
      <w:r>
        <w:rPr>
          <w:rFonts w:hint="eastAsia" w:ascii="Times New Roman" w:hAnsi="Times New Roman" w:eastAsia="仿宋_GB2312" w:cs="Times New Roman"/>
          <w:sz w:val="32"/>
          <w:szCs w:val="32"/>
          <w:lang w:val="en-US" w:eastAsia="zh-CN"/>
        </w:rPr>
        <w:t>中央经济工作会议</w:t>
      </w:r>
      <w:r>
        <w:rPr>
          <w:rFonts w:hint="eastAsia" w:ascii="Times New Roman" w:hAnsi="Times New Roman" w:eastAsia="仿宋_GB2312" w:cs="Times New Roman"/>
          <w:sz w:val="32"/>
          <w:szCs w:val="32"/>
          <w:lang w:eastAsia="zh-CN"/>
        </w:rPr>
        <w:t>部署，</w:t>
      </w:r>
      <w:r>
        <w:rPr>
          <w:rFonts w:hint="eastAsia" w:ascii="Times New Roman" w:hAnsi="Times New Roman" w:eastAsia="仿宋_GB2312" w:cs="Times New Roman"/>
          <w:sz w:val="32"/>
          <w:szCs w:val="32"/>
          <w:lang w:val="en-US" w:eastAsia="zh-CN"/>
        </w:rPr>
        <w:t>进一步加强公平竞争审查刚性约束，保障</w:t>
      </w:r>
      <w:r>
        <w:rPr>
          <w:rFonts w:hint="eastAsia" w:ascii="Times New Roman" w:hAnsi="Times New Roman" w:eastAsia="仿宋_GB2312" w:cs="Times New Roman"/>
          <w:sz w:val="32"/>
          <w:szCs w:val="32"/>
          <w:lang w:eastAsia="zh-CN"/>
        </w:rPr>
        <w:t>《公平竞争审查条例》深入贯彻落实，</w:t>
      </w:r>
      <w:r>
        <w:rPr>
          <w:rFonts w:hint="eastAsia" w:ascii="Times New Roman" w:hAnsi="Times New Roman" w:eastAsia="仿宋_GB2312" w:cs="Times New Roman"/>
          <w:sz w:val="32"/>
          <w:szCs w:val="32"/>
          <w:lang w:val="en-US" w:eastAsia="zh-CN"/>
        </w:rPr>
        <w:t>坚决破除阻碍全国统一大市场建设卡点堵点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竞争协调司</w:t>
      </w:r>
      <w:r>
        <w:rPr>
          <w:rFonts w:hint="eastAsia" w:ascii="Times New Roman" w:hAnsi="Times New Roman" w:eastAsia="仿宋_GB2312" w:cs="Times New Roman"/>
          <w:sz w:val="32"/>
          <w:szCs w:val="32"/>
          <w:lang w:eastAsia="zh-CN"/>
        </w:rPr>
        <w:t>组织起草了《公平竞争审查条例实施办法（修正草案征求意见稿）》（以下简称《实施办法》）。</w:t>
      </w:r>
    </w:p>
    <w:p w14:paraId="176FE147">
      <w:pPr>
        <w:spacing w:line="594" w:lineRule="exact"/>
        <w:ind w:firstLine="640" w:firstLineChars="200"/>
        <w:rPr>
          <w:rFonts w:hint="eastAsia" w:ascii="Times New Roman" w:hAnsi="Times New Roman" w:eastAsia="黑体"/>
          <w:sz w:val="32"/>
          <w:szCs w:val="32"/>
        </w:rPr>
      </w:pPr>
      <w:r>
        <w:rPr>
          <w:rFonts w:hint="eastAsia" w:ascii="Times New Roman" w:hAnsi="Times New Roman" w:eastAsia="黑体"/>
          <w:sz w:val="32"/>
          <w:szCs w:val="32"/>
        </w:rPr>
        <w:t>一</w:t>
      </w:r>
      <w:r>
        <w:rPr>
          <w:rFonts w:ascii="Times New Roman" w:hAnsi="Times New Roman" w:eastAsia="黑体"/>
          <w:sz w:val="32"/>
          <w:szCs w:val="32"/>
        </w:rPr>
        <w:t>、</w:t>
      </w:r>
      <w:r>
        <w:rPr>
          <w:rFonts w:hint="eastAsia" w:ascii="Times New Roman" w:hAnsi="Times New Roman" w:eastAsia="黑体"/>
          <w:sz w:val="32"/>
          <w:szCs w:val="32"/>
        </w:rPr>
        <w:t>《</w:t>
      </w:r>
      <w:r>
        <w:rPr>
          <w:rFonts w:hint="eastAsia" w:ascii="Times New Roman" w:hAnsi="Times New Roman" w:eastAsia="黑体"/>
          <w:sz w:val="32"/>
          <w:szCs w:val="32"/>
          <w:lang w:eastAsia="zh-CN"/>
        </w:rPr>
        <w:t>实施</w:t>
      </w:r>
      <w:r>
        <w:rPr>
          <w:rFonts w:hint="eastAsia" w:ascii="Times New Roman" w:hAnsi="Times New Roman" w:eastAsia="黑体"/>
          <w:sz w:val="32"/>
          <w:szCs w:val="32"/>
        </w:rPr>
        <w:t>办法》</w:t>
      </w:r>
      <w:r>
        <w:rPr>
          <w:rFonts w:hint="eastAsia" w:ascii="Times New Roman" w:hAnsi="Times New Roman" w:eastAsia="黑体"/>
          <w:sz w:val="32"/>
          <w:szCs w:val="32"/>
          <w:lang w:eastAsia="zh-CN"/>
        </w:rPr>
        <w:t>修正背景</w:t>
      </w:r>
    </w:p>
    <w:p w14:paraId="0337D510">
      <w:pPr>
        <w:spacing w:line="594"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党的二十届三中全会强调，要加强公平竞争审查刚性约束，强化反垄断和反不正当竞争，清理和废除妨碍全国统一市场和公平竞争的各种规定和做法；党的二十届四中全会强调，要坚决破除阻碍全国统一大市场建设卡点堵点，规范地方政府经济促进行为，破除地方保护和市场分割；中央经济工作会议强调，要纵深推进全国统一大市场建设，建设强大国内市场，为我们全面落实公平竞争审查制度，健全完善公平竞争审查机制指明了前进方向，提供了根本遵循。</w:t>
      </w:r>
    </w:p>
    <w:p w14:paraId="604F76F7">
      <w:pPr>
        <w:spacing w:line="594"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自2024年8月1日《公平竞争审查条例》实施以来，市场监管总局</w:t>
      </w:r>
      <w:r>
        <w:rPr>
          <w:rFonts w:hint="eastAsia" w:ascii="Times New Roman" w:hAnsi="Times New Roman" w:eastAsia="仿宋_GB2312" w:cs="Times New Roman"/>
          <w:sz w:val="32"/>
          <w:szCs w:val="32"/>
        </w:rPr>
        <w:t>认真推动贯彻落实，出台了</w:t>
      </w:r>
      <w:r>
        <w:rPr>
          <w:rFonts w:hint="eastAsia" w:ascii="Times New Roman" w:hAnsi="Times New Roman" w:eastAsia="仿宋_GB2312" w:cs="Times New Roman"/>
          <w:sz w:val="32"/>
          <w:szCs w:val="32"/>
          <w:lang w:eastAsia="zh-CN"/>
        </w:rPr>
        <w:t>现行</w:t>
      </w:r>
      <w:r>
        <w:rPr>
          <w:rFonts w:hint="eastAsia" w:ascii="Times New Roman" w:hAnsi="Times New Roman" w:eastAsia="仿宋_GB2312" w:cs="Times New Roman"/>
          <w:sz w:val="32"/>
          <w:szCs w:val="32"/>
        </w:rPr>
        <w:t>《实施办法》</w:t>
      </w:r>
      <w:r>
        <w:rPr>
          <w:rFonts w:hint="eastAsia" w:ascii="Times New Roman" w:hAnsi="Times New Roman" w:eastAsia="仿宋_GB2312" w:cs="Times New Roman"/>
          <w:sz w:val="32"/>
          <w:szCs w:val="32"/>
          <w:lang w:eastAsia="zh-CN"/>
        </w:rPr>
        <w:t>等配套</w:t>
      </w:r>
      <w:r>
        <w:rPr>
          <w:rFonts w:hint="eastAsia" w:ascii="Times New Roman" w:hAnsi="Times New Roman" w:eastAsia="仿宋_GB2312" w:cs="Times New Roman"/>
          <w:sz w:val="32"/>
          <w:szCs w:val="32"/>
        </w:rPr>
        <w:t>规则，</w:t>
      </w:r>
      <w:r>
        <w:rPr>
          <w:rFonts w:hint="eastAsia" w:ascii="Times New Roman" w:hAnsi="Times New Roman" w:eastAsia="仿宋_GB2312" w:cs="Times New Roman"/>
          <w:sz w:val="32"/>
          <w:szCs w:val="32"/>
          <w:lang w:eastAsia="zh-CN"/>
        </w:rPr>
        <w:t>指导有关地方和部门扎实开展增量审查和存量抽查等工作，及时发现并清理了一批妨碍全国统一市场和公平竞争的政策措施，有力推动了全国统一大市场建设。但在工作实践中，一些地方和部门审查责任压不实、审查机制不健全、审查能力跟不上</w:t>
      </w:r>
      <w:r>
        <w:rPr>
          <w:rFonts w:ascii="Times New Roman" w:hAnsi="Times New Roman" w:eastAsia="仿宋_GB2312" w:cs="Times New Roman"/>
          <w:sz w:val="32"/>
          <w:szCs w:val="32"/>
        </w:rPr>
        <w:t>等问题逐步显现，一定程度上</w:t>
      </w:r>
      <w:r>
        <w:rPr>
          <w:rFonts w:hint="eastAsia" w:ascii="Times New Roman" w:hAnsi="Times New Roman" w:eastAsia="仿宋_GB2312" w:cs="Times New Roman"/>
          <w:sz w:val="32"/>
          <w:szCs w:val="32"/>
          <w:lang w:eastAsia="zh-CN"/>
        </w:rPr>
        <w:t>影响了制度实施效果</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因此，有必要</w:t>
      </w:r>
      <w:r>
        <w:rPr>
          <w:rFonts w:hint="eastAsia" w:ascii="Times New Roman" w:hAnsi="Times New Roman" w:eastAsia="仿宋_GB2312" w:cs="Times New Roman"/>
          <w:sz w:val="32"/>
          <w:szCs w:val="32"/>
          <w:lang w:eastAsia="zh-CN"/>
        </w:rPr>
        <w:t>抓紧修正</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实施办法</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进一步压实审查责任、规范审查程序、强化监督保障，推动公平竞争审查制度走深走实，</w:t>
      </w:r>
      <w:r>
        <w:rPr>
          <w:rFonts w:hint="default" w:ascii="Times New Roman" w:hAnsi="Times New Roman" w:eastAsia="仿宋_GB2312" w:cs="Times New Roman"/>
          <w:sz w:val="32"/>
          <w:szCs w:val="32"/>
        </w:rPr>
        <w:t>促进加快建设高效规范、公平竞争、充分开放的全国统一大市场。</w:t>
      </w:r>
    </w:p>
    <w:p w14:paraId="42592BDE">
      <w:pPr>
        <w:spacing w:line="594" w:lineRule="exact"/>
        <w:ind w:firstLine="640" w:firstLineChars="20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二、《</w:t>
      </w:r>
      <w:r>
        <w:rPr>
          <w:rFonts w:hint="eastAsia" w:ascii="Times New Roman" w:hAnsi="Times New Roman" w:eastAsia="黑体" w:cs="Times New Roman"/>
          <w:sz w:val="32"/>
          <w:szCs w:val="32"/>
          <w:lang w:eastAsia="zh-CN"/>
        </w:rPr>
        <w:t>实施</w:t>
      </w:r>
      <w:r>
        <w:rPr>
          <w:rFonts w:hint="eastAsia" w:ascii="Times New Roman" w:hAnsi="Times New Roman" w:eastAsia="黑体" w:cs="Times New Roman"/>
          <w:sz w:val="32"/>
          <w:szCs w:val="32"/>
        </w:rPr>
        <w:t>办法》</w:t>
      </w:r>
      <w:r>
        <w:rPr>
          <w:rFonts w:hint="eastAsia" w:ascii="Times New Roman" w:hAnsi="Times New Roman" w:eastAsia="黑体" w:cs="Times New Roman"/>
          <w:sz w:val="32"/>
          <w:szCs w:val="32"/>
          <w:lang w:eastAsia="zh-CN"/>
        </w:rPr>
        <w:t>修正</w:t>
      </w:r>
      <w:r>
        <w:rPr>
          <w:rFonts w:hint="eastAsia" w:ascii="Times New Roman" w:hAnsi="Times New Roman" w:eastAsia="黑体" w:cs="Times New Roman"/>
          <w:sz w:val="32"/>
          <w:szCs w:val="32"/>
        </w:rPr>
        <w:t>过程</w:t>
      </w:r>
    </w:p>
    <w:p w14:paraId="3E4D09A2">
      <w:pPr>
        <w:spacing w:line="594" w:lineRule="exact"/>
        <w:ind w:firstLine="640" w:firstLineChars="200"/>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sz w:val="32"/>
          <w:szCs w:val="32"/>
          <w:lang w:val="en-US" w:eastAsia="zh-CN"/>
        </w:rPr>
        <w:t>（一）深入总结实践经验。</w:t>
      </w:r>
      <w:r>
        <w:rPr>
          <w:rFonts w:hint="eastAsia" w:ascii="Times New Roman" w:hAnsi="Times New Roman" w:eastAsia="仿宋_GB2312" w:cs="Times New Roman"/>
          <w:sz w:val="32"/>
          <w:szCs w:val="32"/>
          <w:lang w:val="en-US" w:eastAsia="zh-CN"/>
        </w:rPr>
        <w:t>全面梳理《公平竞争审查条例》实施一年以来的执行情况，认真总结地方公平竞争审查实践经验，深入分析当前制度落实面临的突出困难和堵点问题，为高质量修正《实施办法》奠定坚实基础。</w:t>
      </w:r>
    </w:p>
    <w:p w14:paraId="301E131E">
      <w:pPr>
        <w:spacing w:line="594" w:lineRule="exact"/>
        <w:ind w:firstLine="640" w:firstLineChars="200"/>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sz w:val="32"/>
          <w:szCs w:val="32"/>
          <w:lang w:val="en-US" w:eastAsia="zh-CN"/>
        </w:rPr>
        <w:t>（二）扎实开展调查研究。</w:t>
      </w:r>
      <w:r>
        <w:rPr>
          <w:rFonts w:hint="eastAsia" w:ascii="Times New Roman" w:hAnsi="Times New Roman" w:eastAsia="仿宋_GB2312" w:cs="Times New Roman"/>
          <w:sz w:val="32"/>
          <w:szCs w:val="32"/>
          <w:lang w:val="en-US" w:eastAsia="zh-CN"/>
        </w:rPr>
        <w:t>围绕公平竞争审查制度实施情况开展实地调研，充分听取有关经营者和地方市场监管部门意见，明确修正《实施办法》需要解决的重点问题。</w:t>
      </w:r>
      <w:r>
        <w:rPr>
          <w:rFonts w:hint="eastAsia" w:ascii="仿宋_GB2312" w:hAnsi="仿宋_GB2312" w:eastAsia="仿宋_GB2312" w:cs="仿宋_GB2312"/>
          <w:color w:val="000000"/>
          <w:sz w:val="32"/>
          <w:szCs w:val="32"/>
        </w:rPr>
        <w:t>委托有关机构对审查标准、审查机制等重点难点问题开展深入研究，</w:t>
      </w:r>
      <w:r>
        <w:rPr>
          <w:rFonts w:hint="eastAsia" w:ascii="Times New Roman" w:hAnsi="Times New Roman" w:eastAsia="仿宋_GB2312" w:cs="Times New Roman"/>
          <w:sz w:val="32"/>
          <w:szCs w:val="32"/>
          <w:lang w:val="en-US" w:eastAsia="zh-CN"/>
        </w:rPr>
        <w:t>着力增强《实施办法》修正的针对性和科学性。</w:t>
      </w:r>
    </w:p>
    <w:p w14:paraId="41B0A0E7">
      <w:pPr>
        <w:spacing w:line="594" w:lineRule="exact"/>
        <w:ind w:firstLine="640" w:firstLineChars="200"/>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sz w:val="32"/>
          <w:szCs w:val="32"/>
          <w:lang w:val="en-US" w:eastAsia="zh-CN"/>
        </w:rPr>
        <w:t>（三）广泛征求各方意见。</w:t>
      </w:r>
      <w:r>
        <w:rPr>
          <w:rFonts w:hint="eastAsia" w:ascii="Times New Roman" w:hAnsi="Times New Roman" w:eastAsia="仿宋_GB2312" w:cs="Times New Roman"/>
          <w:sz w:val="32"/>
          <w:szCs w:val="32"/>
          <w:lang w:val="en-US" w:eastAsia="zh-CN"/>
        </w:rPr>
        <w:t>充分</w:t>
      </w:r>
      <w:r>
        <w:rPr>
          <w:rFonts w:hint="default" w:ascii="Times New Roman" w:hAnsi="Times New Roman" w:eastAsia="仿宋_GB2312" w:cs="Times New Roman"/>
          <w:sz w:val="32"/>
          <w:szCs w:val="32"/>
          <w:lang w:val="en-US" w:eastAsia="zh-CN"/>
        </w:rPr>
        <w:t>征求国务院</w:t>
      </w:r>
      <w:r>
        <w:rPr>
          <w:rFonts w:hint="eastAsia" w:ascii="Times New Roman" w:hAnsi="Times New Roman" w:eastAsia="仿宋_GB2312" w:cs="Times New Roman"/>
          <w:sz w:val="32"/>
          <w:szCs w:val="32"/>
          <w:lang w:val="en-US" w:eastAsia="zh-CN"/>
        </w:rPr>
        <w:t>有关</w:t>
      </w:r>
      <w:r>
        <w:rPr>
          <w:rFonts w:hint="default" w:ascii="Times New Roman" w:hAnsi="Times New Roman" w:eastAsia="仿宋_GB2312" w:cs="Times New Roman"/>
          <w:sz w:val="32"/>
          <w:szCs w:val="32"/>
          <w:lang w:val="en-US" w:eastAsia="zh-CN"/>
        </w:rPr>
        <w:t>部门</w:t>
      </w:r>
      <w:r>
        <w:rPr>
          <w:rFonts w:hint="eastAsia"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lang w:val="en-US" w:eastAsia="zh-CN"/>
        </w:rPr>
        <w:t>各省级市场监管部门</w:t>
      </w:r>
      <w:r>
        <w:rPr>
          <w:rFonts w:hint="eastAsia" w:ascii="Times New Roman" w:hAnsi="Times New Roman" w:eastAsia="仿宋_GB2312" w:cs="Times New Roman"/>
          <w:sz w:val="32"/>
          <w:szCs w:val="32"/>
          <w:lang w:val="en-US" w:eastAsia="zh-CN"/>
        </w:rPr>
        <w:t>关于修正《实施办法》的</w:t>
      </w:r>
      <w:r>
        <w:rPr>
          <w:rFonts w:hint="default" w:ascii="Times New Roman" w:hAnsi="Times New Roman" w:eastAsia="仿宋_GB2312" w:cs="Times New Roman"/>
          <w:sz w:val="32"/>
          <w:szCs w:val="32"/>
          <w:lang w:val="en-US" w:eastAsia="zh-CN"/>
        </w:rPr>
        <w:t>意见</w:t>
      </w:r>
      <w:r>
        <w:rPr>
          <w:rFonts w:hint="eastAsia" w:ascii="Times New Roman" w:hAnsi="Times New Roman" w:eastAsia="仿宋_GB2312" w:cs="Times New Roman"/>
          <w:sz w:val="32"/>
          <w:szCs w:val="32"/>
          <w:lang w:val="en-US" w:eastAsia="zh-CN"/>
        </w:rPr>
        <w:t>，组织召开座谈会，听取专家、行业协会、企业意见。在认真研究并吸收采纳各方</w:t>
      </w:r>
      <w:r>
        <w:rPr>
          <w:rFonts w:hint="default" w:ascii="Times New Roman" w:hAnsi="Times New Roman" w:eastAsia="仿宋_GB2312" w:cs="Times New Roman"/>
          <w:sz w:val="32"/>
          <w:szCs w:val="32"/>
          <w:lang w:val="en-US" w:eastAsia="zh-CN"/>
        </w:rPr>
        <w:t>意见</w:t>
      </w:r>
      <w:r>
        <w:rPr>
          <w:rFonts w:hint="eastAsia" w:ascii="Times New Roman" w:hAnsi="Times New Roman" w:eastAsia="仿宋_GB2312" w:cs="Times New Roman"/>
          <w:sz w:val="32"/>
          <w:szCs w:val="32"/>
          <w:lang w:val="en-US" w:eastAsia="zh-CN"/>
        </w:rPr>
        <w:t>建议的基础上，</w:t>
      </w:r>
      <w:r>
        <w:rPr>
          <w:rFonts w:hint="default" w:ascii="Times New Roman" w:hAnsi="Times New Roman" w:eastAsia="仿宋_GB2312" w:cs="Times New Roman"/>
          <w:sz w:val="32"/>
          <w:szCs w:val="32"/>
          <w:lang w:val="en-US" w:eastAsia="zh-CN"/>
        </w:rPr>
        <w:t>对《</w:t>
      </w:r>
      <w:r>
        <w:rPr>
          <w:rFonts w:hint="eastAsia" w:ascii="Times New Roman" w:hAnsi="Times New Roman" w:eastAsia="仿宋_GB2312" w:cs="Times New Roman"/>
          <w:sz w:val="32"/>
          <w:szCs w:val="32"/>
          <w:lang w:val="en-US" w:eastAsia="zh-CN"/>
        </w:rPr>
        <w:t>实施</w:t>
      </w:r>
      <w:r>
        <w:rPr>
          <w:rFonts w:hint="default" w:ascii="Times New Roman" w:hAnsi="Times New Roman" w:eastAsia="仿宋_GB2312" w:cs="Times New Roman"/>
          <w:sz w:val="32"/>
          <w:szCs w:val="32"/>
          <w:lang w:val="en-US" w:eastAsia="zh-CN"/>
        </w:rPr>
        <w:t>办法》进行修改完善</w:t>
      </w:r>
      <w:r>
        <w:rPr>
          <w:rFonts w:hint="eastAsia" w:ascii="Times New Roman" w:hAnsi="Times New Roman" w:eastAsia="仿宋_GB2312" w:cs="Times New Roman"/>
          <w:sz w:val="32"/>
          <w:szCs w:val="32"/>
          <w:lang w:val="en-US" w:eastAsia="zh-CN"/>
        </w:rPr>
        <w:t>，形成修正草案征求意见稿。</w:t>
      </w:r>
    </w:p>
    <w:p w14:paraId="606D055F">
      <w:pPr>
        <w:spacing w:line="594" w:lineRule="exact"/>
        <w:ind w:firstLine="640" w:firstLineChars="200"/>
        <w:rPr>
          <w:rFonts w:hint="eastAsia" w:ascii="Times New Roman" w:hAnsi="Times New Roman" w:eastAsia="黑体"/>
          <w:sz w:val="32"/>
          <w:szCs w:val="32"/>
        </w:rPr>
      </w:pPr>
    </w:p>
    <w:p w14:paraId="6162AA56">
      <w:pPr>
        <w:spacing w:line="594"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三</w:t>
      </w:r>
      <w:r>
        <w:rPr>
          <w:rFonts w:ascii="Times New Roman" w:hAnsi="Times New Roman" w:eastAsia="黑体"/>
          <w:sz w:val="32"/>
          <w:szCs w:val="32"/>
        </w:rPr>
        <w:t>、</w:t>
      </w:r>
      <w:r>
        <w:rPr>
          <w:rFonts w:hint="eastAsia" w:ascii="Times New Roman" w:hAnsi="Times New Roman" w:eastAsia="黑体"/>
          <w:sz w:val="32"/>
          <w:szCs w:val="32"/>
        </w:rPr>
        <w:t>《</w:t>
      </w:r>
      <w:r>
        <w:rPr>
          <w:rFonts w:hint="eastAsia" w:ascii="Times New Roman" w:hAnsi="Times New Roman" w:eastAsia="黑体"/>
          <w:sz w:val="32"/>
          <w:szCs w:val="32"/>
          <w:lang w:eastAsia="zh-CN"/>
        </w:rPr>
        <w:t>实施</w:t>
      </w:r>
      <w:r>
        <w:rPr>
          <w:rFonts w:hint="eastAsia" w:ascii="Times New Roman" w:hAnsi="Times New Roman" w:eastAsia="黑体"/>
          <w:sz w:val="32"/>
          <w:szCs w:val="32"/>
        </w:rPr>
        <w:t>办法》</w:t>
      </w:r>
      <w:r>
        <w:rPr>
          <w:rFonts w:hint="eastAsia" w:ascii="Times New Roman" w:hAnsi="Times New Roman" w:eastAsia="黑体"/>
          <w:sz w:val="32"/>
          <w:szCs w:val="32"/>
          <w:lang w:eastAsia="zh-CN"/>
        </w:rPr>
        <w:t>修正</w:t>
      </w:r>
      <w:r>
        <w:rPr>
          <w:rFonts w:ascii="Times New Roman" w:hAnsi="Times New Roman" w:eastAsia="黑体"/>
          <w:sz w:val="32"/>
          <w:szCs w:val="32"/>
        </w:rPr>
        <w:t>内容</w:t>
      </w:r>
    </w:p>
    <w:p w14:paraId="49BEAA02">
      <w:pPr>
        <w:spacing w:line="594"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eastAsia="zh-CN"/>
        </w:rPr>
        <w:t>本次修正主要</w:t>
      </w:r>
      <w:r>
        <w:rPr>
          <w:rFonts w:hint="eastAsia" w:ascii="Times New Roman" w:hAnsi="Times New Roman" w:eastAsia="仿宋_GB2312"/>
          <w:sz w:val="32"/>
          <w:szCs w:val="32"/>
        </w:rPr>
        <w:t>围绕</w:t>
      </w:r>
      <w:r>
        <w:rPr>
          <w:rFonts w:hint="eastAsia" w:ascii="Times New Roman" w:hAnsi="Times New Roman" w:eastAsia="仿宋_GB2312"/>
          <w:sz w:val="32"/>
          <w:szCs w:val="32"/>
          <w:lang w:eastAsia="zh-CN"/>
        </w:rPr>
        <w:t>健全审查机制、规范审查程序</w:t>
      </w:r>
      <w:r>
        <w:rPr>
          <w:rFonts w:hint="eastAsia" w:ascii="Times New Roman" w:hAnsi="Times New Roman" w:eastAsia="仿宋_GB2312"/>
          <w:sz w:val="32"/>
          <w:szCs w:val="32"/>
        </w:rPr>
        <w:t>、</w:t>
      </w:r>
      <w:r>
        <w:rPr>
          <w:rFonts w:ascii="Times New Roman" w:hAnsi="Times New Roman" w:eastAsia="仿宋_GB2312"/>
          <w:sz w:val="32"/>
          <w:szCs w:val="32"/>
        </w:rPr>
        <w:t>强化</w:t>
      </w:r>
      <w:r>
        <w:rPr>
          <w:rFonts w:hint="eastAsia" w:ascii="Times New Roman" w:hAnsi="Times New Roman" w:eastAsia="仿宋_GB2312"/>
          <w:sz w:val="32"/>
          <w:szCs w:val="32"/>
        </w:rPr>
        <w:t>监督保障等</w:t>
      </w:r>
      <w:r>
        <w:rPr>
          <w:rFonts w:hint="eastAsia" w:ascii="Times New Roman" w:hAnsi="Times New Roman" w:eastAsia="仿宋_GB2312"/>
          <w:sz w:val="32"/>
          <w:szCs w:val="32"/>
          <w:lang w:eastAsia="zh-CN"/>
        </w:rPr>
        <w:t>方面对《实施办法》进行修改完善</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共作出</w:t>
      </w:r>
      <w:r>
        <w:rPr>
          <w:rFonts w:hint="eastAsia" w:ascii="Times New Roman" w:hAnsi="Times New Roman" w:eastAsia="仿宋_GB2312"/>
          <w:sz w:val="32"/>
          <w:szCs w:val="32"/>
          <w:lang w:val="en-US" w:eastAsia="zh-CN"/>
        </w:rPr>
        <w:t>12处修正、新增2条规定，</w:t>
      </w:r>
      <w:r>
        <w:rPr>
          <w:rFonts w:hint="eastAsia" w:ascii="Times New Roman" w:hAnsi="Times New Roman" w:eastAsia="仿宋_GB2312"/>
          <w:sz w:val="32"/>
          <w:szCs w:val="32"/>
          <w:lang w:eastAsia="zh-CN"/>
        </w:rPr>
        <w:t>主要内容如下：</w:t>
      </w:r>
    </w:p>
    <w:p w14:paraId="166DE063">
      <w:pPr>
        <w:spacing w:line="594" w:lineRule="exact"/>
        <w:ind w:firstLine="640" w:firstLineChars="200"/>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sz w:val="32"/>
          <w:szCs w:val="32"/>
          <w:lang w:val="en-US" w:eastAsia="zh-CN"/>
        </w:rPr>
        <w:t>（一）总则。</w:t>
      </w:r>
      <w:r>
        <w:rPr>
          <w:rFonts w:hint="eastAsia" w:ascii="Times New Roman" w:hAnsi="Times New Roman" w:eastAsia="仿宋_GB2312" w:cs="Times New Roman"/>
          <w:sz w:val="32"/>
          <w:szCs w:val="32"/>
          <w:lang w:val="en-US" w:eastAsia="zh-CN"/>
        </w:rPr>
        <w:t>在第六条增加对各级市场监管部门配备公平竞争审查工作力量，保障必要工作经费的条款。删除了第八条关于“优化营商环境”的表述。</w:t>
      </w:r>
    </w:p>
    <w:p w14:paraId="76D6DAC9">
      <w:pPr>
        <w:spacing w:line="594" w:lineRule="exact"/>
        <w:ind w:firstLine="640" w:firstLineChars="200"/>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sz w:val="32"/>
          <w:szCs w:val="32"/>
          <w:lang w:val="en-US" w:eastAsia="zh-CN"/>
        </w:rPr>
        <w:t>（二）审查标准。</w:t>
      </w:r>
      <w:r>
        <w:rPr>
          <w:rFonts w:hint="eastAsia" w:ascii="Times New Roman" w:hAnsi="Times New Roman" w:eastAsia="仿宋_GB2312" w:cs="Times New Roman"/>
          <w:sz w:val="32"/>
          <w:szCs w:val="32"/>
          <w:lang w:val="en-US" w:eastAsia="zh-CN"/>
        </w:rPr>
        <w:t>在第十五条第（四）项增加“设立本地分支机构”“服务便利度”等信用评价加分项的禁止性要求，在第（六）项增加“仅允许”现场报名或者提交招标材料的限定条件，对排斥或限制经营主体参与招标投标和政府采购的审查标准作出修改完善。采纳有关部门建议，将第十八条第（一）项修改为“没有专门的税收法律、行政法规或者国务院规定依据”不得减免特定经营者税收缴纳义务，全面落实税收法定原则。删除了第二十五条第一款第（四）项中“或者国务院批准”的表述，与《公平竞争审查条例》有关表述一致。新增第二十六条，规定地方市场监管部门适用例外规定作出公平竞争审查结论的，需向上一级市场监管部门备案，坚决防止例外规定“泛化”适用。</w:t>
      </w:r>
    </w:p>
    <w:p w14:paraId="6AB6D3E6">
      <w:pPr>
        <w:spacing w:line="594" w:lineRule="exact"/>
        <w:ind w:firstLine="640" w:firstLineChars="200"/>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sz w:val="32"/>
          <w:szCs w:val="32"/>
          <w:lang w:val="en-US" w:eastAsia="zh-CN"/>
        </w:rPr>
        <w:t>（三）审查机制。</w:t>
      </w:r>
      <w:r>
        <w:rPr>
          <w:rFonts w:hint="eastAsia" w:ascii="Times New Roman" w:hAnsi="Times New Roman" w:eastAsia="仿宋_GB2312" w:cs="Times New Roman"/>
          <w:sz w:val="32"/>
          <w:szCs w:val="32"/>
          <w:lang w:val="en-US" w:eastAsia="zh-CN"/>
        </w:rPr>
        <w:t>在第三十二条增加一款，明确对多次出现初审质量问题的起草单位，市场监管部门可以督促其落实审查责任。针对有的起草单位未按照审查意见作出修改即提交审议审批等问题，第三十四条规定起草单位提请政府审议或者审批政策措施时，应当一并报送符合公平竞争审查标准的审查结论，对不符合审查标准的，应当重新提请市场监管部门开展审查，进一步加强制度闭环管理。第三十六条增加了针对适用例外规定开展第三方评估的要求，进一步规范例外规定适用程序。</w:t>
      </w:r>
    </w:p>
    <w:p w14:paraId="460953C9">
      <w:pPr>
        <w:spacing w:line="594" w:lineRule="exact"/>
        <w:ind w:firstLine="640" w:firstLineChars="200"/>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sz w:val="32"/>
          <w:szCs w:val="32"/>
          <w:lang w:val="en-US" w:eastAsia="zh-CN"/>
        </w:rPr>
        <w:t>（四）监督保障。</w:t>
      </w:r>
      <w:r>
        <w:rPr>
          <w:rFonts w:hint="eastAsia" w:ascii="Times New Roman" w:hAnsi="Times New Roman" w:eastAsia="仿宋_GB2312" w:cs="Times New Roman"/>
          <w:sz w:val="32"/>
          <w:szCs w:val="32"/>
          <w:lang w:val="en-US" w:eastAsia="zh-CN"/>
        </w:rPr>
        <w:t>针对抽查发现个别地区、部门连续违规出台影响公平竞争政策措施的情况，在第四十一条新增一款，明确对抽查中发现问题较多、整改不力的地区和部门，可以提请上一级市场监管部门对其负责人进行约谈，进一步强化公平竞争审查抽查结果刚性约束。针对一些地方未履行审查程序出台政策措施，以及未按照审查意见修改即出台政策措施等情况，第四十六条新增了三项责任追究情形，进一步强化违反公平竞争审查制度出台政策措施的责任追究力度。</w:t>
      </w:r>
    </w:p>
    <w:p w14:paraId="2AD93389">
      <w:pPr>
        <w:spacing w:line="594" w:lineRule="exact"/>
        <w:ind w:firstLine="640" w:firstLineChars="200"/>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sz w:val="32"/>
          <w:szCs w:val="32"/>
          <w:lang w:val="en-US" w:eastAsia="zh-CN"/>
        </w:rPr>
        <w:t>（五）附则。</w:t>
      </w:r>
      <w:r>
        <w:rPr>
          <w:rFonts w:hint="eastAsia" w:ascii="Times New Roman" w:hAnsi="Times New Roman" w:eastAsia="仿宋_GB2312" w:cs="Times New Roman"/>
          <w:sz w:val="32"/>
          <w:szCs w:val="32"/>
          <w:lang w:val="en-US" w:eastAsia="zh-CN"/>
        </w:rPr>
        <w:t>将第四十八条中的“基层自治组织”调整为“基层群众性自治组织”，与《城市居民委员会组织法》《村民委员会组织法》等表述一致。新增第四十九条，将政府部门委托有关企事业单位开展招标采购、招商引资活动的情形也纳入公平竞争审查范围，确保“应审尽审”。</w:t>
      </w:r>
    </w:p>
    <w:p w14:paraId="0BD686B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312198"/>
    <w:rsid w:val="1E312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2026-03-27T00:57:00Z</dcterms:created>
  <dc:creator>星垂野‌</dc:creator>
  <cp:lastModifiedBy>星垂野‌</cp:lastModifiedBy>
  <dcterms:modified xsi:type="dcterms:W3CDTF">2026-03-27T00:58:45Z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0994D57D82BB4F53A6AB3DDC8DD6468B_11</vt:lpwstr>
  </property>
  <property fmtid="{D5CDD505-2E9C-101B-9397-08002B2CF9AE}" pid="4" name="KSOTemplateDocerSaveRecord">
    <vt:lpwstr>eyJoZGlkIjoiODQwYjNhOWU3MDc5Zjc0Zjk1MDYyN2ZhZjUyMjRmYzkiLCJ1c2VySWQiOiIzMzkyODE5NTEifQ==</vt:lpwstr>
  </property>
</Properties>
</file>