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C5B2E">
      <w:pPr>
        <w:spacing w:before="100" w:line="228" w:lineRule="auto"/>
        <w:ind w:left="21"/>
        <w:rPr>
          <w:rFonts w:hint="eastAsia" w:ascii="黑体" w:eastAsia="黑体" w:cs="黑体"/>
          <w:color w:val="auto"/>
          <w:sz w:val="31"/>
          <w:szCs w:val="31"/>
          <w:highlight w:val="none"/>
          <w:lang w:val="en-US" w:eastAsia="zh-CN" w:bidi="ar-SA"/>
        </w:rPr>
      </w:pPr>
      <w:r>
        <w:rPr>
          <w:rFonts w:hint="eastAsia" w:ascii="黑体" w:eastAsia="黑体" w:cs="黑体"/>
          <w:color w:val="auto"/>
          <w:spacing w:val="-6"/>
          <w:sz w:val="31"/>
          <w:szCs w:val="31"/>
          <w:highlight w:val="none"/>
          <w:lang w:bidi="ar-SA"/>
        </w:rPr>
        <w:t>附件</w:t>
      </w:r>
    </w:p>
    <w:p w14:paraId="1D62E413">
      <w:pPr>
        <w:spacing w:before="334" w:line="235" w:lineRule="auto"/>
        <w:ind w:left="1921"/>
        <w:outlineLvl w:val="0"/>
        <w:rPr>
          <w:color w:val="auto"/>
          <w:highlight w:val="none"/>
        </w:rPr>
      </w:pPr>
      <w:r>
        <w:rPr>
          <w:rFonts w:ascii="方正小标宋简体" w:eastAsia="方正小标宋简体" w:cs="方正小标宋简体"/>
          <w:color w:val="auto"/>
          <w:spacing w:val="10"/>
          <w:sz w:val="43"/>
          <w:szCs w:val="43"/>
          <w:highlight w:val="none"/>
        </w:rPr>
        <w:t>贵州省评标专家履职</w:t>
      </w:r>
      <w:r>
        <w:rPr>
          <w:rFonts w:hint="default" w:ascii="方正小标宋简体" w:eastAsia="方正小标宋简体" w:cs="方正小标宋简体"/>
          <w:color w:val="auto"/>
          <w:spacing w:val="10"/>
          <w:sz w:val="43"/>
          <w:szCs w:val="43"/>
          <w:highlight w:val="none"/>
          <w:lang w:eastAsia="zh-CN"/>
        </w:rPr>
        <w:t>行为</w:t>
      </w:r>
      <w:r>
        <w:rPr>
          <w:rFonts w:ascii="方正小标宋简体" w:eastAsia="方正小标宋简体" w:cs="方正小标宋简体"/>
          <w:color w:val="auto"/>
          <w:spacing w:val="10"/>
          <w:sz w:val="43"/>
          <w:szCs w:val="43"/>
          <w:highlight w:val="none"/>
        </w:rPr>
        <w:t>评价标准（一般不良行为情形）</w:t>
      </w:r>
    </w:p>
    <w:tbl>
      <w:tblPr>
        <w:tblStyle w:val="3"/>
        <w:tblW w:w="13867" w:type="dxa"/>
        <w:tblInd w:w="1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
        <w:gridCol w:w="9832"/>
        <w:gridCol w:w="2167"/>
        <w:gridCol w:w="1000"/>
      </w:tblGrid>
      <w:tr w14:paraId="65DB77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blHeader/>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907C46B">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序号</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95DF5DF">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一般不良行为情形</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E2AB381">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评价主体</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DBCA6C9">
            <w:pPr>
              <w:spacing w:before="23" w:line="223" w:lineRule="auto"/>
              <w:ind w:left="0"/>
              <w:jc w:val="center"/>
              <w:rPr>
                <w:rFonts w:ascii="黑体" w:eastAsia="黑体" w:cs="黑体"/>
                <w:color w:val="auto"/>
                <w:spacing w:val="-5"/>
                <w:sz w:val="24"/>
                <w:szCs w:val="24"/>
                <w:highlight w:val="none"/>
              </w:rPr>
            </w:pPr>
            <w:r>
              <w:rPr>
                <w:rFonts w:hint="default" w:ascii="黑体" w:eastAsia="黑体" w:cs="黑体"/>
                <w:color w:val="auto"/>
                <w:spacing w:val="-5"/>
                <w:sz w:val="24"/>
                <w:szCs w:val="24"/>
                <w:highlight w:val="none"/>
                <w:lang w:eastAsia="zh-CN"/>
              </w:rPr>
              <w:t>扣</w:t>
            </w:r>
            <w:r>
              <w:rPr>
                <w:rFonts w:ascii="黑体" w:eastAsia="黑体" w:cs="黑体"/>
                <w:color w:val="auto"/>
                <w:spacing w:val="-5"/>
                <w:sz w:val="24"/>
                <w:szCs w:val="24"/>
                <w:highlight w:val="none"/>
              </w:rPr>
              <w:t>分值</w:t>
            </w:r>
          </w:p>
        </w:tc>
      </w:tr>
      <w:tr w14:paraId="2B74B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698082D">
            <w:pPr>
              <w:pStyle w:val="6"/>
              <w:spacing w:before="121" w:line="319" w:lineRule="exact"/>
              <w:ind w:left="398"/>
              <w:jc w:val="both"/>
              <w:rPr>
                <w:color w:val="auto"/>
                <w:sz w:val="24"/>
                <w:szCs w:val="24"/>
                <w:highlight w:val="none"/>
              </w:rPr>
            </w:pPr>
            <w:r>
              <w:rPr>
                <w:color w:val="auto"/>
                <w:sz w:val="24"/>
                <w:szCs w:val="24"/>
                <w:highlight w:val="none"/>
              </w:rPr>
              <w:t>1</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DCFEB3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迟到15分钟以内的。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20B910">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4DAAE5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5</w:t>
            </w:r>
          </w:p>
        </w:tc>
      </w:tr>
      <w:tr w14:paraId="1F9F2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3898340">
            <w:pPr>
              <w:pStyle w:val="6"/>
              <w:spacing w:before="121" w:line="319" w:lineRule="exact"/>
              <w:ind w:left="392"/>
              <w:jc w:val="both"/>
              <w:rPr>
                <w:color w:val="auto"/>
                <w:sz w:val="24"/>
                <w:szCs w:val="24"/>
                <w:highlight w:val="none"/>
              </w:rPr>
            </w:pPr>
            <w:r>
              <w:rPr>
                <w:color w:val="auto"/>
                <w:sz w:val="24"/>
                <w:szCs w:val="24"/>
                <w:highlight w:val="none"/>
              </w:rPr>
              <w:t>2</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846DE6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迟到超过</w:t>
            </w:r>
            <w:r>
              <w:rPr>
                <w:rFonts w:hint="eastAsia" w:ascii="仿宋_GB2312" w:eastAsia="仿宋_GB2312" w:cs="仿宋_GB2312"/>
                <w:color w:val="auto"/>
                <w:sz w:val="24"/>
                <w:szCs w:val="24"/>
                <w:highlight w:val="none"/>
                <w:lang w:val="en-US" w:eastAsia="zh-CN"/>
              </w:rPr>
              <w:t>15</w:t>
            </w:r>
            <w:r>
              <w:rPr>
                <w:rFonts w:hint="eastAsia" w:ascii="仿宋_GB2312" w:eastAsia="仿宋_GB2312" w:cs="仿宋_GB2312"/>
                <w:color w:val="auto"/>
                <w:sz w:val="24"/>
                <w:szCs w:val="24"/>
                <w:highlight w:val="none"/>
              </w:rPr>
              <w:t>分钟不足60分钟的。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652D2F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C22739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10</w:t>
            </w:r>
          </w:p>
        </w:tc>
      </w:tr>
      <w:tr w14:paraId="7BFE4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698B101">
            <w:pPr>
              <w:pStyle w:val="6"/>
              <w:spacing w:before="79" w:line="242" w:lineRule="auto"/>
              <w:jc w:val="center"/>
              <w:rPr>
                <w:color w:val="auto"/>
                <w:sz w:val="24"/>
                <w:szCs w:val="24"/>
                <w:highlight w:val="none"/>
              </w:rPr>
            </w:pPr>
            <w:r>
              <w:rPr>
                <w:color w:val="auto"/>
                <w:sz w:val="24"/>
                <w:szCs w:val="24"/>
                <w:highlight w:val="none"/>
              </w:rPr>
              <w:t>3</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E72CAA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迟到超过60分钟的。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1526A7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5EF88E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15</w:t>
            </w:r>
          </w:p>
        </w:tc>
      </w:tr>
      <w:tr w14:paraId="392C6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1ADCC8">
            <w:pPr>
              <w:pStyle w:val="6"/>
              <w:spacing w:before="122" w:line="319" w:lineRule="exact"/>
              <w:ind w:left="391"/>
              <w:jc w:val="both"/>
              <w:rPr>
                <w:color w:val="auto"/>
                <w:sz w:val="24"/>
                <w:szCs w:val="24"/>
                <w:highlight w:val="none"/>
              </w:rPr>
            </w:pPr>
            <w:r>
              <w:rPr>
                <w:color w:val="auto"/>
                <w:sz w:val="24"/>
                <w:szCs w:val="24"/>
                <w:highlight w:val="none"/>
              </w:rPr>
              <w:t>4</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E3737A5">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接到评标评审通知确认参加评标后，不参加评标且在评标集合时间前60分钟</w:t>
            </w:r>
            <w:r>
              <w:rPr>
                <w:rFonts w:hint="eastAsia" w:ascii="仿宋_GB2312" w:eastAsia="仿宋_GB2312" w:cs="仿宋_GB2312"/>
                <w:color w:val="auto"/>
                <w:sz w:val="24"/>
                <w:szCs w:val="24"/>
                <w:highlight w:val="none"/>
                <w:lang w:val="en-US" w:eastAsia="zh-CN"/>
              </w:rPr>
              <w:t>内</w:t>
            </w:r>
            <w:r>
              <w:rPr>
                <w:rFonts w:hint="eastAsia" w:ascii="仿宋_GB2312" w:eastAsia="仿宋_GB2312" w:cs="仿宋_GB2312"/>
                <w:color w:val="auto"/>
                <w:sz w:val="24"/>
                <w:szCs w:val="24"/>
                <w:highlight w:val="none"/>
              </w:rPr>
              <w:t>请假的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lang w:val="en-US" w:eastAsia="zh-CN"/>
              </w:rPr>
              <w:t>60分钟之前请假的不扣分</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rPr>
              <w:t>。</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EFE4B3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974EE2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20</w:t>
            </w:r>
          </w:p>
        </w:tc>
      </w:tr>
      <w:tr w14:paraId="4233A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8694282">
            <w:pPr>
              <w:pStyle w:val="6"/>
              <w:spacing w:before="26" w:line="216" w:lineRule="auto"/>
              <w:ind w:left="395"/>
              <w:jc w:val="both"/>
              <w:rPr>
                <w:color w:val="auto"/>
                <w:sz w:val="24"/>
                <w:szCs w:val="24"/>
                <w:highlight w:val="none"/>
              </w:rPr>
            </w:pPr>
            <w:r>
              <w:rPr>
                <w:color w:val="auto"/>
                <w:sz w:val="24"/>
                <w:szCs w:val="24"/>
                <w:highlight w:val="none"/>
              </w:rPr>
              <w:t>5</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E4975BF">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接到评标评审通知确认参加评标后，不参加评标且在评标集合时间前60分钟</w:t>
            </w:r>
            <w:r>
              <w:rPr>
                <w:rFonts w:hint="eastAsia" w:ascii="仿宋_GB2312" w:eastAsia="仿宋_GB2312" w:cs="仿宋_GB2312"/>
                <w:color w:val="auto"/>
                <w:sz w:val="24"/>
                <w:szCs w:val="24"/>
                <w:highlight w:val="none"/>
                <w:lang w:eastAsia="zh-CN"/>
              </w:rPr>
              <w:t>内</w:t>
            </w:r>
            <w:r>
              <w:rPr>
                <w:rFonts w:hint="eastAsia" w:ascii="仿宋_GB2312" w:eastAsia="仿宋_GB2312" w:cs="仿宋_GB2312"/>
                <w:color w:val="auto"/>
                <w:sz w:val="24"/>
                <w:szCs w:val="24"/>
                <w:highlight w:val="none"/>
              </w:rPr>
              <w:t>未请假的。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199C8E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421FA8">
            <w:pPr>
              <w:jc w:val="center"/>
              <w:rPr>
                <w:rFonts w:hint="default"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25</w:t>
            </w:r>
          </w:p>
        </w:tc>
      </w:tr>
      <w:tr w14:paraId="1A498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5801440">
            <w:pPr>
              <w:pStyle w:val="6"/>
              <w:spacing w:before="90" w:line="242" w:lineRule="auto"/>
              <w:ind w:left="394"/>
              <w:jc w:val="both"/>
              <w:rPr>
                <w:color w:val="auto"/>
                <w:sz w:val="24"/>
                <w:szCs w:val="24"/>
                <w:highlight w:val="none"/>
              </w:rPr>
            </w:pPr>
            <w:r>
              <w:rPr>
                <w:color w:val="auto"/>
                <w:sz w:val="24"/>
                <w:szCs w:val="24"/>
                <w:highlight w:val="none"/>
              </w:rPr>
              <w:t>6</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19B1608">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到达交易场所后，不按规定提交身份证明、登记录检进入评标评审区域的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lang w:val="en-US" w:eastAsia="zh-CN"/>
              </w:rPr>
              <w:t>或不按规定佩戴专家身份标识（工作牌）的，或完成签到后不按规定进入指定评标室的。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CB22A2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8D4990D">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10</w:t>
            </w:r>
          </w:p>
        </w:tc>
      </w:tr>
      <w:tr w14:paraId="7010D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48207B7">
            <w:pPr>
              <w:pStyle w:val="6"/>
              <w:spacing w:before="22" w:line="218" w:lineRule="auto"/>
              <w:ind w:left="394"/>
              <w:jc w:val="both"/>
              <w:rPr>
                <w:color w:val="auto"/>
                <w:sz w:val="24"/>
                <w:szCs w:val="24"/>
                <w:highlight w:val="none"/>
              </w:rPr>
            </w:pPr>
            <w:r>
              <w:rPr>
                <w:color w:val="auto"/>
                <w:sz w:val="24"/>
                <w:szCs w:val="24"/>
                <w:highlight w:val="none"/>
              </w:rPr>
              <w:t>7</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CF5246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到达评标现场后，以项目复杂或者工作量大等非正当理由拒绝参加评标的。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A910B4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0930A7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20</w:t>
            </w:r>
          </w:p>
        </w:tc>
      </w:tr>
      <w:tr w14:paraId="4FB33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48D875B">
            <w:pPr>
              <w:pStyle w:val="6"/>
              <w:spacing w:before="182" w:line="242" w:lineRule="auto"/>
              <w:ind w:left="394"/>
              <w:jc w:val="both"/>
              <w:rPr>
                <w:color w:val="auto"/>
                <w:sz w:val="24"/>
                <w:szCs w:val="24"/>
                <w:highlight w:val="none"/>
              </w:rPr>
            </w:pPr>
            <w:r>
              <w:rPr>
                <w:color w:val="auto"/>
                <w:sz w:val="24"/>
                <w:szCs w:val="24"/>
                <w:highlight w:val="none"/>
              </w:rPr>
              <w:t>8</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A061646">
            <w:pPr>
              <w:jc w:val="left"/>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携带手机、智能手环、智能手表等通讯工具以及无线接收传送设备、电子存储记忆录放设备</w:t>
            </w:r>
            <w:r>
              <w:rPr>
                <w:rFonts w:hint="eastAsia" w:ascii="仿宋_GB2312" w:eastAsia="仿宋_GB2312" w:cs="仿宋_GB2312"/>
                <w:color w:val="auto"/>
                <w:sz w:val="24"/>
                <w:szCs w:val="24"/>
                <w:highlight w:val="none"/>
                <w:lang w:eastAsia="zh-CN"/>
              </w:rPr>
              <w:t>、电子数据存储介质</w:t>
            </w:r>
            <w:r>
              <w:rPr>
                <w:rFonts w:hint="eastAsia" w:ascii="仿宋_GB2312" w:eastAsia="仿宋_GB2312" w:cs="仿宋_GB2312"/>
                <w:color w:val="auto"/>
                <w:sz w:val="24"/>
                <w:szCs w:val="24"/>
                <w:highlight w:val="none"/>
              </w:rPr>
              <w:t>等</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lang w:val="en-US" w:eastAsia="zh-CN"/>
              </w:rPr>
              <w:t>或</w:t>
            </w:r>
            <w:r>
              <w:rPr>
                <w:rFonts w:hint="eastAsia" w:ascii="仿宋_GB2312" w:eastAsia="仿宋_GB2312" w:cs="仿宋_GB2312"/>
                <w:color w:val="auto"/>
                <w:sz w:val="24"/>
                <w:szCs w:val="24"/>
                <w:highlight w:val="none"/>
                <w:lang w:eastAsia="zh-CN"/>
              </w:rPr>
              <w:t>将可能与评标评审工作相关</w:t>
            </w:r>
            <w:r>
              <w:rPr>
                <w:rFonts w:hint="eastAsia" w:ascii="仿宋_GB2312" w:eastAsia="仿宋_GB2312" w:cs="仿宋_GB2312"/>
                <w:color w:val="auto"/>
                <w:sz w:val="24"/>
                <w:szCs w:val="24"/>
                <w:highlight w:val="none"/>
                <w:lang w:val="en-US" w:eastAsia="zh-CN"/>
              </w:rPr>
              <w:t>纸质</w:t>
            </w:r>
            <w:r>
              <w:rPr>
                <w:rFonts w:hint="eastAsia" w:ascii="仿宋_GB2312" w:eastAsia="仿宋_GB2312" w:cs="仿宋_GB2312"/>
                <w:color w:val="auto"/>
                <w:sz w:val="24"/>
                <w:szCs w:val="24"/>
                <w:highlight w:val="none"/>
                <w:lang w:eastAsia="zh-CN"/>
              </w:rPr>
              <w:t>资料带进评标区域的。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5960F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F7EC4A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15</w:t>
            </w:r>
          </w:p>
        </w:tc>
      </w:tr>
      <w:tr w14:paraId="5F41B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7"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C9241C9">
            <w:pPr>
              <w:pStyle w:val="6"/>
              <w:spacing w:before="130" w:line="242" w:lineRule="auto"/>
              <w:ind w:left="394"/>
              <w:jc w:val="both"/>
              <w:rPr>
                <w:color w:val="auto"/>
                <w:sz w:val="24"/>
                <w:szCs w:val="24"/>
                <w:highlight w:val="none"/>
              </w:rPr>
            </w:pPr>
            <w:r>
              <w:rPr>
                <w:color w:val="auto"/>
                <w:sz w:val="24"/>
                <w:szCs w:val="24"/>
                <w:highlight w:val="none"/>
              </w:rPr>
              <w:t>9</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BF338E">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进入评标区域后，随意进出非本人参评项目评标室的或者擅自进入非本人评审席位与其他专家接触交流，经劝阻后仍拒不改正的。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71E350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FC213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10</w:t>
            </w:r>
          </w:p>
        </w:tc>
      </w:tr>
      <w:tr w14:paraId="39B61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D84952D">
            <w:pPr>
              <w:pStyle w:val="6"/>
              <w:spacing w:before="102" w:line="242" w:lineRule="auto"/>
              <w:ind w:left="341"/>
              <w:jc w:val="both"/>
              <w:rPr>
                <w:color w:val="auto"/>
                <w:sz w:val="24"/>
                <w:szCs w:val="24"/>
                <w:highlight w:val="none"/>
              </w:rPr>
            </w:pPr>
            <w:r>
              <w:rPr>
                <w:color w:val="auto"/>
                <w:spacing w:val="-13"/>
                <w:sz w:val="24"/>
                <w:szCs w:val="24"/>
                <w:highlight w:val="none"/>
              </w:rPr>
              <w:t>10</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6A43670">
            <w:pPr>
              <w:jc w:val="left"/>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在评标区域与其他专家私下聚集接触交流、大声喧哗吵闹，经劝阻拒不改正的</w:t>
            </w:r>
            <w:r>
              <w:rPr>
                <w:rFonts w:hint="eastAsia" w:ascii="仿宋_GB2312" w:eastAsia="仿宋_GB2312" w:cs="仿宋_GB2312"/>
                <w:color w:val="auto"/>
                <w:sz w:val="24"/>
                <w:szCs w:val="24"/>
                <w:highlight w:val="none"/>
                <w:lang w:eastAsia="zh-CN"/>
              </w:rPr>
              <w:t>。</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3C182A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A6A9CD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20</w:t>
            </w:r>
          </w:p>
        </w:tc>
      </w:tr>
      <w:tr w14:paraId="07F87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83CD85F">
            <w:pPr>
              <w:pStyle w:val="6"/>
              <w:spacing w:before="183" w:line="319" w:lineRule="exact"/>
              <w:jc w:val="center"/>
              <w:rPr>
                <w:color w:val="auto"/>
                <w:sz w:val="24"/>
                <w:szCs w:val="24"/>
                <w:highlight w:val="none"/>
              </w:rPr>
            </w:pPr>
            <w:r>
              <w:rPr>
                <w:color w:val="auto"/>
                <w:spacing w:val="-13"/>
                <w:sz w:val="24"/>
                <w:szCs w:val="24"/>
                <w:highlight w:val="none"/>
              </w:rPr>
              <w:t>11</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376B281">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在评标评审过程中，利用电脑等评标设备玩游戏、聊天等与评标评审无关事项的。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1B5AD0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1FE35A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15</w:t>
            </w:r>
          </w:p>
        </w:tc>
      </w:tr>
      <w:tr w14:paraId="0905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F884B0">
            <w:pPr>
              <w:pStyle w:val="6"/>
              <w:spacing w:before="97" w:line="319" w:lineRule="exact"/>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12</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B420448">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在评审过程中，未经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监督部门批准许可，或不听现场工作人员劝阻执意早退、无故退出评标活动的。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6F68A3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CB55B4F">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622BB1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25</w:t>
            </w:r>
          </w:p>
        </w:tc>
      </w:tr>
      <w:tr w14:paraId="3181C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7B60D3E">
            <w:pPr>
              <w:pStyle w:val="6"/>
              <w:spacing w:before="102"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13</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16DC7A4">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酒后参与评标的。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44651E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E77338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r>
      <w:tr w14:paraId="37F49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515FC14">
            <w:pPr>
              <w:pStyle w:val="6"/>
              <w:spacing w:before="78" w:line="319" w:lineRule="exact"/>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14</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40F622">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不配合或者拒绝参加招标（采购）人依法组织的中标候选人履约能力审查的。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AD1C7B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0F4AB94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737E509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评标委员会其他成员</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54AE16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r>
      <w:tr w14:paraId="772F0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8D0F02D">
            <w:pPr>
              <w:pStyle w:val="6"/>
              <w:spacing w:before="78"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15</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7B79485">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不协助、不配合招标（采购）人处理异议、复核评标结果的，或者不配合、拒绝复核智能辅助评审结果的。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BBB58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4C9421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035BE744">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评标委员会其他成员</w:t>
            </w:r>
          </w:p>
          <w:p w14:paraId="144EC5C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5521FC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30</w:t>
            </w:r>
          </w:p>
        </w:tc>
      </w:tr>
      <w:tr w14:paraId="3C8F7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1"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89A31B0">
            <w:pPr>
              <w:pStyle w:val="6"/>
              <w:spacing w:before="181"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16</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FB72A15">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不能操作或者不能熟练操作电子评标评审系统，影响评标工作的。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06644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0F38FAC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314EA4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15</w:t>
            </w:r>
          </w:p>
        </w:tc>
      </w:tr>
      <w:tr w14:paraId="180EA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79BC47C">
            <w:pPr>
              <w:pStyle w:val="6"/>
              <w:spacing w:before="100"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17</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58F84F">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不按照招标（采购）文件规定的评标标准和方法评标的。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40459F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4A29D3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1F9890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评标委员会其他成员</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5D90C2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15</w:t>
            </w:r>
          </w:p>
        </w:tc>
      </w:tr>
      <w:tr w14:paraId="60DE4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D2329D0">
            <w:pPr>
              <w:pStyle w:val="6"/>
              <w:spacing w:before="182"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18</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C8B74BF">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无正当理由故意</w:t>
            </w:r>
            <w:r>
              <w:rPr>
                <w:rFonts w:hint="eastAsia" w:ascii="仿宋_GB2312" w:eastAsia="仿宋_GB2312" w:cs="仿宋_GB2312"/>
                <w:color w:val="auto"/>
                <w:sz w:val="24"/>
                <w:szCs w:val="24"/>
                <w:highlight w:val="none"/>
              </w:rPr>
              <w:t>拖延评标评审时间，经提醒仍不改正的</w:t>
            </w:r>
            <w:r>
              <w:rPr>
                <w:rFonts w:hint="eastAsia" w:ascii="仿宋_GB2312" w:eastAsia="仿宋_GB2312" w:cs="仿宋_GB2312"/>
                <w:color w:val="auto"/>
                <w:sz w:val="24"/>
                <w:szCs w:val="24"/>
                <w:highlight w:val="none"/>
                <w:lang w:eastAsia="zh-CN"/>
              </w:rPr>
              <w:t>。</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91C0A2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3D59F4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15243FAE">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评标委员会其他成员</w:t>
            </w:r>
          </w:p>
          <w:p w14:paraId="72B51B6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1F1C23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15</w:t>
            </w:r>
          </w:p>
        </w:tc>
      </w:tr>
      <w:tr w14:paraId="1970B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1D05C4E">
            <w:pPr>
              <w:pStyle w:val="6"/>
              <w:spacing w:before="183" w:line="242" w:lineRule="auto"/>
              <w:ind w:left="341"/>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3"/>
                <w:sz w:val="24"/>
                <w:szCs w:val="24"/>
                <w:highlight w:val="none"/>
              </w:rPr>
              <w:t>19</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6E50B31">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在评标评审过程中，存在不独立评标、敷衍应付、简单套用其他评标专家意见或者结论等情况的。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CE2431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4787DD6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68A39C6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B161FF6">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FA7557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r>
      <w:tr w14:paraId="1448E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9"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0F539BF">
            <w:pPr>
              <w:pStyle w:val="6"/>
              <w:spacing w:before="78" w:line="242" w:lineRule="auto"/>
              <w:ind w:left="335"/>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0"/>
                <w:sz w:val="24"/>
                <w:szCs w:val="24"/>
                <w:highlight w:val="none"/>
              </w:rPr>
              <w:t>20</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03048B7">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随意行使自由裁量权，存在对客观评审因素评分不一致情况的。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23ABD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3E8BB2A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39C9B8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11F32A8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431824A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C17765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r>
      <w:tr w14:paraId="2A50D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E4C9835">
            <w:pPr>
              <w:pStyle w:val="6"/>
              <w:spacing w:before="78" w:line="319" w:lineRule="exact"/>
              <w:ind w:left="335"/>
              <w:jc w:val="both"/>
              <w:rPr>
                <w:rFonts w:ascii="FangSong_GB2312" w:hAnsi="FangSong_GB2312" w:eastAsia="FangSong_GB2312" w:cs="FangSong_GB2312"/>
                <w:snapToGrid w:val="0"/>
                <w:color w:val="auto"/>
                <w:kern w:val="0"/>
                <w:sz w:val="24"/>
                <w:szCs w:val="24"/>
                <w:highlight w:val="none"/>
                <w:lang w:val="en-US" w:eastAsia="zh-CN" w:bidi="ar-SA"/>
              </w:rPr>
            </w:pPr>
            <w:r>
              <w:rPr>
                <w:color w:val="auto"/>
                <w:spacing w:val="-10"/>
                <w:sz w:val="24"/>
                <w:szCs w:val="24"/>
                <w:highlight w:val="none"/>
              </w:rPr>
              <w:t>21</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FF465DF">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评分畸高、畸低，或者与其他评标专家结论存在明显偏差，且无法给出合理书面解释的。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D1F587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5631A3C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379F72E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168DEDE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5BC3B98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61DFF0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r>
      <w:tr w14:paraId="7A3D8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8F75979">
            <w:pPr>
              <w:pStyle w:val="6"/>
              <w:spacing w:before="179" w:line="318" w:lineRule="exact"/>
              <w:ind w:left="335"/>
              <w:jc w:val="both"/>
              <w:rPr>
                <w:color w:val="auto"/>
                <w:sz w:val="24"/>
                <w:szCs w:val="24"/>
                <w:highlight w:val="none"/>
              </w:rPr>
            </w:pPr>
            <w:r>
              <w:rPr>
                <w:color w:val="auto"/>
                <w:spacing w:val="-10"/>
                <w:sz w:val="24"/>
                <w:szCs w:val="24"/>
                <w:highlight w:val="none"/>
              </w:rPr>
              <w:t>22</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F1698A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投标文件存在细微偏差的，评标委员会成员应当按照招标</w:t>
            </w:r>
            <w:r>
              <w:rPr>
                <w:rFonts w:hint="eastAsia" w:ascii="仿宋_GB2312" w:eastAsia="仿宋_GB2312" w:cs="仿宋_GB2312"/>
                <w:color w:val="auto"/>
                <w:sz w:val="24"/>
                <w:szCs w:val="24"/>
                <w:highlight w:val="none"/>
              </w:rPr>
              <w:t>（采购）</w:t>
            </w:r>
            <w:r>
              <w:rPr>
                <w:rFonts w:hint="eastAsia" w:ascii="仿宋_GB2312" w:eastAsia="仿宋_GB2312" w:cs="仿宋_GB2312"/>
                <w:color w:val="auto"/>
                <w:sz w:val="24"/>
                <w:szCs w:val="24"/>
                <w:highlight w:val="none"/>
                <w:lang w:val="en-US" w:eastAsia="zh-CN"/>
              </w:rPr>
              <w:t>文件要求投标人澄清、说明或者补正的，但评标委员会成员未要求投标人进行澄清、说明或补正，直接作否决投标处理的。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87AC7A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4DAB5D2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21AD4BB5">
            <w:pPr>
              <w:jc w:val="center"/>
              <w:rPr>
                <w:rFonts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48B57E3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668EAD3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642DDD">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15</w:t>
            </w:r>
          </w:p>
        </w:tc>
      </w:tr>
      <w:tr w14:paraId="4AF4E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2D16118">
            <w:pPr>
              <w:pStyle w:val="6"/>
              <w:spacing w:before="180" w:line="242" w:lineRule="auto"/>
              <w:ind w:left="335"/>
              <w:jc w:val="both"/>
              <w:rPr>
                <w:color w:val="auto"/>
                <w:sz w:val="24"/>
                <w:szCs w:val="24"/>
                <w:highlight w:val="none"/>
              </w:rPr>
            </w:pPr>
            <w:r>
              <w:rPr>
                <w:color w:val="auto"/>
                <w:spacing w:val="-10"/>
                <w:sz w:val="24"/>
                <w:szCs w:val="24"/>
                <w:highlight w:val="none"/>
              </w:rPr>
              <w:t>23</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656514F">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接受投标人提出的超出投标文件范围或改变投标文件实质性内容的澄清、说明或补正资料的。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43D272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9A66A7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107D536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228E488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4231ED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20</w:t>
            </w:r>
          </w:p>
        </w:tc>
      </w:tr>
      <w:tr w14:paraId="35C4A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D864CD8">
            <w:pPr>
              <w:pStyle w:val="6"/>
              <w:spacing w:before="180" w:line="319" w:lineRule="exact"/>
              <w:ind w:left="335"/>
              <w:jc w:val="both"/>
              <w:rPr>
                <w:color w:val="auto"/>
                <w:sz w:val="24"/>
                <w:szCs w:val="24"/>
                <w:highlight w:val="none"/>
              </w:rPr>
            </w:pPr>
            <w:r>
              <w:rPr>
                <w:color w:val="auto"/>
                <w:spacing w:val="-10"/>
                <w:sz w:val="24"/>
                <w:szCs w:val="24"/>
                <w:highlight w:val="none"/>
              </w:rPr>
              <w:t>24</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81D560">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明知个人身体健康状况不适宜担任评标评审工作，仍接受邀请参加评标评审活动并影响评标评审活动进展的。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92E7D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交易中心</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67AC42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20</w:t>
            </w:r>
          </w:p>
        </w:tc>
      </w:tr>
      <w:tr w14:paraId="6C8130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DD61F67">
            <w:pPr>
              <w:pStyle w:val="6"/>
              <w:spacing w:before="78" w:line="242" w:lineRule="auto"/>
              <w:ind w:left="335"/>
              <w:jc w:val="both"/>
              <w:rPr>
                <w:color w:val="auto"/>
                <w:sz w:val="24"/>
                <w:szCs w:val="24"/>
                <w:highlight w:val="none"/>
              </w:rPr>
            </w:pPr>
            <w:r>
              <w:rPr>
                <w:color w:val="auto"/>
                <w:spacing w:val="-10"/>
                <w:sz w:val="24"/>
                <w:szCs w:val="24"/>
                <w:highlight w:val="none"/>
              </w:rPr>
              <w:t>25</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6518FB4">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拒绝在评标报告上签字，且无正当理由的。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3A69C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01F83F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6DEC527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7812035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6EFDB0E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CBC0C3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20</w:t>
            </w:r>
          </w:p>
        </w:tc>
      </w:tr>
      <w:tr w14:paraId="33762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D4FA761">
            <w:pPr>
              <w:pStyle w:val="6"/>
              <w:spacing w:before="78" w:line="242" w:lineRule="auto"/>
              <w:ind w:left="335"/>
              <w:jc w:val="both"/>
              <w:rPr>
                <w:color w:val="auto"/>
                <w:sz w:val="24"/>
                <w:szCs w:val="24"/>
                <w:highlight w:val="none"/>
              </w:rPr>
            </w:pPr>
            <w:r>
              <w:rPr>
                <w:color w:val="auto"/>
                <w:spacing w:val="-10"/>
                <w:sz w:val="24"/>
                <w:szCs w:val="24"/>
                <w:highlight w:val="none"/>
              </w:rPr>
              <w:t>26</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AE53FF2">
            <w:pPr>
              <w:jc w:val="left"/>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汇总分数计算错误的</w:t>
            </w:r>
            <w:r>
              <w:rPr>
                <w:rFonts w:hint="eastAsia" w:ascii="仿宋_GB2312" w:eastAsia="仿宋_GB2312" w:cs="仿宋_GB2312"/>
                <w:color w:val="auto"/>
                <w:sz w:val="24"/>
                <w:szCs w:val="24"/>
                <w:highlight w:val="none"/>
                <w:lang w:eastAsia="zh-CN"/>
              </w:rPr>
              <w:t>。</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A98CBF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5B3DACA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2F260A2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4A18D62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6302855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19BF48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15</w:t>
            </w:r>
          </w:p>
        </w:tc>
      </w:tr>
      <w:tr w14:paraId="7BC3FC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4867368">
            <w:pPr>
              <w:pStyle w:val="6"/>
              <w:spacing w:before="78" w:line="242" w:lineRule="auto"/>
              <w:ind w:left="335"/>
              <w:jc w:val="both"/>
              <w:rPr>
                <w:color w:val="auto"/>
                <w:sz w:val="24"/>
                <w:szCs w:val="24"/>
                <w:highlight w:val="none"/>
              </w:rPr>
            </w:pPr>
            <w:r>
              <w:rPr>
                <w:color w:val="auto"/>
                <w:spacing w:val="-10"/>
                <w:sz w:val="24"/>
                <w:szCs w:val="24"/>
                <w:highlight w:val="none"/>
              </w:rPr>
              <w:t>27</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D58FD8F">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在交易项目复核过程中，不如实回答或者拒绝回答询问的。</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498671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88E9E7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32A2918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3957C71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3B23D40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399C0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20</w:t>
            </w:r>
          </w:p>
        </w:tc>
      </w:tr>
      <w:tr w14:paraId="699AB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E78AC45">
            <w:pPr>
              <w:spacing w:before="78" w:line="242" w:lineRule="auto"/>
              <w:ind w:left="335"/>
              <w:jc w:val="both"/>
              <w:rPr>
                <w:rFonts w:hint="eastAsia" w:ascii="仿宋_GB2312" w:eastAsia="仿宋_GB2312" w:cs="仿宋_GB2312"/>
                <w:color w:val="auto"/>
                <w:spacing w:val="0"/>
                <w:sz w:val="24"/>
                <w:szCs w:val="24"/>
                <w:highlight w:val="none"/>
                <w:lang w:val="en-US" w:eastAsia="zh-CN"/>
              </w:rPr>
            </w:pPr>
            <w:r>
              <w:rPr>
                <w:rFonts w:hint="eastAsia" w:ascii="仿宋_GB2312" w:eastAsia="仿宋_GB2312" w:cs="仿宋_GB2312"/>
                <w:color w:val="auto"/>
                <w:spacing w:val="0"/>
                <w:sz w:val="24"/>
                <w:szCs w:val="24"/>
                <w:highlight w:val="none"/>
                <w:lang w:val="en-US" w:eastAsia="zh-CN"/>
              </w:rPr>
              <w:t>28</w:t>
            </w:r>
          </w:p>
        </w:tc>
        <w:tc>
          <w:tcPr>
            <w:tcW w:w="983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985F5B">
            <w:pPr>
              <w:keepNext w:val="0"/>
              <w:keepLines w:val="0"/>
              <w:widowControl/>
              <w:suppressLineNumbers w:val="0"/>
              <w:suppressAutoHyphens/>
              <w:jc w:val="left"/>
              <w:rPr>
                <w:rFonts w:hint="eastAsia" w:ascii="仿宋_GB2312" w:eastAsia="仿宋_GB2312" w:cs="仿宋_GB2312"/>
                <w:color w:val="auto"/>
                <w:sz w:val="24"/>
                <w:szCs w:val="24"/>
                <w:highlight w:val="none"/>
              </w:rPr>
            </w:pPr>
            <w:r>
              <w:rPr>
                <w:rFonts w:hint="eastAsia" w:ascii="仿宋_GB2312" w:hAnsi="Calibri" w:eastAsia="仿宋_GB2312" w:cs="仿宋_GB2312"/>
                <w:i w:val="0"/>
                <w:iCs w:val="0"/>
                <w:caps w:val="0"/>
                <w:smallCaps w:val="0"/>
                <w:color w:val="auto"/>
                <w:spacing w:val="0"/>
                <w:kern w:val="2"/>
                <w:sz w:val="24"/>
                <w:szCs w:val="24"/>
                <w:highlight w:val="none"/>
                <w:shd w:val="clear" w:color="auto" w:fill="auto"/>
                <w:lang w:val="en-US" w:eastAsia="zh-CN"/>
              </w:rPr>
              <w:t>评标委员会未对可能低于成本或者影响履约的异常低价投标和严重不平衡报价进行分析研判</w:t>
            </w:r>
            <w:r>
              <w:rPr>
                <w:rFonts w:hint="eastAsia" w:ascii="仿宋_GB2312" w:eastAsia="仿宋_GB2312" w:cs="仿宋_GB2312"/>
                <w:i w:val="0"/>
                <w:iCs w:val="0"/>
                <w:caps w:val="0"/>
                <w:smallCaps w:val="0"/>
                <w:color w:val="auto"/>
                <w:spacing w:val="0"/>
                <w:kern w:val="2"/>
                <w:sz w:val="24"/>
                <w:szCs w:val="24"/>
                <w:highlight w:val="none"/>
                <w:shd w:val="clear" w:color="auto" w:fill="auto"/>
                <w:lang w:val="en-US" w:eastAsia="zh-CN"/>
              </w:rPr>
              <w:t>。</w:t>
            </w:r>
          </w:p>
        </w:tc>
        <w:tc>
          <w:tcPr>
            <w:tcW w:w="216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C9ABE9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304DEF1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61B9F209">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评标委员会其他成员</w:t>
            </w:r>
          </w:p>
          <w:p w14:paraId="4063F2C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46FCB24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100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C38504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20</w:t>
            </w:r>
          </w:p>
        </w:tc>
      </w:tr>
    </w:tbl>
    <w:p w14:paraId="07EE96D6">
      <w:pPr>
        <w:rPr>
          <w:rFonts w:ascii="Arial" w:hAnsi="Arial"/>
          <w:color w:val="auto"/>
          <w:sz w:val="22"/>
          <w:szCs w:val="22"/>
          <w:highlight w:val="none"/>
        </w:rPr>
      </w:pPr>
    </w:p>
    <w:p w14:paraId="15C6EA07">
      <w:pPr>
        <w:rPr>
          <w:rFonts w:ascii="Arial" w:hAnsi="Arial"/>
          <w:color w:val="auto"/>
          <w:sz w:val="22"/>
          <w:szCs w:val="22"/>
          <w:highlight w:val="none"/>
        </w:rPr>
      </w:pPr>
    </w:p>
    <w:p w14:paraId="016A64C2">
      <w:pPr>
        <w:spacing w:before="21"/>
        <w:rPr>
          <w:color w:val="auto"/>
          <w:sz w:val="22"/>
          <w:szCs w:val="22"/>
          <w:highlight w:val="none"/>
        </w:rPr>
      </w:pPr>
      <w:r>
        <w:rPr>
          <w:color w:val="auto"/>
          <w:sz w:val="22"/>
          <w:szCs w:val="22"/>
          <w:highlight w:val="none"/>
        </w:rPr>
        <w:drawing>
          <wp:anchor distT="0" distB="0" distL="114300" distR="114300" simplePos="0" relativeHeight="251661312" behindDoc="0" locked="0" layoutInCell="0" allowOverlap="1">
            <wp:simplePos x="0" y="0"/>
            <wp:positionH relativeFrom="page">
              <wp:posOffset>-3175</wp:posOffset>
            </wp:positionH>
            <wp:positionV relativeFrom="page">
              <wp:posOffset>-3175</wp:posOffset>
            </wp:positionV>
            <wp:extent cx="6350" cy="6350"/>
            <wp:effectExtent l="0" t="0" r="0" b="0"/>
            <wp:wrapNone/>
            <wp:docPr id="5" name="IM 28"/>
            <wp:cNvGraphicFramePr/>
            <a:graphic xmlns:a="http://schemas.openxmlformats.org/drawingml/2006/main">
              <a:graphicData uri="http://schemas.openxmlformats.org/drawingml/2006/picture">
                <pic:pic xmlns:pic="http://schemas.openxmlformats.org/drawingml/2006/picture">
                  <pic:nvPicPr>
                    <pic:cNvPr id="5" name="IM 28"/>
                    <pic:cNvPicPr/>
                  </pic:nvPicPr>
                  <pic:blipFill>
                    <a:blip r:embed="rId12"/>
                    <a:stretch>
                      <a:fillRect/>
                    </a:stretch>
                  </pic:blipFill>
                  <pic:spPr>
                    <a:xfrm>
                      <a:off x="0" y="0"/>
                      <a:ext cx="6350" cy="6350"/>
                    </a:xfrm>
                    <a:prstGeom prst="rect">
                      <a:avLst/>
                    </a:prstGeom>
                    <a:noFill/>
                    <a:ln>
                      <a:noFill/>
                    </a:ln>
                  </pic:spPr>
                </pic:pic>
              </a:graphicData>
            </a:graphic>
          </wp:anchor>
        </w:drawing>
      </w:r>
    </w:p>
    <w:p w14:paraId="6B9250C8">
      <w:pPr>
        <w:spacing w:before="21"/>
        <w:rPr>
          <w:color w:val="auto"/>
          <w:sz w:val="22"/>
          <w:szCs w:val="22"/>
          <w:highlight w:val="none"/>
        </w:rPr>
      </w:pPr>
    </w:p>
    <w:p w14:paraId="2AA7D49A">
      <w:pPr>
        <w:spacing w:before="21"/>
        <w:rPr>
          <w:color w:val="auto"/>
          <w:sz w:val="22"/>
          <w:szCs w:val="22"/>
          <w:highlight w:val="none"/>
        </w:rPr>
      </w:pPr>
    </w:p>
    <w:p w14:paraId="7262E147">
      <w:pPr>
        <w:spacing w:before="21"/>
        <w:rPr>
          <w:color w:val="auto"/>
          <w:sz w:val="22"/>
          <w:szCs w:val="22"/>
          <w:highlight w:val="none"/>
        </w:rPr>
      </w:pPr>
    </w:p>
    <w:p w14:paraId="12E4BFA8">
      <w:pPr>
        <w:spacing w:before="21"/>
        <w:rPr>
          <w:color w:val="auto"/>
          <w:sz w:val="22"/>
          <w:szCs w:val="22"/>
          <w:highlight w:val="none"/>
        </w:rPr>
      </w:pPr>
    </w:p>
    <w:p w14:paraId="16EF4218">
      <w:pPr>
        <w:spacing w:before="21"/>
        <w:rPr>
          <w:color w:val="auto"/>
          <w:sz w:val="22"/>
          <w:szCs w:val="22"/>
          <w:highlight w:val="none"/>
        </w:rPr>
      </w:pPr>
    </w:p>
    <w:p w14:paraId="05EB595C">
      <w:pPr>
        <w:spacing w:before="21"/>
        <w:rPr>
          <w:color w:val="auto"/>
          <w:sz w:val="22"/>
          <w:szCs w:val="22"/>
          <w:highlight w:val="none"/>
        </w:rPr>
      </w:pPr>
    </w:p>
    <w:p w14:paraId="51D7869F">
      <w:pPr>
        <w:spacing w:before="21"/>
        <w:rPr>
          <w:color w:val="auto"/>
          <w:sz w:val="22"/>
          <w:szCs w:val="22"/>
          <w:highlight w:val="none"/>
        </w:rPr>
      </w:pPr>
    </w:p>
    <w:p w14:paraId="599D7FC7">
      <w:pPr>
        <w:spacing w:before="21"/>
        <w:rPr>
          <w:color w:val="auto"/>
          <w:sz w:val="22"/>
          <w:szCs w:val="22"/>
          <w:highlight w:val="none"/>
        </w:rPr>
      </w:pPr>
    </w:p>
    <w:p w14:paraId="37F677C6">
      <w:pPr>
        <w:spacing w:before="21"/>
        <w:rPr>
          <w:color w:val="auto"/>
          <w:sz w:val="22"/>
          <w:szCs w:val="22"/>
          <w:highlight w:val="none"/>
        </w:rPr>
      </w:pPr>
    </w:p>
    <w:p w14:paraId="25CF8A81">
      <w:pPr>
        <w:spacing w:before="21"/>
        <w:rPr>
          <w:color w:val="auto"/>
          <w:sz w:val="22"/>
          <w:szCs w:val="22"/>
          <w:highlight w:val="none"/>
        </w:rPr>
      </w:pPr>
    </w:p>
    <w:p w14:paraId="04FFD54E">
      <w:pPr>
        <w:spacing w:before="21"/>
        <w:rPr>
          <w:color w:val="auto"/>
          <w:sz w:val="22"/>
          <w:szCs w:val="22"/>
          <w:highlight w:val="none"/>
        </w:rPr>
      </w:pPr>
    </w:p>
    <w:p w14:paraId="2CC12299">
      <w:pPr>
        <w:spacing w:before="21"/>
        <w:rPr>
          <w:color w:val="auto"/>
          <w:sz w:val="22"/>
          <w:szCs w:val="22"/>
          <w:highlight w:val="none"/>
        </w:rPr>
      </w:pPr>
    </w:p>
    <w:p w14:paraId="4C254234">
      <w:pPr>
        <w:spacing w:before="21"/>
        <w:rPr>
          <w:color w:val="auto"/>
          <w:sz w:val="22"/>
          <w:szCs w:val="22"/>
          <w:highlight w:val="none"/>
        </w:rPr>
      </w:pPr>
    </w:p>
    <w:p w14:paraId="487DBB0E">
      <w:pPr>
        <w:spacing w:before="21"/>
        <w:rPr>
          <w:color w:val="auto"/>
          <w:sz w:val="22"/>
          <w:szCs w:val="22"/>
          <w:highlight w:val="none"/>
        </w:rPr>
      </w:pPr>
    </w:p>
    <w:p w14:paraId="25B4768A">
      <w:pPr>
        <w:spacing w:before="21"/>
        <w:rPr>
          <w:color w:val="auto"/>
          <w:sz w:val="22"/>
          <w:szCs w:val="22"/>
          <w:highlight w:val="none"/>
        </w:rPr>
      </w:pPr>
    </w:p>
    <w:p w14:paraId="0C773817">
      <w:pPr>
        <w:spacing w:before="21"/>
        <w:rPr>
          <w:color w:val="auto"/>
          <w:sz w:val="22"/>
          <w:szCs w:val="22"/>
          <w:highlight w:val="none"/>
        </w:rPr>
      </w:pPr>
    </w:p>
    <w:p w14:paraId="760C9877">
      <w:pPr>
        <w:spacing w:line="278" w:lineRule="auto"/>
        <w:jc w:val="center"/>
        <w:rPr>
          <w:rFonts w:ascii="方正小标宋简体" w:eastAsia="方正小标宋简体" w:cs="方正小标宋简体"/>
          <w:color w:val="auto"/>
          <w:sz w:val="43"/>
          <w:szCs w:val="43"/>
          <w:highlight w:val="none"/>
        </w:rPr>
      </w:pPr>
      <w:r>
        <w:rPr>
          <w:color w:val="auto"/>
          <w:highlight w:val="none"/>
        </w:rPr>
        <w:drawing>
          <wp:anchor distT="0" distB="0" distL="114300" distR="114300" simplePos="0" relativeHeight="251662336" behindDoc="0" locked="0" layoutInCell="0" allowOverlap="1">
            <wp:simplePos x="0" y="0"/>
            <wp:positionH relativeFrom="page">
              <wp:posOffset>-3175</wp:posOffset>
            </wp:positionH>
            <wp:positionV relativeFrom="page">
              <wp:posOffset>-3175</wp:posOffset>
            </wp:positionV>
            <wp:extent cx="6350" cy="6350"/>
            <wp:effectExtent l="0" t="0" r="0" b="0"/>
            <wp:wrapNone/>
            <wp:docPr id="6" name="IM 30"/>
            <wp:cNvGraphicFramePr/>
            <a:graphic xmlns:a="http://schemas.openxmlformats.org/drawingml/2006/main">
              <a:graphicData uri="http://schemas.openxmlformats.org/drawingml/2006/picture">
                <pic:pic xmlns:pic="http://schemas.openxmlformats.org/drawingml/2006/picture">
                  <pic:nvPicPr>
                    <pic:cNvPr id="6" name="IM 30"/>
                    <pic:cNvPicPr/>
                  </pic:nvPicPr>
                  <pic:blipFill>
                    <a:blip r:embed="rId12"/>
                    <a:stretch>
                      <a:fillRect/>
                    </a:stretch>
                  </pic:blipFill>
                  <pic:spPr>
                    <a:xfrm>
                      <a:off x="0" y="0"/>
                      <a:ext cx="6350" cy="6350"/>
                    </a:xfrm>
                    <a:prstGeom prst="rect">
                      <a:avLst/>
                    </a:prstGeom>
                    <a:noFill/>
                    <a:ln>
                      <a:noFill/>
                    </a:ln>
                  </pic:spPr>
                </pic:pic>
              </a:graphicData>
            </a:graphic>
          </wp:anchor>
        </w:drawing>
      </w:r>
      <w:r>
        <w:rPr>
          <w:rFonts w:ascii="方正小标宋简体" w:eastAsia="方正小标宋简体" w:cs="方正小标宋简体"/>
          <w:color w:val="auto"/>
          <w:spacing w:val="10"/>
          <w:sz w:val="43"/>
          <w:szCs w:val="43"/>
          <w:highlight w:val="none"/>
        </w:rPr>
        <w:t>贵州省评标专家履职</w:t>
      </w:r>
      <w:r>
        <w:rPr>
          <w:rFonts w:ascii="方正小标宋简体" w:eastAsia="方正小标宋简体" w:cs="方正小标宋简体"/>
          <w:color w:val="auto"/>
          <w:spacing w:val="10"/>
          <w:sz w:val="43"/>
          <w:szCs w:val="43"/>
          <w:highlight w:val="none"/>
          <w:lang w:eastAsia="zh-CN"/>
        </w:rPr>
        <w:t>行为</w:t>
      </w:r>
      <w:r>
        <w:rPr>
          <w:rFonts w:ascii="方正小标宋简体" w:eastAsia="方正小标宋简体" w:cs="方正小标宋简体"/>
          <w:color w:val="auto"/>
          <w:spacing w:val="10"/>
          <w:sz w:val="43"/>
          <w:szCs w:val="43"/>
          <w:highlight w:val="none"/>
        </w:rPr>
        <w:t>评价标准（严重不良行为情形）</w:t>
      </w:r>
    </w:p>
    <w:p w14:paraId="367CCBCF">
      <w:pPr>
        <w:spacing w:line="63" w:lineRule="exact"/>
        <w:rPr>
          <w:color w:val="auto"/>
          <w:highlight w:val="none"/>
        </w:rPr>
      </w:pPr>
    </w:p>
    <w:tbl>
      <w:tblPr>
        <w:tblStyle w:val="3"/>
        <w:tblW w:w="1400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
        <w:gridCol w:w="9907"/>
        <w:gridCol w:w="2250"/>
        <w:gridCol w:w="982"/>
      </w:tblGrid>
      <w:tr w14:paraId="2D91F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blHeader/>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175DDF4">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序号</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20B59D8">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严重不良行为情形</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F550866">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评价主体</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FF917F1">
            <w:pPr>
              <w:spacing w:before="23" w:line="223" w:lineRule="auto"/>
              <w:ind w:left="0"/>
              <w:jc w:val="center"/>
              <w:rPr>
                <w:rFonts w:ascii="黑体" w:eastAsia="黑体" w:cs="黑体"/>
                <w:color w:val="auto"/>
                <w:spacing w:val="-5"/>
                <w:sz w:val="24"/>
                <w:szCs w:val="24"/>
                <w:highlight w:val="none"/>
              </w:rPr>
            </w:pPr>
            <w:r>
              <w:rPr>
                <w:rFonts w:hint="default" w:ascii="黑体" w:eastAsia="黑体" w:cs="黑体"/>
                <w:color w:val="auto"/>
                <w:spacing w:val="-5"/>
                <w:sz w:val="24"/>
                <w:szCs w:val="24"/>
                <w:highlight w:val="none"/>
                <w:lang w:eastAsia="zh-CN"/>
              </w:rPr>
              <w:t>扣</w:t>
            </w:r>
            <w:r>
              <w:rPr>
                <w:rFonts w:ascii="黑体" w:eastAsia="黑体" w:cs="黑体"/>
                <w:color w:val="auto"/>
                <w:spacing w:val="-5"/>
                <w:sz w:val="24"/>
                <w:szCs w:val="24"/>
                <w:highlight w:val="none"/>
              </w:rPr>
              <w:t>分值</w:t>
            </w:r>
          </w:p>
        </w:tc>
      </w:tr>
      <w:tr w14:paraId="0A7B4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92C6B7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5D5E0E7">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以暴力、胁迫、辱骂或者其他手段扰乱正常评标评审工作秩序的。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089A5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506E249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431D165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7C23123B">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F65881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088A8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560CA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1E715D0">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在不同标段（标包）或者同一标段（标包）</w:t>
            </w:r>
            <w:r>
              <w:rPr>
                <w:rFonts w:hint="eastAsia" w:ascii="仿宋_GB2312" w:eastAsia="仿宋_GB2312" w:cs="仿宋_GB2312"/>
                <w:color w:val="auto"/>
                <w:sz w:val="24"/>
                <w:szCs w:val="24"/>
                <w:highlight w:val="none"/>
                <w:lang w:val="en-US" w:eastAsia="zh-CN"/>
              </w:rPr>
              <w:t>的</w:t>
            </w:r>
            <w:r>
              <w:rPr>
                <w:rFonts w:hint="eastAsia" w:ascii="仿宋_GB2312" w:eastAsia="仿宋_GB2312" w:cs="仿宋_GB2312"/>
                <w:color w:val="auto"/>
                <w:sz w:val="24"/>
                <w:szCs w:val="24"/>
                <w:highlight w:val="none"/>
              </w:rPr>
              <w:t>评标评审过程中，与其他评标专家相互串通，共同为特定投标人作出不符合实际的评审结果，违规操纵评标结果的。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A1F28B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558FFA7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599A314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66B93206">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7C1776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E1ED4F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50</w:t>
            </w:r>
          </w:p>
        </w:tc>
      </w:tr>
      <w:tr w14:paraId="32187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5B988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0E34CF6">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暗示或者诱导投标人作出澄清、说明，或者接受投标人主动提出澄清、说明的。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A37935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5AD45A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0FD3054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302C6E8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7042144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55533E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40</w:t>
            </w:r>
          </w:p>
        </w:tc>
      </w:tr>
      <w:tr w14:paraId="40DEA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D4C704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4</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8E6A45E">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在参与的评标评审活动中，应当回避而不主动回避的</w:t>
            </w:r>
            <w:r>
              <w:rPr>
                <w:rFonts w:hint="eastAsia" w:ascii="仿宋_GB2312" w:eastAsia="仿宋_GB2312" w:cs="仿宋_GB2312"/>
                <w:color w:val="auto"/>
                <w:sz w:val="24"/>
                <w:szCs w:val="24"/>
                <w:highlight w:val="none"/>
                <w:lang w:eastAsia="zh-CN"/>
              </w:rPr>
              <w:t>，或</w:t>
            </w:r>
            <w:r>
              <w:rPr>
                <w:rFonts w:hint="eastAsia" w:ascii="仿宋_GB2312" w:eastAsia="仿宋_GB2312" w:cs="仿宋_GB2312"/>
                <w:color w:val="auto"/>
                <w:sz w:val="24"/>
                <w:szCs w:val="24"/>
                <w:highlight w:val="none"/>
                <w:lang w:val="en-US" w:eastAsia="zh-CN"/>
              </w:rPr>
              <w:t>以</w:t>
            </w:r>
            <w:r>
              <w:rPr>
                <w:rFonts w:hint="eastAsia" w:ascii="仿宋_GB2312" w:hAnsi="仿宋_GB2312" w:eastAsia="仿宋_GB2312" w:cs="仿宋_GB2312"/>
                <w:color w:val="auto"/>
                <w:sz w:val="24"/>
                <w:szCs w:val="24"/>
                <w:highlight w:val="none"/>
                <w:lang w:val="en-US" w:eastAsia="zh-CN"/>
              </w:rPr>
              <w:t>“</w:t>
            </w:r>
            <w:r>
              <w:rPr>
                <w:rFonts w:hint="eastAsia" w:ascii="仿宋_GB2312" w:eastAsia="仿宋_GB2312" w:cs="仿宋_GB2312"/>
                <w:color w:val="auto"/>
                <w:sz w:val="24"/>
                <w:szCs w:val="24"/>
                <w:highlight w:val="none"/>
                <w:lang w:val="en-US" w:eastAsia="zh-CN"/>
              </w:rPr>
              <w:t>法定回避情形</w:t>
            </w:r>
            <w:r>
              <w:rPr>
                <w:rFonts w:hint="eastAsia" w:ascii="仿宋_GB2312" w:hAnsi="仿宋_GB2312" w:eastAsia="仿宋_GB2312" w:cs="仿宋_GB2312"/>
                <w:color w:val="auto"/>
                <w:sz w:val="24"/>
                <w:szCs w:val="24"/>
                <w:highlight w:val="none"/>
                <w:lang w:val="en-US" w:eastAsia="zh-CN"/>
              </w:rPr>
              <w:t>”</w:t>
            </w:r>
            <w:r>
              <w:rPr>
                <w:rFonts w:hint="eastAsia" w:ascii="仿宋_GB2312" w:eastAsia="仿宋_GB2312" w:cs="仿宋_GB2312"/>
                <w:color w:val="auto"/>
                <w:sz w:val="24"/>
                <w:szCs w:val="24"/>
                <w:highlight w:val="none"/>
                <w:lang w:val="en-US" w:eastAsia="zh-CN"/>
              </w:rPr>
              <w:t>为由申请回避，但经查实不属于法定回避情形的。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BF6CA0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5E9FAF1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5246507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4B119E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1BD3275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D571F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1B650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29C891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5</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CE40CDB">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在评标评审过程中，有明显倾向性或者歧视性现象，影响、干扰其他评标专家自主评标的。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44FD1A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348E09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00044D4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57EAB3F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3F6F86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4E98D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3CB493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6</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EC6A2C">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代替其他评标专家参加评标。</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B0A006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AC0C41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A92E77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5D49F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84E26B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7</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C8D1636">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委托其他评标专家代替</w:t>
            </w:r>
            <w:r>
              <w:rPr>
                <w:rFonts w:hint="eastAsia" w:ascii="仿宋_GB2312" w:eastAsia="仿宋_GB2312" w:cs="仿宋_GB2312"/>
                <w:color w:val="auto"/>
                <w:sz w:val="24"/>
                <w:szCs w:val="24"/>
                <w:highlight w:val="none"/>
                <w:lang w:val="en-US" w:eastAsia="zh-CN"/>
              </w:rPr>
              <w:t>自己</w:t>
            </w:r>
            <w:r>
              <w:rPr>
                <w:rFonts w:hint="eastAsia" w:ascii="仿宋_GB2312" w:eastAsia="仿宋_GB2312" w:cs="仿宋_GB2312"/>
                <w:color w:val="auto"/>
                <w:sz w:val="24"/>
                <w:szCs w:val="24"/>
                <w:highlight w:val="none"/>
              </w:rPr>
              <w:t>参加评标的。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FB5E6A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3DDD160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B2BCA3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635E26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C2C92F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8</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EDF9C76">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评标报告与评标底稿资料记录不一致的。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445AE3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6253553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7D017C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30</w:t>
            </w:r>
          </w:p>
        </w:tc>
      </w:tr>
      <w:tr w14:paraId="0E3241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CA9FB6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9</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9CB8A72">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发现招标（采购）文件内容违反有关强制性规定或者招标（采购）文件存在歧义、重大缺陷导致评标无法进行时，应当停止评标而未停止的。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A32550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4A3BF95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D54EB7C">
            <w:pPr>
              <w:jc w:val="center"/>
              <w:rPr>
                <w:rFonts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2C547D0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4F6B0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5CCF0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ED6D11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10</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A5A48D">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发现投标文件中含义不明确、对同类问题表述不一致、有明显文字和计算错误、投标报价可能低于成本影响履约的，未先请投标人</w:t>
            </w:r>
            <w:r>
              <w:rPr>
                <w:rFonts w:hint="eastAsia" w:ascii="仿宋_GB2312" w:eastAsia="仿宋_GB2312" w:cs="仿宋_GB2312"/>
                <w:color w:val="auto"/>
                <w:sz w:val="24"/>
                <w:szCs w:val="24"/>
                <w:highlight w:val="none"/>
                <w:lang w:val="en-US" w:eastAsia="zh-CN"/>
              </w:rPr>
              <w:t>作</w:t>
            </w:r>
            <w:r>
              <w:rPr>
                <w:rFonts w:hint="eastAsia" w:ascii="仿宋_GB2312" w:eastAsia="仿宋_GB2312" w:cs="仿宋_GB2312"/>
                <w:color w:val="auto"/>
                <w:sz w:val="24"/>
                <w:szCs w:val="24"/>
                <w:highlight w:val="none"/>
              </w:rPr>
              <w:t>必要的澄清、说明而直接否决投标的。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94F570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0484B6A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53C4539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7F4E29E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E63BE5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3DE7A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2B0709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11</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831EF07">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除本办法规定的相关情形外，对其他依法应当否决的投标不提出否决意见或者对依法不应当否决的投标进行否决的。</w:t>
            </w:r>
            <w:bookmarkStart w:id="0" w:name="_GoBack"/>
            <w:bookmarkEnd w:id="0"/>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BBC00C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0BEF448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1133B79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2B77C5A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07CFCD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6198BF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3A62C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12</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A6F2C67">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以不评标、不在评标报告上签字、故意拖延时间等方式，或者以</w:t>
            </w:r>
            <w:r>
              <w:rPr>
                <w:rFonts w:hint="eastAsia" w:ascii="仿宋_GB2312" w:hAnsi="仿宋_GB2312" w:eastAsia="仿宋_GB2312" w:cs="仿宋_GB2312"/>
                <w:color w:val="auto"/>
                <w:sz w:val="24"/>
                <w:szCs w:val="24"/>
                <w:highlight w:val="none"/>
              </w:rPr>
              <w:t>“</w:t>
            </w:r>
            <w:r>
              <w:rPr>
                <w:rFonts w:hint="eastAsia" w:ascii="仿宋_GB2312" w:eastAsia="仿宋_GB2312" w:cs="仿宋_GB2312"/>
                <w:color w:val="auto"/>
                <w:sz w:val="24"/>
                <w:szCs w:val="24"/>
                <w:highlight w:val="none"/>
              </w:rPr>
              <w:t>废标</w:t>
            </w:r>
            <w:r>
              <w:rPr>
                <w:rFonts w:hint="eastAsia" w:ascii="仿宋_GB2312" w:hAnsi="仿宋_GB2312" w:eastAsia="仿宋_GB2312" w:cs="仿宋_GB2312"/>
                <w:color w:val="auto"/>
                <w:sz w:val="24"/>
                <w:szCs w:val="24"/>
                <w:highlight w:val="none"/>
              </w:rPr>
              <w:t>”</w:t>
            </w:r>
            <w:r>
              <w:rPr>
                <w:rFonts w:hint="eastAsia" w:ascii="仿宋_GB2312" w:eastAsia="仿宋_GB2312" w:cs="仿宋_GB2312"/>
                <w:color w:val="auto"/>
                <w:sz w:val="24"/>
                <w:szCs w:val="24"/>
                <w:highlight w:val="none"/>
              </w:rPr>
              <w:t>为威胁条件，索要超过规定的劳务报酬，</w:t>
            </w:r>
            <w:r>
              <w:rPr>
                <w:rFonts w:hint="eastAsia" w:ascii="仿宋_GB2312" w:eastAsia="仿宋_GB2312" w:cs="仿宋_GB2312"/>
                <w:color w:val="auto"/>
                <w:sz w:val="24"/>
                <w:szCs w:val="24"/>
                <w:highlight w:val="none"/>
                <w:lang w:val="en-US" w:eastAsia="zh-CN"/>
              </w:rPr>
              <w:t>以及索取或者收受评标劳务报酬以外财物的</w:t>
            </w:r>
            <w:r>
              <w:rPr>
                <w:rFonts w:hint="eastAsia" w:ascii="仿宋_GB2312" w:eastAsia="仿宋_GB2312" w:cs="仿宋_GB2312"/>
                <w:color w:val="auto"/>
                <w:sz w:val="24"/>
                <w:szCs w:val="24"/>
                <w:highlight w:val="none"/>
              </w:rPr>
              <w:t>。</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CD173C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44C9214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2983D99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4B240E6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eastAsia="zh-CN"/>
              </w:rPr>
              <w:t>交易中心</w:t>
            </w:r>
          </w:p>
          <w:p w14:paraId="6CE81E5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9A2AAB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50</w:t>
            </w:r>
          </w:p>
        </w:tc>
      </w:tr>
      <w:tr w14:paraId="13155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161"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EF2D5E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13</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199E15B">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在确定中标结果前，采用记录、抄写、夹带等方式将与评标评审工作相关资料私自带出评标评审区域的。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2585B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3A6B531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A6C18B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113BF6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1BB85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96FE3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14</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CD97A5">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将个人已完成的打分结果供其他专家借鉴或者抄袭的。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0AF9DA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AA95E7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6835C010">
            <w:pPr>
              <w:jc w:val="center"/>
              <w:rPr>
                <w:rFonts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2ADDD4F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6844BC5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0C7FD6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2E33E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A2F633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15</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2F22E02">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向招标（采购）人或者其代理机构征询确定竞得人的意向或者评审意见</w:t>
            </w:r>
            <w:r>
              <w:rPr>
                <w:rFonts w:hint="eastAsia" w:ascii="仿宋_GB2312" w:eastAsia="仿宋_GB2312" w:cs="仿宋_GB2312"/>
                <w:color w:val="auto"/>
                <w:sz w:val="24"/>
                <w:szCs w:val="24"/>
                <w:highlight w:val="none"/>
                <w:lang w:eastAsia="zh-CN"/>
              </w:rPr>
              <w:t>的</w:t>
            </w:r>
            <w:r>
              <w:rPr>
                <w:rFonts w:hint="eastAsia" w:ascii="仿宋_GB2312" w:eastAsia="仿宋_GB2312" w:cs="仿宋_GB2312"/>
                <w:color w:val="auto"/>
                <w:sz w:val="24"/>
                <w:szCs w:val="24"/>
                <w:highlight w:val="none"/>
              </w:rPr>
              <w:t>，或者接受任何单位或个人明示、暗示提出的倾向或者排斥特定投标人要求的。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97CC45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B34449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37A2A5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1D849BF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AA8368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40</w:t>
            </w:r>
          </w:p>
        </w:tc>
      </w:tr>
      <w:tr w14:paraId="41618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1BEB2C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16</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D8126CD">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在中标结果确定前，有意</w:t>
            </w:r>
            <w:r>
              <w:rPr>
                <w:rFonts w:hint="eastAsia" w:ascii="仿宋_GB2312" w:eastAsia="仿宋_GB2312" w:cs="仿宋_GB2312"/>
                <w:color w:val="auto"/>
                <w:sz w:val="24"/>
                <w:szCs w:val="24"/>
                <w:highlight w:val="none"/>
                <w:lang w:val="en-US" w:eastAsia="zh-CN"/>
              </w:rPr>
              <w:t>或</w:t>
            </w:r>
            <w:r>
              <w:rPr>
                <w:rFonts w:hint="eastAsia" w:ascii="仿宋_GB2312" w:eastAsia="仿宋_GB2312" w:cs="仿宋_GB2312"/>
                <w:color w:val="auto"/>
                <w:sz w:val="24"/>
                <w:szCs w:val="24"/>
                <w:highlight w:val="none"/>
              </w:rPr>
              <w:t>无意利用微信群、QQ 群等网络通讯群组或者其他网络平台，以及参加社团或者其他联谊活动等方式，泄露评标评审活动的时间、地点、参评项目评标委员会成员名单等信息的。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453A45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33E75DB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0BEBF94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2043E01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410385C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A31BBC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56BDC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AFA07D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17</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ECA15FE">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私下接触或者试图接触招标（采购）人、代理机构及从业人员、投标人、其他评标专家等与招标投标活动有直接或者间接利害关系的单位或者个人的。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1B53F8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08C5749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237530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01F5BC4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126B43A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8A3536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18490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4ED3D6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18</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0C5B0C7">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收受或者试图收受招标（采购）人、代理机构及从业人员、投标人、其他评标专家等与招标投标活动有直接或者间接利害关系的单位或者个人的财物或者好处的。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B56350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2223284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6B4B9A2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3D54E9C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2FCAD3E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B82DF9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50</w:t>
            </w:r>
          </w:p>
        </w:tc>
      </w:tr>
      <w:tr w14:paraId="7D98E1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673266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19</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B5EEEEE">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组建或者加入可能影响公正评标的微信群、QQ群等网络通讯群组。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646452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1601511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7FE3DC7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00468CB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4D1C166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6C8EB1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1735FB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F8F760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D6DE038">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在参与的评标评审项目中，与投标人或者投标人主要负责人有夫妻、直系血亲、三代以内旁系血亲或者近姻亲关系的。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C3AC9FD">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7614064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1DFAF6DE">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交易中心</w:t>
            </w:r>
          </w:p>
          <w:p w14:paraId="6D33FD3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C6586C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30B406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C29832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21</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97BCF64">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在参与的评标评审项目中，与投标人有经济利益关系，可能影响评标评审公正的。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CF0F9B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0A6EE1D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77AF4C5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33CF9F8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0ED382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38023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DF380C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22</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2FDD0FB">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因评标专家原因导致评标评审结果被提出异议，且经复核后属实的（已被评价的不良行为情形不再扣分）。</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FD12B0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748E57A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3AE4ECA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060F377D">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8DB37D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30</w:t>
            </w:r>
          </w:p>
        </w:tc>
      </w:tr>
      <w:tr w14:paraId="6F4BE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A73812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23</w:t>
            </w:r>
          </w:p>
        </w:tc>
        <w:tc>
          <w:tcPr>
            <w:tcW w:w="9907"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DA1B087">
            <w:pPr>
              <w:keepNext w:val="0"/>
              <w:keepLines w:val="0"/>
              <w:widowControl/>
              <w:suppressLineNumbers w:val="0"/>
              <w:suppressAutoHyphens/>
              <w:jc w:val="left"/>
              <w:rPr>
                <w:rFonts w:hint="eastAsia" w:ascii="仿宋_GB2312" w:eastAsia="仿宋_GB2312" w:cs="仿宋_GB2312"/>
                <w:color w:val="auto"/>
                <w:sz w:val="24"/>
                <w:szCs w:val="24"/>
                <w:highlight w:val="none"/>
              </w:rPr>
            </w:pPr>
            <w:r>
              <w:rPr>
                <w:rFonts w:hint="eastAsia" w:ascii="仿宋_GB2312" w:eastAsia="仿宋_GB2312" w:cs="仿宋_GB2312"/>
                <w:i w:val="0"/>
                <w:iCs w:val="0"/>
                <w:caps w:val="0"/>
                <w:smallCaps w:val="0"/>
                <w:color w:val="auto"/>
                <w:spacing w:val="0"/>
                <w:kern w:val="2"/>
                <w:sz w:val="24"/>
                <w:szCs w:val="24"/>
                <w:highlight w:val="none"/>
                <w:shd w:val="clear" w:color="auto" w:fill="auto"/>
                <w:lang w:val="en-US" w:eastAsia="zh-CN"/>
              </w:rPr>
              <w:t>违法透露对投标文件的评审和比较、中标候选人的推荐以及与评标有关的其他情况的。</w:t>
            </w:r>
          </w:p>
        </w:tc>
        <w:tc>
          <w:tcPr>
            <w:tcW w:w="22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01E19A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招标（采购）人</w:t>
            </w:r>
          </w:p>
          <w:p w14:paraId="49E3A85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代理机构</w:t>
            </w:r>
          </w:p>
          <w:p w14:paraId="44F5379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评标委员会其他成员</w:t>
            </w:r>
          </w:p>
          <w:p w14:paraId="7888F3B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eastAsia="zh-CN"/>
              </w:rPr>
              <w:t>交易中心</w:t>
            </w:r>
          </w:p>
          <w:p w14:paraId="17C0F99B">
            <w:pPr>
              <w:jc w:val="center"/>
              <w:rPr>
                <w:rFonts w:hint="eastAsia" w:ascii="仿宋_GB2312" w:eastAsia="仿宋_GB2312" w:cs="仿宋_GB2312"/>
                <w:color w:val="auto"/>
                <w:kern w:val="2"/>
                <w:sz w:val="24"/>
                <w:szCs w:val="24"/>
                <w:highlight w:val="none"/>
                <w:lang w:val="en-US" w:eastAsia="zh-CN" w:bidi="ar-SA"/>
              </w:rPr>
            </w:pPr>
            <w:r>
              <w:rPr>
                <w:rFonts w:hint="eastAsia" w:ascii="仿宋_GB2312" w:eastAsia="仿宋_GB2312" w:cs="仿宋_GB2312"/>
                <w:color w:val="auto"/>
                <w:sz w:val="24"/>
                <w:szCs w:val="24"/>
                <w:highlight w:val="none"/>
                <w:lang w:val="en-US" w:eastAsia="zh-CN"/>
              </w:rPr>
              <w:t>行政监督部门</w:t>
            </w:r>
          </w:p>
        </w:tc>
        <w:tc>
          <w:tcPr>
            <w:tcW w:w="982"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3C849BE">
            <w:pPr>
              <w:jc w:val="center"/>
              <w:rPr>
                <w:rFonts w:hint="default" w:ascii="仿宋_GB2312" w:eastAsia="仿宋_GB2312" w:cs="仿宋_GB2312"/>
                <w:color w:val="auto"/>
                <w:kern w:val="2"/>
                <w:sz w:val="24"/>
                <w:szCs w:val="24"/>
                <w:highlight w:val="none"/>
                <w:lang w:val="en-US" w:eastAsia="zh-CN" w:bidi="ar-SA"/>
              </w:rPr>
            </w:pPr>
            <w:r>
              <w:rPr>
                <w:rFonts w:hint="eastAsia" w:ascii="仿宋_GB2312" w:eastAsia="仿宋_GB2312" w:cs="仿宋_GB2312"/>
                <w:color w:val="auto"/>
                <w:sz w:val="24"/>
                <w:szCs w:val="24"/>
                <w:highlight w:val="none"/>
                <w:lang w:val="en-US" w:eastAsia="zh-CN"/>
              </w:rPr>
              <w:t>30</w:t>
            </w:r>
          </w:p>
        </w:tc>
      </w:tr>
    </w:tbl>
    <w:p w14:paraId="50FFD921">
      <w:pPr>
        <w:rPr>
          <w:rFonts w:ascii="Arial" w:hAnsi="Arial"/>
          <w:color w:val="auto"/>
          <w:sz w:val="22"/>
          <w:szCs w:val="22"/>
          <w:highlight w:val="none"/>
        </w:rPr>
      </w:pPr>
    </w:p>
    <w:p w14:paraId="3D8F0223">
      <w:pPr>
        <w:spacing w:before="21"/>
        <w:rPr>
          <w:rFonts w:ascii="Arial" w:hAnsi="Arial" w:eastAsia="Arial" w:cs="Arial"/>
          <w:color w:val="auto"/>
          <w:sz w:val="21"/>
          <w:szCs w:val="21"/>
          <w:highlight w:val="none"/>
        </w:rPr>
        <w:sectPr>
          <w:footerReference r:id="rId5" w:type="default"/>
          <w:footerReference r:id="rId6" w:type="even"/>
          <w:pgSz w:w="16838" w:h="11905" w:orient="landscape"/>
          <w:pgMar w:top="1015" w:right="1236" w:bottom="1338" w:left="1604" w:header="0" w:footer="794" w:gutter="0"/>
          <w:pgNumType w:fmt="decimal" w:start="15"/>
          <w:cols w:space="720" w:num="1"/>
          <w:rtlGutter w:val="0"/>
          <w:docGrid w:linePitch="312" w:charSpace="0"/>
        </w:sectPr>
      </w:pPr>
      <w:r>
        <w:rPr>
          <w:color w:val="auto"/>
          <w:highlight w:val="none"/>
        </w:rPr>
        <w:drawing>
          <wp:anchor distT="0" distB="0" distL="114300" distR="114300" simplePos="0" relativeHeight="251663360" behindDoc="0" locked="0" layoutInCell="0" allowOverlap="1">
            <wp:simplePos x="0" y="0"/>
            <wp:positionH relativeFrom="page">
              <wp:posOffset>-3175</wp:posOffset>
            </wp:positionH>
            <wp:positionV relativeFrom="page">
              <wp:posOffset>-3175</wp:posOffset>
            </wp:positionV>
            <wp:extent cx="6350" cy="6350"/>
            <wp:effectExtent l="0" t="0" r="0" b="0"/>
            <wp:wrapNone/>
            <wp:docPr id="7" name="IM 32"/>
            <wp:cNvGraphicFramePr/>
            <a:graphic xmlns:a="http://schemas.openxmlformats.org/drawingml/2006/main">
              <a:graphicData uri="http://schemas.openxmlformats.org/drawingml/2006/picture">
                <pic:pic xmlns:pic="http://schemas.openxmlformats.org/drawingml/2006/picture">
                  <pic:nvPicPr>
                    <pic:cNvPr id="7" name="IM 32"/>
                    <pic:cNvPicPr/>
                  </pic:nvPicPr>
                  <pic:blipFill>
                    <a:blip r:embed="rId12"/>
                    <a:stretch>
                      <a:fillRect/>
                    </a:stretch>
                  </pic:blipFill>
                  <pic:spPr>
                    <a:xfrm>
                      <a:off x="0" y="0"/>
                      <a:ext cx="6350" cy="6350"/>
                    </a:xfrm>
                    <a:prstGeom prst="rect">
                      <a:avLst/>
                    </a:prstGeom>
                    <a:noFill/>
                    <a:ln>
                      <a:noFill/>
                    </a:ln>
                  </pic:spPr>
                </pic:pic>
              </a:graphicData>
            </a:graphic>
          </wp:anchor>
        </w:drawing>
      </w:r>
      <w:r>
        <w:rPr>
          <w:color w:val="auto"/>
          <w:highlight w:val="none"/>
        </w:rPr>
        <w:drawing>
          <wp:anchor distT="0" distB="0" distL="114300" distR="114300" simplePos="0" relativeHeight="251664384" behindDoc="0" locked="0" layoutInCell="0" allowOverlap="1">
            <wp:simplePos x="0" y="0"/>
            <wp:positionH relativeFrom="page">
              <wp:posOffset>-3175</wp:posOffset>
            </wp:positionH>
            <wp:positionV relativeFrom="page">
              <wp:posOffset>-3175</wp:posOffset>
            </wp:positionV>
            <wp:extent cx="6350" cy="6350"/>
            <wp:effectExtent l="0" t="0" r="0" b="0"/>
            <wp:wrapNone/>
            <wp:docPr id="1" name="IM 34"/>
            <wp:cNvGraphicFramePr/>
            <a:graphic xmlns:a="http://schemas.openxmlformats.org/drawingml/2006/main">
              <a:graphicData uri="http://schemas.openxmlformats.org/drawingml/2006/picture">
                <pic:pic xmlns:pic="http://schemas.openxmlformats.org/drawingml/2006/picture">
                  <pic:nvPicPr>
                    <pic:cNvPr id="1" name="IM 34"/>
                    <pic:cNvPicPr/>
                  </pic:nvPicPr>
                  <pic:blipFill>
                    <a:blip r:embed="rId12"/>
                    <a:stretch>
                      <a:fillRect/>
                    </a:stretch>
                  </pic:blipFill>
                  <pic:spPr>
                    <a:xfrm>
                      <a:off x="0" y="0"/>
                      <a:ext cx="6350" cy="6350"/>
                    </a:xfrm>
                    <a:prstGeom prst="rect">
                      <a:avLst/>
                    </a:prstGeom>
                    <a:noFill/>
                    <a:ln>
                      <a:noFill/>
                    </a:ln>
                  </pic:spPr>
                </pic:pic>
              </a:graphicData>
            </a:graphic>
          </wp:anchor>
        </w:drawing>
      </w:r>
    </w:p>
    <w:p w14:paraId="25F6ADA7">
      <w:pPr>
        <w:spacing w:line="278" w:lineRule="auto"/>
        <w:jc w:val="center"/>
        <w:rPr>
          <w:rFonts w:ascii="方正小标宋简体" w:eastAsia="方正小标宋简体" w:cs="方正小标宋简体"/>
          <w:color w:val="auto"/>
          <w:sz w:val="43"/>
          <w:szCs w:val="43"/>
          <w:highlight w:val="none"/>
        </w:rPr>
      </w:pPr>
      <w:r>
        <w:rPr>
          <w:color w:val="auto"/>
          <w:highlight w:val="none"/>
        </w:rPr>
        <w:drawing>
          <wp:anchor distT="0" distB="0" distL="114300" distR="114300" simplePos="0" relativeHeight="251665408" behindDoc="0" locked="0" layoutInCell="0" allowOverlap="1">
            <wp:simplePos x="0" y="0"/>
            <wp:positionH relativeFrom="page">
              <wp:posOffset>-3175</wp:posOffset>
            </wp:positionH>
            <wp:positionV relativeFrom="page">
              <wp:posOffset>-3175</wp:posOffset>
            </wp:positionV>
            <wp:extent cx="6350" cy="6350"/>
            <wp:effectExtent l="0" t="0" r="0" b="0"/>
            <wp:wrapNone/>
            <wp:docPr id="2" name="IM 36"/>
            <wp:cNvGraphicFramePr/>
            <a:graphic xmlns:a="http://schemas.openxmlformats.org/drawingml/2006/main">
              <a:graphicData uri="http://schemas.openxmlformats.org/drawingml/2006/picture">
                <pic:pic xmlns:pic="http://schemas.openxmlformats.org/drawingml/2006/picture">
                  <pic:nvPicPr>
                    <pic:cNvPr id="2" name="IM 36"/>
                    <pic:cNvPicPr/>
                  </pic:nvPicPr>
                  <pic:blipFill>
                    <a:blip r:embed="rId12"/>
                    <a:stretch>
                      <a:fillRect/>
                    </a:stretch>
                  </pic:blipFill>
                  <pic:spPr>
                    <a:xfrm>
                      <a:off x="0" y="0"/>
                      <a:ext cx="6350" cy="6350"/>
                    </a:xfrm>
                    <a:prstGeom prst="rect">
                      <a:avLst/>
                    </a:prstGeom>
                    <a:noFill/>
                    <a:ln>
                      <a:noFill/>
                    </a:ln>
                  </pic:spPr>
                </pic:pic>
              </a:graphicData>
            </a:graphic>
          </wp:anchor>
        </w:drawing>
      </w:r>
      <w:r>
        <w:rPr>
          <w:rFonts w:ascii="方正小标宋简体" w:eastAsia="方正小标宋简体" w:cs="方正小标宋简体"/>
          <w:color w:val="auto"/>
          <w:spacing w:val="7"/>
          <w:sz w:val="43"/>
          <w:szCs w:val="43"/>
          <w:highlight w:val="none"/>
        </w:rPr>
        <w:t>贵州省评标专</w:t>
      </w:r>
      <w:r>
        <w:rPr>
          <w:rFonts w:ascii="方正小标宋简体" w:eastAsia="方正小标宋简体" w:cs="方正小标宋简体"/>
          <w:color w:val="auto"/>
          <w:spacing w:val="10"/>
          <w:sz w:val="43"/>
          <w:szCs w:val="43"/>
          <w:highlight w:val="none"/>
        </w:rPr>
        <w:t>家履职</w:t>
      </w:r>
      <w:r>
        <w:rPr>
          <w:rFonts w:ascii="方正小标宋简体" w:eastAsia="方正小标宋简体" w:cs="方正小标宋简体"/>
          <w:color w:val="auto"/>
          <w:spacing w:val="10"/>
          <w:sz w:val="43"/>
          <w:szCs w:val="43"/>
          <w:highlight w:val="none"/>
          <w:lang w:eastAsia="zh-CN"/>
        </w:rPr>
        <w:t>行为</w:t>
      </w:r>
      <w:r>
        <w:rPr>
          <w:rFonts w:ascii="方正小标宋简体" w:eastAsia="方正小标宋简体" w:cs="方正小标宋简体"/>
          <w:color w:val="auto"/>
          <w:spacing w:val="10"/>
          <w:sz w:val="43"/>
          <w:szCs w:val="43"/>
          <w:highlight w:val="none"/>
        </w:rPr>
        <w:t>评价</w:t>
      </w:r>
      <w:r>
        <w:rPr>
          <w:rFonts w:ascii="方正小标宋简体" w:eastAsia="方正小标宋简体" w:cs="方正小标宋简体"/>
          <w:color w:val="auto"/>
          <w:spacing w:val="7"/>
          <w:sz w:val="43"/>
          <w:szCs w:val="43"/>
          <w:highlight w:val="none"/>
        </w:rPr>
        <w:t>标准（良好行为情形）</w:t>
      </w:r>
    </w:p>
    <w:p w14:paraId="638AB7ED">
      <w:pPr>
        <w:spacing w:line="63" w:lineRule="exact"/>
        <w:rPr>
          <w:color w:val="auto"/>
          <w:highlight w:val="none"/>
        </w:rPr>
      </w:pPr>
    </w:p>
    <w:tbl>
      <w:tblPr>
        <w:tblStyle w:val="3"/>
        <w:tblW w:w="14012" w:type="dxa"/>
        <w:tblInd w:w="15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8"/>
        <w:gridCol w:w="9995"/>
        <w:gridCol w:w="2150"/>
        <w:gridCol w:w="999"/>
      </w:tblGrid>
      <w:tr w14:paraId="60795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blHeader/>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9D20053">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序号</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509F8C2">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良好行为情形</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742573">
            <w:pPr>
              <w:spacing w:before="23" w:line="223" w:lineRule="auto"/>
              <w:ind w:left="0"/>
              <w:jc w:val="center"/>
              <w:rPr>
                <w:rFonts w:ascii="黑体" w:eastAsia="黑体" w:cs="黑体"/>
                <w:color w:val="auto"/>
                <w:spacing w:val="-5"/>
                <w:sz w:val="24"/>
                <w:szCs w:val="24"/>
                <w:highlight w:val="none"/>
              </w:rPr>
            </w:pPr>
            <w:r>
              <w:rPr>
                <w:rFonts w:ascii="黑体" w:eastAsia="黑体" w:cs="黑体"/>
                <w:color w:val="auto"/>
                <w:spacing w:val="-5"/>
                <w:sz w:val="24"/>
                <w:szCs w:val="24"/>
                <w:highlight w:val="none"/>
              </w:rPr>
              <w:t>评价主体</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C7CBCCE">
            <w:pPr>
              <w:spacing w:before="23" w:line="223" w:lineRule="auto"/>
              <w:ind w:left="0"/>
              <w:jc w:val="center"/>
              <w:rPr>
                <w:rFonts w:ascii="黑体" w:eastAsia="黑体" w:cs="黑体"/>
                <w:color w:val="auto"/>
                <w:spacing w:val="-5"/>
                <w:sz w:val="24"/>
                <w:szCs w:val="24"/>
                <w:highlight w:val="none"/>
              </w:rPr>
            </w:pPr>
            <w:r>
              <w:rPr>
                <w:rFonts w:hint="default" w:ascii="黑体" w:eastAsia="黑体" w:cs="黑体"/>
                <w:color w:val="auto"/>
                <w:spacing w:val="-5"/>
                <w:sz w:val="24"/>
                <w:szCs w:val="24"/>
                <w:highlight w:val="none"/>
                <w:lang w:eastAsia="zh-CN"/>
              </w:rPr>
              <w:t>加</w:t>
            </w:r>
            <w:r>
              <w:rPr>
                <w:rFonts w:ascii="黑体" w:eastAsia="黑体" w:cs="黑体"/>
                <w:color w:val="auto"/>
                <w:spacing w:val="-5"/>
                <w:sz w:val="24"/>
                <w:szCs w:val="24"/>
                <w:highlight w:val="none"/>
              </w:rPr>
              <w:t>分值</w:t>
            </w:r>
          </w:p>
        </w:tc>
      </w:tr>
      <w:tr w14:paraId="26CEF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4C87C6D">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1</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B636DCD">
            <w:pPr>
              <w:jc w:val="left"/>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在评标评审过程中，发现投标文件存在细微偏差，及时要求投标人通过澄清、说明进行补正的</w:t>
            </w:r>
            <w:r>
              <w:rPr>
                <w:rFonts w:hint="eastAsia" w:ascii="仿宋_GB2312" w:eastAsia="仿宋_GB2312" w:cs="仿宋_GB2312"/>
                <w:color w:val="auto"/>
                <w:sz w:val="24"/>
                <w:szCs w:val="24"/>
                <w:highlight w:val="none"/>
                <w:lang w:eastAsia="zh-CN"/>
              </w:rPr>
              <w:t>。</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FF03BF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5AB9B0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47BD09B">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76A16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0DB41C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2</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C373E9B">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在评标评审过程中，发现招标（采购）文件中未载明交易项目标段（标包）合同估算价，或者填写错误，</w:t>
            </w:r>
            <w:r>
              <w:rPr>
                <w:rFonts w:hint="eastAsia" w:ascii="仿宋_GB2312" w:eastAsia="仿宋_GB2312" w:cs="仿宋_GB2312"/>
                <w:color w:val="auto"/>
                <w:sz w:val="24"/>
                <w:szCs w:val="24"/>
                <w:highlight w:val="none"/>
                <w:lang w:val="en-US" w:eastAsia="zh-CN"/>
              </w:rPr>
              <w:t>评标委员会依法履行</w:t>
            </w:r>
            <w:r>
              <w:rPr>
                <w:rFonts w:hint="eastAsia" w:ascii="仿宋_GB2312" w:eastAsia="仿宋_GB2312" w:cs="仿宋_GB2312"/>
                <w:i w:val="0"/>
                <w:iCs w:val="0"/>
                <w:caps w:val="0"/>
                <w:smallCaps w:val="0"/>
                <w:color w:val="auto"/>
                <w:spacing w:val="0"/>
                <w:sz w:val="24"/>
                <w:szCs w:val="24"/>
                <w:highlight w:val="none"/>
                <w:shd w:val="clear" w:color="auto" w:fill="auto"/>
              </w:rPr>
              <w:t>说明</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义务，</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BD2D2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187B25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F7C87D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0AD9B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FCE0AD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3</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5E352D1">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在评标评审过程中，发现招标（采购）文件中未载明投标资格能力要求，以及是否接受联合体投标或者填写错误，</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B22E61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18653D7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98E96C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315B0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F0A35AA">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4</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89EEE9D">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在评标评审过程中，发现招标（采购）文件中要求投标人提交投标保证金，投标保证金超过交易项目估算价的2%，或者超过国家相关规定标准，</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BD69573">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9DE3F8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E37620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56F96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E8064F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5</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FAE6729">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在评标评审过程中，发现招标（采购）文件中要求投标人提交投标保证金，未落实各级政府及相关部门关于减免投标保证金规定，</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0B258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44FFFB6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7608A8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7FA4DB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DC6036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6</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F74882">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在评标评审过程中，发现依法必须招标的项目强制要求投标人、中标人缴纳现金保证金，</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828E34C">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DAB950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0F78982">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29A39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6A6D8F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7</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3FFA2E">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在评标评审过程中，发现依法必须招标的项目强制为投标人、中标人指定出具保函、保单的银行、担保机构或者保险机构，</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A5809D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57D44A1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B6BFE8">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6F71D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D983D30">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8</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F9FEBD8">
            <w:pPr>
              <w:jc w:val="left"/>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在评标评审过程中，发现招标（采购）文件要求中标人提交履约保证金超过中标合同金额10%，</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2070EA4">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3C83859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C7777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lang w:val="en-US" w:eastAsia="zh-CN"/>
              </w:rPr>
              <w:t>10</w:t>
            </w:r>
          </w:p>
        </w:tc>
      </w:tr>
      <w:tr w14:paraId="7B993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FC33C8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9</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90D055">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在评标评审过程中，发现设定与交易项目的具体特点和实际需要不相适应或者与合同履行无关的资格、技术、商务条件等，</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967DAF">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1BE7DEB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0E44AEE">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15</w:t>
            </w:r>
          </w:p>
        </w:tc>
      </w:tr>
      <w:tr w14:paraId="15E758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211F8D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10</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F6F189C">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在评标评审过程中，发现资格预审公告及文件或者招标公告及文件中有限定投标人所在地、所有制形式、组织形式，排斥、限制或者强制外地投标人在本地设立分支机构等情形，</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B22CDA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34B646E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AB3CEC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15</w:t>
            </w:r>
          </w:p>
        </w:tc>
      </w:tr>
      <w:tr w14:paraId="04C8A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C6D1E7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11</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34C4CAB">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在评标评审过程中，发现资格预审公告及文件或者招标公告及文件中有限定或者指定特定的专利、商标、品牌、零部件、原产地、供应商等情形，</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8D257FB">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A71F1E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7DD855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15</w:t>
            </w:r>
          </w:p>
        </w:tc>
      </w:tr>
      <w:tr w14:paraId="07C7A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312B61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12</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AF7BD5">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在评标评审过程中，发现资格预审公告及文件或者招标公告及文件中有以特定行政区域或者特定行业的业绩、奖项作为加分条件或者中标条件等情形，</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8930A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4EBE47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8B4E29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15</w:t>
            </w:r>
          </w:p>
        </w:tc>
      </w:tr>
      <w:tr w14:paraId="0F432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1D20EB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13</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814DFB9">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在评标评审过程中，发现资格预审公告及文件或者招标公告及文件中有设置或者变相设置与业务能力无关的规模、成立年限、注册资本金、银行授信证明和明显超过项目要求的业绩要求等门槛限制潜在投标人，</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E27A68F">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1B4AF024">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3A7426">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15</w:t>
            </w:r>
          </w:p>
        </w:tc>
      </w:tr>
      <w:tr w14:paraId="0D468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A2C091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14</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B8237D9">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在评标评审过程中，发现存在招标（采购）人或者代理机构、投标人、其他评标专家等招标投标活动利害关系人</w:t>
            </w:r>
            <w:r>
              <w:rPr>
                <w:rFonts w:hint="eastAsia" w:ascii="仿宋_GB2312" w:hAnsi="仿宋_GB2312" w:eastAsia="仿宋_GB2312" w:cs="仿宋_GB2312"/>
                <w:color w:val="auto"/>
                <w:sz w:val="24"/>
                <w:szCs w:val="24"/>
                <w:highlight w:val="none"/>
              </w:rPr>
              <w:t>“</w:t>
            </w:r>
            <w:r>
              <w:rPr>
                <w:rFonts w:hint="eastAsia" w:ascii="仿宋_GB2312" w:eastAsia="仿宋_GB2312" w:cs="仿宋_GB2312"/>
                <w:color w:val="auto"/>
                <w:sz w:val="24"/>
                <w:szCs w:val="24"/>
                <w:highlight w:val="none"/>
              </w:rPr>
              <w:t>打招呼</w:t>
            </w:r>
            <w:r>
              <w:rPr>
                <w:rFonts w:hint="eastAsia" w:ascii="仿宋_GB2312" w:hAnsi="仿宋_GB2312" w:eastAsia="仿宋_GB2312" w:cs="仿宋_GB2312"/>
                <w:color w:val="auto"/>
                <w:sz w:val="24"/>
                <w:szCs w:val="24"/>
                <w:highlight w:val="none"/>
              </w:rPr>
              <w:t>”</w:t>
            </w:r>
            <w:r>
              <w:rPr>
                <w:rFonts w:hint="eastAsia" w:ascii="仿宋_GB2312" w:eastAsia="仿宋_GB2312" w:cs="仿宋_GB2312"/>
                <w:color w:val="auto"/>
                <w:sz w:val="24"/>
                <w:szCs w:val="24"/>
                <w:highlight w:val="none"/>
              </w:rPr>
              <w:t>干扰正常评标评审工作，经查证属实的。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DBEA397">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0181FE3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0F77204">
            <w:pPr>
              <w:jc w:val="center"/>
              <w:rPr>
                <w:rFonts w:hint="eastAsia" w:ascii="仿宋_GB2312" w:hAnsi="Calibri"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30</w:t>
            </w:r>
          </w:p>
        </w:tc>
      </w:tr>
      <w:tr w14:paraId="43A58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6C2376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15</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B9B2C3B">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发现不同投标人的投标文件异常一致或者投标报价呈规律性差异、不同投标人的投标文件载明的项目管理成员为同一人、不同投标人的投标文件相互混装等相互串通投标行为，依法否决不合格投标</w:t>
            </w:r>
            <w:r>
              <w:rPr>
                <w:rFonts w:hint="eastAsia" w:ascii="仿宋_GB2312" w:eastAsia="仿宋_GB2312" w:cs="仿宋_GB2312"/>
                <w:color w:val="auto"/>
                <w:sz w:val="24"/>
                <w:szCs w:val="24"/>
                <w:highlight w:val="none"/>
                <w:lang w:eastAsia="zh-CN"/>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lang w:eastAsia="zh-CN"/>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7393761">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76F6A43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333F90E">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30</w:t>
            </w:r>
          </w:p>
        </w:tc>
      </w:tr>
      <w:tr w14:paraId="3BF45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80D1D0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16</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BC30252">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招标（采购）文件未将否决条款集中载明，</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441C896">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CAFF73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62A4EE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0AEA9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5"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96821D">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17</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FB71C9A">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编制依法必须进行招标的项目的资格预审文件和招标（采购）文件，未使用有关监督部门制定的标准文本，</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108CCDD">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6A7DE6C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3BAC29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4A1DF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71363B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18</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DFB6A4A">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国家对交易项目的技术、标准有规定的，未按照其规定在招标（采购）文件中提出相应要求或者招标（采购）文件规定的各项技术标准不符合现行国家强制性标准，</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7DE35E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CB2F058">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9E774D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1DB2D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827009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19</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A25F988">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招标（采购）文件未载明交易项目的技术要求、投标人资格审查的标准、投标报价要求和评标标准等所有实质性要求和条件以及拟签订合同主要条款，</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8A63BA5">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0E80295">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872696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34BB6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5ECB67F">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20</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F1BC4CE">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交易项目设有最高投标限价，但招标（采购）文件中未明确最高投标限价具体金额，</w:t>
            </w:r>
            <w:r>
              <w:rPr>
                <w:rFonts w:hint="eastAsia" w:ascii="仿宋_GB2312" w:eastAsia="仿宋_GB2312" w:cs="仿宋_GB2312"/>
                <w:color w:val="auto"/>
                <w:sz w:val="24"/>
                <w:szCs w:val="24"/>
                <w:highlight w:val="none"/>
                <w:lang w:val="en-US" w:eastAsia="zh-CN"/>
              </w:rPr>
              <w:t>评标委员会依法履行说明义务</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52D5CD9">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27C684B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CC4D37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20</w:t>
            </w:r>
          </w:p>
        </w:tc>
      </w:tr>
      <w:tr w14:paraId="20B00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5D531D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21</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20B2FED">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在评标评审过程中，</w:t>
            </w:r>
            <w:r>
              <w:rPr>
                <w:rFonts w:hint="eastAsia" w:ascii="仿宋_GB2312" w:eastAsia="仿宋_GB2312" w:cs="仿宋_GB2312"/>
                <w:color w:val="auto"/>
                <w:sz w:val="24"/>
                <w:szCs w:val="24"/>
                <w:highlight w:val="none"/>
                <w:lang w:eastAsia="zh-CN"/>
              </w:rPr>
              <w:t>发现</w:t>
            </w:r>
            <w:r>
              <w:rPr>
                <w:rFonts w:hint="eastAsia" w:ascii="仿宋_GB2312" w:eastAsia="仿宋_GB2312" w:cs="仿宋_GB2312"/>
                <w:color w:val="auto"/>
                <w:sz w:val="24"/>
                <w:szCs w:val="24"/>
                <w:highlight w:val="none"/>
              </w:rPr>
              <w:t>投标文件中含义不明确、对同类问题表述不一致、有明显文字和计算错误、投标报价可能低于成本影响履约，</w:t>
            </w:r>
            <w:r>
              <w:rPr>
                <w:rFonts w:hint="eastAsia" w:ascii="仿宋_GB2312" w:eastAsia="仿宋_GB2312" w:cs="仿宋_GB2312"/>
                <w:color w:val="auto"/>
                <w:sz w:val="24"/>
                <w:szCs w:val="24"/>
                <w:highlight w:val="none"/>
                <w:lang w:val="en-US" w:eastAsia="zh-CN"/>
              </w:rPr>
              <w:t>评标委员会依法履行</w:t>
            </w:r>
            <w:r>
              <w:rPr>
                <w:rFonts w:hint="eastAsia" w:ascii="仿宋_GB2312" w:eastAsia="仿宋_GB2312" w:cs="仿宋_GB2312"/>
                <w:i w:val="0"/>
                <w:iCs w:val="0"/>
                <w:caps w:val="0"/>
                <w:smallCaps w:val="0"/>
                <w:color w:val="auto"/>
                <w:spacing w:val="0"/>
                <w:sz w:val="24"/>
                <w:szCs w:val="24"/>
                <w:highlight w:val="none"/>
                <w:shd w:val="clear" w:color="auto" w:fill="auto"/>
              </w:rPr>
              <w:t>澄清、说明或者补正</w:t>
            </w:r>
            <w:r>
              <w:rPr>
                <w:rFonts w:hint="eastAsia" w:ascii="仿宋_GB2312" w:eastAsia="仿宋_GB2312" w:cs="仿宋_GB2312"/>
                <w:i w:val="0"/>
                <w:iCs w:val="0"/>
                <w:caps w:val="0"/>
                <w:smallCaps w:val="0"/>
                <w:color w:val="auto"/>
                <w:spacing w:val="0"/>
                <w:sz w:val="24"/>
                <w:szCs w:val="24"/>
                <w:highlight w:val="none"/>
                <w:shd w:val="clear" w:color="auto" w:fill="auto"/>
                <w:lang w:val="en-US" w:eastAsia="zh-CN"/>
              </w:rPr>
              <w:t>义务，</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70B2937">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7B75DBA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946899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18389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9C5FF5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22</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CDF103D">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积极</w:t>
            </w:r>
            <w:r>
              <w:rPr>
                <w:rFonts w:hint="eastAsia" w:ascii="仿宋_GB2312" w:eastAsia="仿宋_GB2312" w:cs="仿宋_GB2312"/>
                <w:color w:val="auto"/>
                <w:sz w:val="24"/>
                <w:szCs w:val="24"/>
                <w:highlight w:val="none"/>
              </w:rPr>
              <w:t>协助、配合招标（采购）人处理异议、复核评标结果</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lang w:val="en-US" w:eastAsia="zh-CN"/>
              </w:rPr>
              <w:t>且未发现评标委员会成员存在《</w:t>
            </w:r>
            <w:r>
              <w:rPr>
                <w:rFonts w:hint="eastAsia" w:ascii="仿宋_GB2312" w:eastAsia="仿宋_GB2312" w:cs="仿宋_GB2312"/>
                <w:color w:val="auto"/>
                <w:sz w:val="24"/>
                <w:szCs w:val="24"/>
                <w:highlight w:val="none"/>
              </w:rPr>
              <w:t>招标人主体责任履行指引》</w:t>
            </w:r>
            <w:r>
              <w:rPr>
                <w:rFonts w:hint="eastAsia" w:ascii="仿宋_GB2312" w:eastAsia="仿宋_GB2312" w:cs="仿宋_GB2312"/>
                <w:color w:val="auto"/>
                <w:sz w:val="24"/>
                <w:szCs w:val="24"/>
                <w:highlight w:val="none"/>
                <w:lang w:val="en-US" w:eastAsia="zh-CN"/>
              </w:rPr>
              <w:t>第二十五条规定情形的，</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84713C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招标（采购）人</w:t>
            </w:r>
          </w:p>
          <w:p w14:paraId="32DE02B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代理机构</w:t>
            </w:r>
          </w:p>
          <w:p w14:paraId="697FCFB3">
            <w:pPr>
              <w:jc w:val="center"/>
              <w:rPr>
                <w:rFonts w:hint="default"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交易中心</w:t>
            </w:r>
          </w:p>
          <w:p w14:paraId="7C907E1D">
            <w:pPr>
              <w:jc w:val="center"/>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37A5B8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30</w:t>
            </w:r>
          </w:p>
        </w:tc>
      </w:tr>
      <w:tr w14:paraId="31821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F11ACE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w:t>
            </w:r>
            <w:r>
              <w:rPr>
                <w:rFonts w:hint="eastAsia" w:ascii="仿宋_GB2312" w:eastAsia="仿宋_GB2312" w:cs="仿宋_GB2312"/>
                <w:color w:val="auto"/>
                <w:sz w:val="24"/>
                <w:szCs w:val="24"/>
                <w:highlight w:val="none"/>
                <w:lang w:val="en-US" w:eastAsia="zh-CN"/>
              </w:rPr>
              <w:t>3</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F738472">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被省级以上党委、政府及其部门授予招标投标、政府采购方面表彰或者奖励的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6304871A">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4A0BCC1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9529863">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0C9F4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35255A7">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w:t>
            </w:r>
            <w:r>
              <w:rPr>
                <w:rFonts w:hint="eastAsia" w:ascii="仿宋_GB2312" w:eastAsia="仿宋_GB2312" w:cs="仿宋_GB2312"/>
                <w:color w:val="auto"/>
                <w:sz w:val="24"/>
                <w:szCs w:val="24"/>
                <w:highlight w:val="none"/>
                <w:lang w:val="en-US" w:eastAsia="zh-CN"/>
              </w:rPr>
              <w:t>4</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1FE9DF4C">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参与省部级以上行业技术标准或者技术规范编制或者修订的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0AB9B7CC">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4CF400F1">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8CD1F8A">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3A062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401E5B7E">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w:t>
            </w:r>
            <w:r>
              <w:rPr>
                <w:rFonts w:hint="eastAsia" w:ascii="仿宋_GB2312" w:eastAsia="仿宋_GB2312" w:cs="仿宋_GB2312"/>
                <w:color w:val="auto"/>
                <w:sz w:val="24"/>
                <w:szCs w:val="24"/>
                <w:highlight w:val="none"/>
                <w:lang w:val="en-US" w:eastAsia="zh-CN"/>
              </w:rPr>
              <w:t>5</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04BD303">
            <w:pPr>
              <w:jc w:val="left"/>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参与省部级以上招标投标、政府采购规范性文件制定或者修订的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rPr>
              <w:t>并经</w:t>
            </w:r>
            <w:r>
              <w:rPr>
                <w:rFonts w:hint="eastAsia" w:ascii="Times New Roman" w:hAnsi="Times New Roman" w:eastAsia="仿宋_GB2312" w:cs="Times New Roman"/>
                <w:color w:val="auto"/>
                <w:sz w:val="24"/>
                <w:szCs w:val="24"/>
                <w:highlight w:val="none"/>
                <w:lang w:eastAsia="zh-CN" w:bidi="ar-SA"/>
              </w:rPr>
              <w:t>行政</w:t>
            </w:r>
            <w:r>
              <w:rPr>
                <w:rFonts w:hint="eastAsia" w:ascii="仿宋_GB2312" w:eastAsia="仿宋_GB2312" w:cs="仿宋_GB2312"/>
                <w:color w:val="auto"/>
                <w:sz w:val="24"/>
                <w:szCs w:val="24"/>
                <w:highlight w:val="none"/>
              </w:rPr>
              <w:t>监督部门核实认定属实的。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2FA1115">
            <w:pPr>
              <w:jc w:val="center"/>
              <w:rPr>
                <w:rFonts w:hint="eastAsia" w:ascii="仿宋_GB2312" w:eastAsia="仿宋_GB2312" w:cs="仿宋_GB2312"/>
                <w:color w:val="auto"/>
                <w:sz w:val="24"/>
                <w:szCs w:val="24"/>
                <w:highlight w:val="none"/>
                <w:lang w:eastAsia="zh-CN"/>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15C61F50">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243CE9C9">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r w14:paraId="2CF26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68"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CC55F8B">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2</w:t>
            </w:r>
            <w:r>
              <w:rPr>
                <w:rFonts w:hint="eastAsia" w:ascii="仿宋_GB2312" w:eastAsia="仿宋_GB2312" w:cs="仿宋_GB2312"/>
                <w:color w:val="auto"/>
                <w:sz w:val="24"/>
                <w:szCs w:val="24"/>
                <w:highlight w:val="none"/>
                <w:lang w:val="en-US" w:eastAsia="zh-CN"/>
              </w:rPr>
              <w:t>6</w:t>
            </w:r>
          </w:p>
        </w:tc>
        <w:tc>
          <w:tcPr>
            <w:tcW w:w="9995"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5809DFFE">
            <w:pPr>
              <w:jc w:val="left"/>
              <w:rPr>
                <w:rFonts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rPr>
              <w:t>向招标投标、政府采购综合管理部门或者有关监督管理部门书面提出建议意见并被采纳的</w:t>
            </w:r>
            <w:r>
              <w:rPr>
                <w:rFonts w:hint="eastAsia" w:ascii="仿宋_GB2312" w:eastAsia="仿宋_GB2312" w:cs="仿宋_GB2312"/>
                <w:color w:val="auto"/>
                <w:sz w:val="24"/>
                <w:szCs w:val="24"/>
                <w:highlight w:val="none"/>
                <w:lang w:eastAsia="zh-CN"/>
              </w:rPr>
              <w:t>，</w:t>
            </w:r>
            <w:r>
              <w:rPr>
                <w:rFonts w:hint="eastAsia" w:ascii="仿宋_GB2312" w:eastAsia="仿宋_GB2312" w:cs="仿宋_GB2312"/>
                <w:color w:val="auto"/>
                <w:sz w:val="24"/>
                <w:szCs w:val="24"/>
                <w:highlight w:val="none"/>
                <w:lang w:val="en-US" w:eastAsia="zh-CN"/>
              </w:rPr>
              <w:t>经意见建议采纳部门核实认定属实的。</w:t>
            </w:r>
          </w:p>
        </w:tc>
        <w:tc>
          <w:tcPr>
            <w:tcW w:w="2150"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75DEA2D6">
            <w:pPr>
              <w:jc w:val="center"/>
              <w:rPr>
                <w:rFonts w:hint="eastAsia" w:ascii="仿宋_GB2312" w:eastAsia="仿宋_GB2312" w:cs="仿宋_GB2312"/>
                <w:color w:val="auto"/>
                <w:sz w:val="24"/>
                <w:szCs w:val="24"/>
                <w:highlight w:val="none"/>
              </w:rPr>
            </w:pPr>
            <w:r>
              <w:rPr>
                <w:rFonts w:hint="eastAsia" w:ascii="仿宋_GB2312" w:eastAsia="仿宋_GB2312" w:cs="仿宋_GB2312"/>
                <w:color w:val="auto"/>
                <w:sz w:val="24"/>
                <w:szCs w:val="24"/>
                <w:highlight w:val="none"/>
              </w:rPr>
              <w:t>交易</w:t>
            </w:r>
            <w:r>
              <w:rPr>
                <w:rFonts w:hint="eastAsia" w:ascii="仿宋_GB2312" w:eastAsia="仿宋_GB2312" w:cs="仿宋_GB2312"/>
                <w:color w:val="auto"/>
                <w:sz w:val="24"/>
                <w:szCs w:val="24"/>
                <w:highlight w:val="none"/>
                <w:lang w:val="en-US" w:eastAsia="zh-CN"/>
              </w:rPr>
              <w:t>中心</w:t>
            </w:r>
          </w:p>
          <w:p w14:paraId="4E6B3FD2">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行政监督部门</w:t>
            </w:r>
          </w:p>
        </w:tc>
        <w:tc>
          <w:tcPr>
            <w:tcW w:w="999" w:type="dxa"/>
            <w:tcBorders>
              <w:top w:val="single" w:color="000000" w:sz="2" w:space="0"/>
              <w:left w:val="single" w:color="000000" w:sz="2" w:space="0"/>
              <w:bottom w:val="single" w:color="000000" w:sz="2" w:space="0"/>
              <w:right w:val="single" w:color="000000" w:sz="2" w:space="0"/>
              <w:tl2br w:val="nil"/>
              <w:tr2bl w:val="nil"/>
            </w:tcBorders>
            <w:noWrap/>
            <w:vAlign w:val="center"/>
          </w:tcPr>
          <w:p w14:paraId="39C13CEC">
            <w:pPr>
              <w:jc w:val="center"/>
              <w:rPr>
                <w:rFonts w:hint="eastAsia" w:ascii="仿宋_GB2312" w:eastAsia="仿宋_GB2312" w:cs="仿宋_GB2312"/>
                <w:color w:val="auto"/>
                <w:sz w:val="24"/>
                <w:szCs w:val="24"/>
                <w:highlight w:val="none"/>
                <w:lang w:val="en-US" w:eastAsia="zh-CN"/>
              </w:rPr>
            </w:pPr>
            <w:r>
              <w:rPr>
                <w:rFonts w:hint="eastAsia" w:ascii="仿宋_GB2312" w:eastAsia="仿宋_GB2312" w:cs="仿宋_GB2312"/>
                <w:color w:val="auto"/>
                <w:sz w:val="24"/>
                <w:szCs w:val="24"/>
                <w:highlight w:val="none"/>
                <w:lang w:val="en-US" w:eastAsia="zh-CN"/>
              </w:rPr>
              <w:t>10</w:t>
            </w:r>
          </w:p>
        </w:tc>
      </w:tr>
    </w:tbl>
    <w:p w14:paraId="31BCCDEF">
      <w:pPr>
        <w:rPr>
          <w:color w:val="auto"/>
          <w:highlight w:val="none"/>
        </w:rPr>
      </w:pPr>
    </w:p>
    <w:p w14:paraId="2D852A6F">
      <w:pPr>
        <w:jc w:val="center"/>
        <w:rPr>
          <w:rFonts w:hint="eastAsia" w:ascii="楷体_GB2312" w:eastAsia="楷体_GB2312" w:cs="楷体_GB2312"/>
          <w:sz w:val="32"/>
          <w:szCs w:val="32"/>
          <w:highlight w:val="none"/>
          <w:lang w:val="en-US" w:eastAsia="zh-CN" w:bidi="ar-SA"/>
        </w:rPr>
      </w:pPr>
    </w:p>
    <w:p w14:paraId="18F42FCE"/>
    <w:sectPr>
      <w:footerReference r:id="rId10" w:type="first"/>
      <w:headerReference r:id="rId7" w:type="default"/>
      <w:footerReference r:id="rId8" w:type="default"/>
      <w:footerReference r:id="rId9" w:type="even"/>
      <w:pgSz w:w="16839" w:h="11907" w:orient="landscape"/>
      <w:pgMar w:top="1800" w:right="1440" w:bottom="1800" w:left="144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8BCA4F43">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A4945">
    <w:pPr>
      <w:pStyle w:val="2"/>
      <w:tabs>
        <w:tab w:val="right" w:pos="8306"/>
        <w:tab w:val="clear" w:pos="8307"/>
      </w:tabs>
      <w:jc w:val="center"/>
      <w:rPr>
        <w:rFonts w:hint="eastAsia"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4C8D4F">
                          <w:pPr>
                            <w:pStyle w:val="2"/>
                            <w:tabs>
                              <w:tab w:val="right" w:pos="8306"/>
                              <w:tab w:val="clear" w:pos="8307"/>
                            </w:tabs>
                            <w:jc w:val="cente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7A4C8D4F">
                    <w:pPr>
                      <w:pStyle w:val="2"/>
                      <w:tabs>
                        <w:tab w:val="right" w:pos="8306"/>
                        <w:tab w:val="clear" w:pos="8307"/>
                      </w:tabs>
                      <w:jc w:val="cente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18</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BB6C9">
    <w:pPr>
      <w:pStyle w:val="2"/>
      <w:tabs>
        <w:tab w:val="right" w:pos="8306"/>
        <w:tab w:val="clear" w:pos="8307"/>
      </w:tabs>
      <w:ind w:firstLine="280" w:firstLineChars="100"/>
      <w:jc w:val="cente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9379">
    <w:pPr>
      <w:pStyle w:val="2"/>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F2BB47">
                          <w:pPr>
                            <w:pStyle w:val="2"/>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before="0" w:after="0" w:line="240" w:lineRule="auto"/>
                            <w:ind w:left="315" w:leftChars="150" w:right="315" w:rightChars="150" w:firstLine="0"/>
                            <w:jc w:val="left"/>
                            <w:textAlignment w:val="auto"/>
                            <w:outlineLvl w:val="9"/>
                          </w:pPr>
                          <w:r>
                            <w:rPr>
                              <w:rFonts w:hint="eastAsia" w:ascii="宋体" w:eastAsia="宋体"/>
                              <w:sz w:val="28"/>
                            </w:rPr>
                            <w:fldChar w:fldCharType="begin"/>
                          </w:r>
                          <w:r>
                            <w:rPr>
                              <w:rStyle w:val="5"/>
                              <w:rFonts w:hint="eastAsia" w:ascii="宋体" w:eastAsia="宋体"/>
                              <w:sz w:val="28"/>
                            </w:rPr>
                            <w:instrText xml:space="preserve"> PAGE  </w:instrText>
                          </w:r>
                          <w:r>
                            <w:rPr>
                              <w:rFonts w:hint="eastAsia" w:ascii="宋体" w:eastAsia="宋体"/>
                              <w:sz w:val="28"/>
                            </w:rPr>
                            <w:fldChar w:fldCharType="separate"/>
                          </w:r>
                          <w:r>
                            <w:rPr>
                              <w:rStyle w:val="5"/>
                              <w:rFonts w:hint="eastAsia" w:ascii="宋体" w:eastAsia="宋体"/>
                              <w:sz w:val="28"/>
                            </w:rPr>
                            <w:t>- 1 -</w:t>
                          </w:r>
                          <w:r>
                            <w:rPr>
                              <w:rFonts w:hint="eastAsia" w:ascii="宋体" w:eastAsia="宋体"/>
                              <w:sz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1BF2BB47">
                    <w:pPr>
                      <w:pStyle w:val="2"/>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before="0" w:after="0" w:line="240" w:lineRule="auto"/>
                      <w:ind w:left="315" w:leftChars="150" w:right="315" w:rightChars="150" w:firstLine="0"/>
                      <w:jc w:val="left"/>
                      <w:textAlignment w:val="auto"/>
                      <w:outlineLvl w:val="9"/>
                    </w:pPr>
                    <w:r>
                      <w:rPr>
                        <w:rFonts w:hint="eastAsia" w:ascii="宋体" w:eastAsia="宋体"/>
                        <w:sz w:val="28"/>
                      </w:rPr>
                      <w:fldChar w:fldCharType="begin"/>
                    </w:r>
                    <w:r>
                      <w:rPr>
                        <w:rStyle w:val="5"/>
                        <w:rFonts w:hint="eastAsia" w:ascii="宋体" w:eastAsia="宋体"/>
                        <w:sz w:val="28"/>
                      </w:rPr>
                      <w:instrText xml:space="preserve"> PAGE  </w:instrText>
                    </w:r>
                    <w:r>
                      <w:rPr>
                        <w:rFonts w:hint="eastAsia" w:ascii="宋体" w:eastAsia="宋体"/>
                        <w:sz w:val="28"/>
                      </w:rPr>
                      <w:fldChar w:fldCharType="separate"/>
                    </w:r>
                    <w:r>
                      <w:rPr>
                        <w:rStyle w:val="5"/>
                        <w:rFonts w:hint="eastAsia" w:ascii="宋体" w:eastAsia="宋体"/>
                        <w:sz w:val="28"/>
                      </w:rPr>
                      <w:t>- 1 -</w:t>
                    </w:r>
                    <w:r>
                      <w:rPr>
                        <w:rFonts w:hint="eastAsia" w:ascii="宋体" w:eastAsia="宋体"/>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8E68">
    <w:pPr>
      <w:pStyle w:val="2"/>
      <w:framePr w:wrap="around" w:vAnchor="text" w:hAnchor="margin" w:xAlign="center" w:y="1"/>
      <w:pBdr>
        <w:top w:val="none" w:color="auto" w:sz="0" w:space="0"/>
        <w:left w:val="none" w:color="auto" w:sz="0" w:space="0"/>
        <w:bottom w:val="none" w:color="auto" w:sz="0" w:space="0"/>
        <w:right w:val="none" w:color="auto" w:sz="0" w:space="0"/>
      </w:pBdr>
    </w:pPr>
    <w:r>
      <w:fldChar w:fldCharType="begin"/>
    </w:r>
    <w:r>
      <w:rPr>
        <w:rStyle w:val="7"/>
      </w:rPr>
      <w:instrText xml:space="preserve">Page</w:instrText>
    </w:r>
    <w:r>
      <w:fldChar w:fldCharType="separate"/>
    </w:r>
    <w:r>
      <w:rPr>
        <w:rStyle w:val="7"/>
      </w:rPr>
      <w:t>1</w:t>
    </w:r>
    <w:r>
      <w:fldChar w:fldCharType="end"/>
    </w:r>
  </w:p>
  <w:p w14:paraId="70F55D79">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737BF">
    <w:pPr>
      <w:pStyle w:val="2"/>
      <w:framePr w:wrap="around" w:vAnchor="text" w:hAnchor="margin" w:xAlign="center" w:y="1"/>
      <w:pBdr>
        <w:top w:val="none" w:color="auto" w:sz="0" w:space="0"/>
        <w:left w:val="none" w:color="auto" w:sz="0" w:space="0"/>
        <w:bottom w:val="none" w:color="auto" w:sz="0" w:space="0"/>
        <w:right w:val="none" w:color="auto" w:sz="0" w:space="0"/>
      </w:pBdr>
    </w:pPr>
    <w:r>
      <w:fldChar w:fldCharType="begin"/>
    </w:r>
    <w:r>
      <w:rPr>
        <w:rStyle w:val="7"/>
      </w:rPr>
      <w:instrText xml:space="preserve">Page</w:instrText>
    </w:r>
    <w:r>
      <w:fldChar w:fldCharType="separate"/>
    </w:r>
    <w:r>
      <w:rPr>
        <w:rStyle w:val="7"/>
      </w:rPr>
      <w:t>1</w:t>
    </w:r>
    <w:r>
      <w:fldChar w:fldCharType="end"/>
    </w:r>
  </w:p>
  <w:p w14:paraId="65CDF09F">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6350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B579E9"/>
    <w:rsid w:val="108F6A5A"/>
    <w:rsid w:val="3FB11C9A"/>
    <w:rsid w:val="61397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uto"/>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7"/>
      </w:tabs>
      <w:snapToGrid w:val="0"/>
      <w:jc w:val="left"/>
    </w:pPr>
    <w:rPr>
      <w:sz w:val="18"/>
    </w:rPr>
  </w:style>
  <w:style w:type="character" w:styleId="5">
    <w:name w:val="page number"/>
    <w:uiPriority w:val="0"/>
  </w:style>
  <w:style w:type="paragraph" w:customStyle="1" w:styleId="6">
    <w:name w:val="Table Text"/>
    <w:basedOn w:val="1"/>
    <w:qFormat/>
    <w:uiPriority w:val="0"/>
    <w:pPr>
      <w:kinsoku w:val="0"/>
      <w:autoSpaceDE w:val="0"/>
      <w:autoSpaceDN w:val="0"/>
      <w:adjustRightInd w:val="0"/>
      <w:snapToGrid w:val="0"/>
      <w:spacing w:line="240" w:lineRule="auto"/>
      <w:jc w:val="left"/>
      <w:textAlignment w:val="baseline"/>
    </w:pPr>
    <w:rPr>
      <w:rFonts w:ascii="FangSong_GB2312" w:hAnsi="FangSong_GB2312" w:eastAsia="FangSong_GB2312" w:cs="FangSong_GB2312"/>
      <w:snapToGrid w:val="0"/>
      <w:color w:val="000000"/>
      <w:kern w:val="0"/>
      <w:sz w:val="22"/>
      <w:szCs w:val="22"/>
      <w:lang w:val="en-US" w:eastAsia="zh-CN" w:bidi="ar-SA"/>
    </w:rPr>
  </w:style>
  <w:style w:type="character" w:customStyle="1" w:styleId="7">
    <w:name w:val="page number"/>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2026-09-14T01:58:51Z</dcterms:created>
  <dc:creator>admin</dc:creator>
  <cp:lastModifiedBy>你  好</cp:lastModifiedBy>
  <dcterms:modified xsi:type="dcterms:W3CDTF">2026-09-14T02:00:23Z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eyJoZGlkIjoiMjU3MzhjOWQ4N2E0MWYzNGUzNjc2NTk4NDQ0YTA3ZmEiLCJ1c2VySWQiOiI0MjY4MDM4NTkifQ==</vt:lpwstr>
  </property>
  <property fmtid="{D5CDD505-2E9C-101B-9397-08002B2CF9AE}" pid="4" name="ICV">
    <vt:lpwstr>361B7EE450194A8691B195E98EB629C1_12</vt:lpwstr>
  </property>
</Properties>
</file>